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1B" w:rsidRDefault="00585B1B" w:rsidP="00C1193D">
      <w:pPr>
        <w:bidi w:val="0"/>
        <w:jc w:val="center"/>
        <w:rPr>
          <w:b/>
          <w:bCs/>
          <w:snapToGrid w:val="0"/>
          <w:sz w:val="32"/>
          <w:szCs w:val="32"/>
          <w:lang w:eastAsia="en-US"/>
        </w:rPr>
      </w:pPr>
      <w:bookmarkStart w:id="0" w:name="_GoBack"/>
      <w:bookmarkEnd w:id="0"/>
    </w:p>
    <w:p w:rsidR="00054720" w:rsidRPr="00203719" w:rsidRDefault="00054720" w:rsidP="00585B1B">
      <w:pPr>
        <w:bidi w:val="0"/>
        <w:jc w:val="center"/>
        <w:rPr>
          <w:b/>
          <w:bCs/>
          <w:snapToGrid w:val="0"/>
          <w:sz w:val="32"/>
          <w:szCs w:val="32"/>
          <w:lang w:eastAsia="en-US"/>
        </w:rPr>
      </w:pPr>
      <w:r w:rsidRPr="00203719">
        <w:rPr>
          <w:b/>
          <w:bCs/>
          <w:snapToGrid w:val="0"/>
          <w:sz w:val="32"/>
          <w:szCs w:val="32"/>
          <w:lang w:eastAsia="en-US"/>
        </w:rPr>
        <w:t xml:space="preserve">On the occasion of the International Youth Day, the Palestinian Central Bureau of Statistics (PCBS) issues a press release </w:t>
      </w:r>
      <w:r w:rsidR="00F93933" w:rsidRPr="00203719">
        <w:rPr>
          <w:b/>
          <w:bCs/>
          <w:snapToGrid w:val="0"/>
          <w:sz w:val="32"/>
          <w:szCs w:val="32"/>
          <w:lang w:eastAsia="en-US"/>
        </w:rPr>
        <w:t>demonstrating</w:t>
      </w:r>
      <w:r w:rsidRPr="00203719">
        <w:rPr>
          <w:b/>
          <w:bCs/>
          <w:snapToGrid w:val="0"/>
          <w:sz w:val="32"/>
          <w:szCs w:val="32"/>
          <w:lang w:eastAsia="en-US"/>
        </w:rPr>
        <w:t xml:space="preserve"> the situation of </w:t>
      </w:r>
      <w:r w:rsidR="00F93933" w:rsidRPr="00203719">
        <w:rPr>
          <w:b/>
          <w:bCs/>
          <w:snapToGrid w:val="0"/>
          <w:sz w:val="32"/>
          <w:szCs w:val="32"/>
          <w:lang w:eastAsia="en-US"/>
        </w:rPr>
        <w:t xml:space="preserve">the youth </w:t>
      </w:r>
      <w:r w:rsidRPr="00203719">
        <w:rPr>
          <w:b/>
          <w:bCs/>
          <w:snapToGrid w:val="0"/>
          <w:sz w:val="32"/>
          <w:szCs w:val="32"/>
          <w:lang w:eastAsia="en-US"/>
        </w:rPr>
        <w:t xml:space="preserve">in </w:t>
      </w:r>
      <w:r w:rsidR="007A4018" w:rsidRPr="00203719">
        <w:rPr>
          <w:b/>
          <w:bCs/>
          <w:snapToGrid w:val="0"/>
          <w:sz w:val="32"/>
          <w:szCs w:val="32"/>
          <w:lang w:eastAsia="en-US"/>
        </w:rPr>
        <w:t xml:space="preserve">the </w:t>
      </w:r>
      <w:r w:rsidRPr="00203719">
        <w:rPr>
          <w:b/>
          <w:bCs/>
          <w:snapToGrid w:val="0"/>
          <w:sz w:val="32"/>
          <w:szCs w:val="32"/>
          <w:lang w:eastAsia="en-US"/>
        </w:rPr>
        <w:t>Palestinian society</w:t>
      </w:r>
    </w:p>
    <w:p w:rsidR="00054720" w:rsidRPr="00203719" w:rsidRDefault="00054720" w:rsidP="00C1193D">
      <w:pPr>
        <w:bidi w:val="0"/>
        <w:jc w:val="both"/>
        <w:rPr>
          <w:snapToGrid w:val="0"/>
          <w:sz w:val="21"/>
          <w:szCs w:val="21"/>
          <w:rtl/>
          <w:lang w:eastAsia="en-US"/>
        </w:rPr>
      </w:pPr>
    </w:p>
    <w:p w:rsidR="000C6A61" w:rsidRPr="00203719" w:rsidRDefault="000E2918" w:rsidP="001E704A">
      <w:pPr>
        <w:bidi w:val="0"/>
        <w:spacing w:after="150"/>
        <w:jc w:val="both"/>
        <w:rPr>
          <w:rFonts w:ascii="Roboto" w:hAnsi="Roboto" w:cs="Arial"/>
          <w:sz w:val="21"/>
          <w:szCs w:val="21"/>
        </w:rPr>
      </w:pPr>
      <w:r w:rsidRPr="00203719">
        <w:rPr>
          <w:rFonts w:asciiTheme="majorBidi" w:hAnsiTheme="majorBidi" w:cstheme="majorBidi"/>
          <w:snapToGrid w:val="0"/>
          <w:sz w:val="26"/>
          <w:szCs w:val="26"/>
          <w:lang w:eastAsia="en-US"/>
        </w:rPr>
        <w:t>In its resolution 54/120, the United Nations General Assembly designated August 12</w:t>
      </w:r>
      <w:r w:rsidRPr="00203719">
        <w:rPr>
          <w:rFonts w:asciiTheme="majorBidi" w:hAnsiTheme="majorBidi" w:cstheme="majorBidi"/>
          <w:snapToGrid w:val="0"/>
          <w:sz w:val="26"/>
          <w:szCs w:val="26"/>
          <w:vertAlign w:val="superscript"/>
          <w:lang w:eastAsia="en-US"/>
        </w:rPr>
        <w:t>th</w:t>
      </w:r>
      <w:r w:rsidRPr="00203719">
        <w:rPr>
          <w:rFonts w:asciiTheme="majorBidi" w:hAnsiTheme="majorBidi" w:cstheme="majorBidi"/>
          <w:snapToGrid w:val="0"/>
          <w:sz w:val="26"/>
          <w:szCs w:val="26"/>
          <w:lang w:eastAsia="en-US"/>
        </w:rPr>
        <w:t xml:space="preserve"> of each year to be the International Youth Day</w:t>
      </w:r>
      <w:r w:rsidR="000C6A61" w:rsidRPr="00203719">
        <w:rPr>
          <w:rFonts w:asciiTheme="majorBidi" w:hAnsiTheme="majorBidi" w:cstheme="majorBidi"/>
          <w:snapToGrid w:val="0"/>
          <w:sz w:val="26"/>
          <w:szCs w:val="26"/>
          <w:lang w:eastAsia="en-US"/>
        </w:rPr>
        <w:t xml:space="preserve">, </w:t>
      </w:r>
      <w:r w:rsidR="001E704A" w:rsidRPr="00203719">
        <w:rPr>
          <w:rFonts w:asciiTheme="majorBidi" w:hAnsiTheme="majorBidi" w:cstheme="majorBidi"/>
          <w:snapToGrid w:val="0"/>
          <w:sz w:val="26"/>
          <w:szCs w:val="26"/>
          <w:lang w:eastAsia="en-US"/>
        </w:rPr>
        <w:t xml:space="preserve">which </w:t>
      </w:r>
      <w:r w:rsidR="000C6A61" w:rsidRPr="00203719">
        <w:rPr>
          <w:rFonts w:asciiTheme="majorBidi" w:hAnsiTheme="majorBidi" w:cstheme="majorBidi"/>
          <w:snapToGrid w:val="0"/>
          <w:sz w:val="26"/>
          <w:szCs w:val="26"/>
          <w:lang w:eastAsia="en-US"/>
        </w:rPr>
        <w:t xml:space="preserve">serves as an annual celebration of the role of young women and men as essential partners in change, and an opportunity to raise awareness of challenges and problems facing the world’s youth. This year’s theme highlights efforts to make education more inclusive and accessible for all youth, including efforts by youth themselves. Rooted in </w:t>
      </w:r>
      <w:hyperlink r:id="rId8" w:history="1">
        <w:r w:rsidR="000C6A61" w:rsidRPr="00203719">
          <w:rPr>
            <w:rFonts w:asciiTheme="majorBidi" w:hAnsiTheme="majorBidi" w:cstheme="majorBidi"/>
            <w:snapToGrid w:val="0"/>
            <w:sz w:val="26"/>
            <w:szCs w:val="26"/>
            <w:lang w:eastAsia="en-US"/>
          </w:rPr>
          <w:t>Goal 4</w:t>
        </w:r>
      </w:hyperlink>
      <w:r w:rsidR="000C6A61" w:rsidRPr="00203719">
        <w:rPr>
          <w:rFonts w:asciiTheme="majorBidi" w:hAnsiTheme="majorBidi" w:cstheme="majorBidi"/>
          <w:snapToGrid w:val="0"/>
          <w:sz w:val="26"/>
          <w:szCs w:val="26"/>
          <w:lang w:eastAsia="en-US"/>
        </w:rPr>
        <w:t xml:space="preserve"> of the </w:t>
      </w:r>
      <w:hyperlink r:id="rId9" w:history="1">
        <w:r w:rsidR="000C6A61" w:rsidRPr="00203719">
          <w:rPr>
            <w:rFonts w:asciiTheme="majorBidi" w:hAnsiTheme="majorBidi" w:cstheme="majorBidi"/>
            <w:snapToGrid w:val="0"/>
            <w:sz w:val="26"/>
            <w:szCs w:val="26"/>
            <w:lang w:eastAsia="en-US"/>
          </w:rPr>
          <w:t>2030 Agenda for Sustainable Development</w:t>
        </w:r>
      </w:hyperlink>
      <w:r w:rsidR="000C6A61" w:rsidRPr="00203719">
        <w:rPr>
          <w:rFonts w:asciiTheme="majorBidi" w:hAnsiTheme="majorBidi" w:cstheme="majorBidi"/>
          <w:snapToGrid w:val="0"/>
          <w:sz w:val="26"/>
          <w:szCs w:val="26"/>
          <w:lang w:eastAsia="en-US"/>
        </w:rPr>
        <w:t xml:space="preserve"> – to “ensure inclusive and equitable quality education and promote lifelong learning opportunities for all”</w:t>
      </w:r>
    </w:p>
    <w:p w:rsidR="00A61BA4" w:rsidRPr="00552346" w:rsidRDefault="00552346" w:rsidP="00A61BA4">
      <w:pPr>
        <w:bidi w:val="0"/>
        <w:jc w:val="both"/>
        <w:rPr>
          <w:rFonts w:asciiTheme="majorBidi" w:hAnsiTheme="majorBidi" w:cstheme="majorBidi"/>
          <w:snapToGrid w:val="0"/>
          <w:color w:val="000000" w:themeColor="text1"/>
          <w:sz w:val="26"/>
          <w:szCs w:val="26"/>
          <w:rtl/>
          <w:lang w:eastAsia="en-US"/>
        </w:rPr>
      </w:pPr>
      <w:r w:rsidRPr="00552346">
        <w:rPr>
          <w:snapToGrid w:val="0"/>
          <w:color w:val="000000" w:themeColor="text1"/>
          <w:sz w:val="26"/>
          <w:szCs w:val="26"/>
        </w:rPr>
        <w:t>The United Nations defines the youth as the individuals in the age group (15-24 years) with the possibility of adjusting this category according to the specificity of each country. In this press release, the Palestinian Central Bureau of Statistics (PCBS) considered the youth as the individuals in the age group (18-29 years).</w:t>
      </w:r>
    </w:p>
    <w:p w:rsidR="00552346" w:rsidRPr="00585B1B" w:rsidRDefault="00552346" w:rsidP="00552346">
      <w:pPr>
        <w:bidi w:val="0"/>
        <w:jc w:val="both"/>
        <w:rPr>
          <w:rFonts w:asciiTheme="majorBidi" w:hAnsiTheme="majorBidi" w:cstheme="majorBidi"/>
          <w:snapToGrid w:val="0"/>
          <w:color w:val="000000" w:themeColor="text1"/>
          <w:sz w:val="16"/>
          <w:szCs w:val="16"/>
          <w:lang w:eastAsia="en-US"/>
        </w:rPr>
      </w:pPr>
    </w:p>
    <w:p w:rsidR="00D20B3A" w:rsidRPr="00552346" w:rsidRDefault="00D20B3A" w:rsidP="00507367">
      <w:pPr>
        <w:bidi w:val="0"/>
        <w:jc w:val="both"/>
        <w:rPr>
          <w:rFonts w:asciiTheme="majorBidi" w:hAnsiTheme="majorBidi" w:cstheme="majorBidi"/>
          <w:snapToGrid w:val="0"/>
          <w:color w:val="000000" w:themeColor="text1"/>
          <w:sz w:val="26"/>
          <w:szCs w:val="26"/>
          <w:lang w:eastAsia="en-US"/>
        </w:rPr>
      </w:pPr>
      <w:r w:rsidRPr="00552346">
        <w:rPr>
          <w:rFonts w:asciiTheme="majorBidi" w:hAnsiTheme="majorBidi" w:cstheme="majorBidi"/>
          <w:b/>
          <w:bCs/>
          <w:snapToGrid w:val="0"/>
          <w:color w:val="000000" w:themeColor="text1"/>
          <w:sz w:val="26"/>
          <w:szCs w:val="26"/>
          <w:lang w:eastAsia="en-US"/>
        </w:rPr>
        <w:t>About 1.</w:t>
      </w:r>
      <w:r w:rsidR="00507367" w:rsidRPr="00552346">
        <w:rPr>
          <w:rFonts w:asciiTheme="majorBidi" w:hAnsiTheme="majorBidi" w:cstheme="majorBidi"/>
          <w:b/>
          <w:bCs/>
          <w:snapToGrid w:val="0"/>
          <w:color w:val="000000" w:themeColor="text1"/>
          <w:sz w:val="26"/>
          <w:szCs w:val="26"/>
          <w:lang w:eastAsia="en-US"/>
        </w:rPr>
        <w:t>1</w:t>
      </w:r>
      <w:r w:rsidRPr="00552346">
        <w:rPr>
          <w:rFonts w:asciiTheme="majorBidi" w:hAnsiTheme="majorBidi" w:cstheme="majorBidi"/>
          <w:b/>
          <w:bCs/>
          <w:snapToGrid w:val="0"/>
          <w:color w:val="000000" w:themeColor="text1"/>
          <w:sz w:val="26"/>
          <w:szCs w:val="26"/>
          <w:lang w:eastAsia="en-US"/>
        </w:rPr>
        <w:t xml:space="preserve"> million youth in Palestine</w:t>
      </w:r>
    </w:p>
    <w:p w:rsidR="00054720" w:rsidRPr="00552346" w:rsidRDefault="00D20B3A" w:rsidP="00507367">
      <w:pPr>
        <w:bidi w:val="0"/>
        <w:jc w:val="both"/>
        <w:rPr>
          <w:rFonts w:asciiTheme="majorBidi" w:hAnsiTheme="majorBidi" w:cstheme="majorBidi"/>
          <w:snapToGrid w:val="0"/>
          <w:color w:val="000000" w:themeColor="text1"/>
          <w:sz w:val="26"/>
          <w:szCs w:val="26"/>
          <w:rtl/>
          <w:lang w:eastAsia="en-US"/>
        </w:rPr>
      </w:pPr>
      <w:r w:rsidRPr="00552346">
        <w:rPr>
          <w:rFonts w:asciiTheme="majorBidi" w:hAnsiTheme="majorBidi" w:cstheme="majorBidi"/>
          <w:snapToGrid w:val="0"/>
          <w:color w:val="000000" w:themeColor="text1"/>
          <w:sz w:val="26"/>
          <w:szCs w:val="26"/>
          <w:lang w:eastAsia="en-US"/>
        </w:rPr>
        <w:t>The percentage of youth (</w:t>
      </w:r>
      <w:r w:rsidR="00507367" w:rsidRPr="00552346">
        <w:rPr>
          <w:rFonts w:asciiTheme="majorBidi" w:hAnsiTheme="majorBidi" w:cstheme="majorBidi"/>
          <w:snapToGrid w:val="0"/>
          <w:color w:val="000000" w:themeColor="text1"/>
          <w:sz w:val="26"/>
          <w:szCs w:val="26"/>
          <w:lang w:eastAsia="en-US"/>
        </w:rPr>
        <w:t>18</w:t>
      </w:r>
      <w:r w:rsidRPr="00552346">
        <w:rPr>
          <w:rFonts w:asciiTheme="majorBidi" w:hAnsiTheme="majorBidi" w:cstheme="majorBidi"/>
          <w:snapToGrid w:val="0"/>
          <w:color w:val="000000" w:themeColor="text1"/>
          <w:sz w:val="26"/>
          <w:szCs w:val="26"/>
          <w:lang w:eastAsia="en-US"/>
        </w:rPr>
        <w:t xml:space="preserve">-29 years) in Palestine was about </w:t>
      </w:r>
      <w:r w:rsidR="00507367" w:rsidRPr="00552346">
        <w:rPr>
          <w:rFonts w:asciiTheme="majorBidi" w:hAnsiTheme="majorBidi" w:cstheme="majorBidi"/>
          <w:snapToGrid w:val="0"/>
          <w:color w:val="000000" w:themeColor="text1"/>
          <w:sz w:val="26"/>
          <w:szCs w:val="26"/>
          <w:lang w:eastAsia="en-US"/>
        </w:rPr>
        <w:t>23</w:t>
      </w:r>
      <w:r w:rsidRPr="00552346">
        <w:rPr>
          <w:rFonts w:asciiTheme="majorBidi" w:hAnsiTheme="majorBidi" w:cstheme="majorBidi"/>
          <w:snapToGrid w:val="0"/>
          <w:color w:val="000000" w:themeColor="text1"/>
          <w:sz w:val="26"/>
          <w:szCs w:val="26"/>
          <w:lang w:eastAsia="en-US"/>
        </w:rPr>
        <w:t>% of the total population (1.</w:t>
      </w:r>
      <w:r w:rsidR="00507367" w:rsidRPr="00552346">
        <w:rPr>
          <w:rFonts w:asciiTheme="majorBidi" w:hAnsiTheme="majorBidi" w:cstheme="majorBidi"/>
          <w:snapToGrid w:val="0"/>
          <w:color w:val="000000" w:themeColor="text1"/>
          <w:sz w:val="26"/>
          <w:szCs w:val="26"/>
          <w:lang w:eastAsia="en-US"/>
        </w:rPr>
        <w:t>13</w:t>
      </w:r>
      <w:r w:rsidRPr="00552346">
        <w:rPr>
          <w:rFonts w:asciiTheme="majorBidi" w:hAnsiTheme="majorBidi" w:cstheme="majorBidi"/>
          <w:snapToGrid w:val="0"/>
          <w:color w:val="000000" w:themeColor="text1"/>
          <w:sz w:val="26"/>
          <w:szCs w:val="26"/>
          <w:lang w:eastAsia="en-US"/>
        </w:rPr>
        <w:t xml:space="preserve"> million</w:t>
      </w:r>
      <w:r w:rsidR="00507367" w:rsidRPr="00552346">
        <w:rPr>
          <w:rFonts w:asciiTheme="majorBidi" w:hAnsiTheme="majorBidi" w:cstheme="majorBidi"/>
          <w:snapToGrid w:val="0"/>
          <w:color w:val="000000" w:themeColor="text1"/>
          <w:sz w:val="26"/>
          <w:szCs w:val="26"/>
          <w:lang w:eastAsia="en-US"/>
        </w:rPr>
        <w:t>)</w:t>
      </w:r>
      <w:r w:rsidR="00890A16" w:rsidRPr="00552346">
        <w:rPr>
          <w:rFonts w:asciiTheme="majorBidi" w:hAnsiTheme="majorBidi" w:cstheme="majorBidi"/>
          <w:snapToGrid w:val="0"/>
          <w:color w:val="000000" w:themeColor="text1"/>
          <w:sz w:val="26"/>
          <w:szCs w:val="26"/>
          <w:lang w:eastAsia="en-US"/>
        </w:rPr>
        <w:t xml:space="preserve">, </w:t>
      </w:r>
      <w:r w:rsidR="00054720" w:rsidRPr="00552346">
        <w:rPr>
          <w:rFonts w:asciiTheme="majorBidi" w:hAnsiTheme="majorBidi" w:cstheme="majorBidi"/>
          <w:snapToGrid w:val="0"/>
          <w:color w:val="000000" w:themeColor="text1"/>
          <w:sz w:val="26"/>
          <w:szCs w:val="26"/>
          <w:lang w:eastAsia="en-US"/>
        </w:rPr>
        <w:t xml:space="preserve">and a </w:t>
      </w:r>
      <w:r w:rsidR="004800F3" w:rsidRPr="00552346">
        <w:rPr>
          <w:rFonts w:asciiTheme="majorBidi" w:hAnsiTheme="majorBidi" w:cstheme="majorBidi"/>
          <w:snapToGrid w:val="0"/>
          <w:color w:val="000000" w:themeColor="text1"/>
          <w:sz w:val="26"/>
          <w:szCs w:val="26"/>
          <w:lang w:eastAsia="en-US"/>
        </w:rPr>
        <w:t>sex</w:t>
      </w:r>
      <w:r w:rsidR="00054720" w:rsidRPr="00552346">
        <w:rPr>
          <w:rFonts w:asciiTheme="majorBidi" w:hAnsiTheme="majorBidi" w:cstheme="majorBidi"/>
          <w:snapToGrid w:val="0"/>
          <w:color w:val="000000" w:themeColor="text1"/>
          <w:sz w:val="26"/>
          <w:szCs w:val="26"/>
          <w:lang w:eastAsia="en-US"/>
        </w:rPr>
        <w:t xml:space="preserve"> ratio of </w:t>
      </w:r>
      <w:r w:rsidR="00890A16" w:rsidRPr="00552346">
        <w:rPr>
          <w:rFonts w:asciiTheme="majorBidi" w:hAnsiTheme="majorBidi" w:cstheme="majorBidi"/>
          <w:snapToGrid w:val="0"/>
          <w:color w:val="000000" w:themeColor="text1"/>
          <w:sz w:val="26"/>
          <w:szCs w:val="26"/>
          <w:lang w:eastAsia="en-US"/>
        </w:rPr>
        <w:t>105</w:t>
      </w:r>
      <w:r w:rsidR="00054720" w:rsidRPr="00552346">
        <w:rPr>
          <w:rFonts w:asciiTheme="majorBidi" w:hAnsiTheme="majorBidi" w:cstheme="majorBidi"/>
          <w:snapToGrid w:val="0"/>
          <w:color w:val="000000" w:themeColor="text1"/>
          <w:sz w:val="26"/>
          <w:szCs w:val="26"/>
          <w:lang w:eastAsia="en-US"/>
        </w:rPr>
        <w:t xml:space="preserve"> males per 100 females. </w:t>
      </w:r>
      <w:r w:rsidR="00527D96" w:rsidRPr="00552346">
        <w:rPr>
          <w:rFonts w:asciiTheme="majorBidi" w:hAnsiTheme="majorBidi" w:cstheme="majorBidi"/>
          <w:snapToGrid w:val="0"/>
          <w:color w:val="000000" w:themeColor="text1"/>
          <w:sz w:val="26"/>
          <w:szCs w:val="26"/>
          <w:lang w:eastAsia="en-US"/>
        </w:rPr>
        <w:t>It is worth n</w:t>
      </w:r>
      <w:r w:rsidR="00725B83" w:rsidRPr="00552346">
        <w:rPr>
          <w:rFonts w:asciiTheme="majorBidi" w:hAnsiTheme="majorBidi" w:cstheme="majorBidi"/>
          <w:snapToGrid w:val="0"/>
          <w:color w:val="000000" w:themeColor="text1"/>
          <w:sz w:val="26"/>
          <w:szCs w:val="26"/>
          <w:lang w:eastAsia="en-US"/>
        </w:rPr>
        <w:t>ot</w:t>
      </w:r>
      <w:r w:rsidR="00527D96" w:rsidRPr="00552346">
        <w:rPr>
          <w:rFonts w:asciiTheme="majorBidi" w:hAnsiTheme="majorBidi" w:cstheme="majorBidi"/>
          <w:snapToGrid w:val="0"/>
          <w:color w:val="000000" w:themeColor="text1"/>
          <w:sz w:val="26"/>
          <w:szCs w:val="26"/>
          <w:lang w:eastAsia="en-US"/>
        </w:rPr>
        <w:t>ing</w:t>
      </w:r>
      <w:r w:rsidR="00725B83" w:rsidRPr="00552346">
        <w:rPr>
          <w:rFonts w:asciiTheme="majorBidi" w:hAnsiTheme="majorBidi" w:cstheme="majorBidi"/>
          <w:snapToGrid w:val="0"/>
          <w:color w:val="000000" w:themeColor="text1"/>
          <w:sz w:val="26"/>
          <w:szCs w:val="26"/>
          <w:lang w:eastAsia="en-US"/>
        </w:rPr>
        <w:t xml:space="preserve"> that the population estimates in Palestine in the mid of 2019 indicate that the total population reached about 4.98 million, knowing that the proportion of youth people was also about </w:t>
      </w:r>
      <w:r w:rsidR="00507367" w:rsidRPr="00552346">
        <w:rPr>
          <w:rFonts w:asciiTheme="majorBidi" w:hAnsiTheme="majorBidi" w:cstheme="majorBidi"/>
          <w:snapToGrid w:val="0"/>
          <w:color w:val="000000" w:themeColor="text1"/>
          <w:sz w:val="26"/>
          <w:szCs w:val="26"/>
          <w:lang w:eastAsia="en-US"/>
        </w:rPr>
        <w:t>23</w:t>
      </w:r>
      <w:r w:rsidR="00725B83" w:rsidRPr="00552346">
        <w:rPr>
          <w:rFonts w:asciiTheme="majorBidi" w:hAnsiTheme="majorBidi" w:cstheme="majorBidi"/>
          <w:snapToGrid w:val="0"/>
          <w:color w:val="000000" w:themeColor="text1"/>
          <w:sz w:val="26"/>
          <w:szCs w:val="26"/>
          <w:lang w:eastAsia="en-US"/>
        </w:rPr>
        <w:t>% in both the West Bank and Gaza Strip.</w:t>
      </w:r>
    </w:p>
    <w:p w:rsidR="00A65B1B" w:rsidRPr="00585B1B" w:rsidRDefault="00A65B1B" w:rsidP="00C1193D">
      <w:pPr>
        <w:pStyle w:val="Header"/>
        <w:bidi w:val="0"/>
        <w:jc w:val="lowKashida"/>
        <w:rPr>
          <w:rFonts w:asciiTheme="majorBidi" w:hAnsiTheme="majorBidi" w:cstheme="majorBidi"/>
          <w:color w:val="000000" w:themeColor="text1"/>
          <w:sz w:val="16"/>
          <w:szCs w:val="16"/>
          <w:rtl/>
        </w:rPr>
      </w:pPr>
    </w:p>
    <w:p w:rsidR="00725B83" w:rsidRPr="00552346" w:rsidRDefault="00725B83" w:rsidP="00725B83">
      <w:pPr>
        <w:bidi w:val="0"/>
        <w:jc w:val="both"/>
        <w:rPr>
          <w:rFonts w:asciiTheme="majorBidi" w:hAnsiTheme="majorBidi" w:cstheme="majorBidi"/>
          <w:b/>
          <w:bCs/>
          <w:snapToGrid w:val="0"/>
          <w:color w:val="000000" w:themeColor="text1"/>
          <w:sz w:val="26"/>
          <w:szCs w:val="26"/>
          <w:lang w:eastAsia="en-US"/>
        </w:rPr>
      </w:pPr>
      <w:bookmarkStart w:id="1" w:name="OLE_LINK1"/>
      <w:bookmarkStart w:id="2" w:name="OLE_LINK2"/>
      <w:r w:rsidRPr="00552346">
        <w:rPr>
          <w:rFonts w:asciiTheme="majorBidi" w:hAnsiTheme="majorBidi" w:cstheme="majorBidi"/>
          <w:b/>
          <w:bCs/>
          <w:snapToGrid w:val="0"/>
          <w:color w:val="000000" w:themeColor="text1"/>
          <w:sz w:val="26"/>
          <w:szCs w:val="26"/>
          <w:lang w:eastAsia="en-US"/>
        </w:rPr>
        <w:t>15% of Palestinian households headed by youth</w:t>
      </w:r>
    </w:p>
    <w:p w:rsidR="005E27BD" w:rsidRPr="00552346" w:rsidRDefault="005E27BD" w:rsidP="00507367">
      <w:pPr>
        <w:bidi w:val="0"/>
        <w:jc w:val="both"/>
        <w:rPr>
          <w:rFonts w:asciiTheme="majorBidi" w:hAnsiTheme="majorBidi" w:cstheme="majorBidi"/>
          <w:snapToGrid w:val="0"/>
          <w:color w:val="000000" w:themeColor="text1"/>
          <w:sz w:val="26"/>
          <w:szCs w:val="26"/>
          <w:rtl/>
          <w:lang w:eastAsia="en-US"/>
        </w:rPr>
      </w:pPr>
      <w:r w:rsidRPr="00552346">
        <w:rPr>
          <w:rFonts w:asciiTheme="majorBidi" w:hAnsiTheme="majorBidi" w:cstheme="majorBidi"/>
          <w:snapToGrid w:val="0"/>
          <w:color w:val="000000" w:themeColor="text1"/>
          <w:sz w:val="26"/>
          <w:szCs w:val="26"/>
          <w:lang w:eastAsia="en-US"/>
        </w:rPr>
        <w:t xml:space="preserve">According to the </w:t>
      </w:r>
      <w:r w:rsidR="000611B5" w:rsidRPr="00552346">
        <w:rPr>
          <w:rFonts w:asciiTheme="majorBidi" w:hAnsiTheme="majorBidi" w:cstheme="majorBidi"/>
          <w:snapToGrid w:val="0"/>
          <w:color w:val="000000" w:themeColor="text1"/>
          <w:sz w:val="26"/>
          <w:szCs w:val="26"/>
          <w:lang w:eastAsia="en-US"/>
        </w:rPr>
        <w:t xml:space="preserve">data of the </w:t>
      </w:r>
      <w:r w:rsidRPr="00552346">
        <w:rPr>
          <w:rFonts w:asciiTheme="majorBidi" w:hAnsiTheme="majorBidi" w:cstheme="majorBidi"/>
          <w:snapToGrid w:val="0"/>
          <w:color w:val="000000" w:themeColor="text1"/>
          <w:sz w:val="26"/>
          <w:szCs w:val="26"/>
          <w:lang w:eastAsia="en-US"/>
        </w:rPr>
        <w:t xml:space="preserve">Population, Housing and Establishments </w:t>
      </w:r>
      <w:r w:rsidR="000611B5" w:rsidRPr="00552346">
        <w:rPr>
          <w:rFonts w:asciiTheme="majorBidi" w:hAnsiTheme="majorBidi" w:cstheme="majorBidi"/>
          <w:snapToGrid w:val="0"/>
          <w:color w:val="000000" w:themeColor="text1"/>
          <w:sz w:val="26"/>
          <w:szCs w:val="26"/>
          <w:lang w:eastAsia="en-US"/>
        </w:rPr>
        <w:t xml:space="preserve">Census </w:t>
      </w:r>
      <w:r w:rsidRPr="00552346">
        <w:rPr>
          <w:rFonts w:asciiTheme="majorBidi" w:hAnsiTheme="majorBidi" w:cstheme="majorBidi"/>
          <w:snapToGrid w:val="0"/>
          <w:color w:val="000000" w:themeColor="text1"/>
          <w:sz w:val="26"/>
          <w:szCs w:val="26"/>
          <w:lang w:eastAsia="en-US"/>
        </w:rPr>
        <w:t xml:space="preserve">2017, the percentage of households headed by </w:t>
      </w:r>
      <w:r w:rsidR="004800F3" w:rsidRPr="00552346">
        <w:rPr>
          <w:rFonts w:asciiTheme="majorBidi" w:hAnsiTheme="majorBidi" w:cstheme="majorBidi"/>
          <w:snapToGrid w:val="0"/>
          <w:color w:val="000000" w:themeColor="text1"/>
          <w:sz w:val="26"/>
          <w:szCs w:val="26"/>
          <w:lang w:eastAsia="en-US"/>
        </w:rPr>
        <w:t>youth</w:t>
      </w:r>
      <w:r w:rsidR="004800F3" w:rsidRPr="00552346">
        <w:rPr>
          <w:rFonts w:asciiTheme="majorBidi" w:hAnsiTheme="majorBidi" w:cstheme="majorBidi"/>
          <w:b/>
          <w:bCs/>
          <w:snapToGrid w:val="0"/>
          <w:color w:val="000000" w:themeColor="text1"/>
          <w:sz w:val="26"/>
          <w:szCs w:val="26"/>
          <w:lang w:eastAsia="en-US"/>
        </w:rPr>
        <w:t xml:space="preserve"> </w:t>
      </w:r>
      <w:r w:rsidRPr="00552346">
        <w:rPr>
          <w:rFonts w:asciiTheme="majorBidi" w:hAnsiTheme="majorBidi" w:cstheme="majorBidi"/>
          <w:snapToGrid w:val="0"/>
          <w:color w:val="000000" w:themeColor="text1"/>
          <w:sz w:val="26"/>
          <w:szCs w:val="26"/>
          <w:lang w:eastAsia="en-US"/>
        </w:rPr>
        <w:t>(</w:t>
      </w:r>
      <w:r w:rsidR="00507367" w:rsidRPr="00552346">
        <w:rPr>
          <w:rFonts w:asciiTheme="majorBidi" w:hAnsiTheme="majorBidi" w:cstheme="majorBidi"/>
          <w:snapToGrid w:val="0"/>
          <w:color w:val="000000" w:themeColor="text1"/>
          <w:sz w:val="26"/>
          <w:szCs w:val="26"/>
          <w:lang w:eastAsia="en-US"/>
        </w:rPr>
        <w:t>18</w:t>
      </w:r>
      <w:r w:rsidRPr="00552346">
        <w:rPr>
          <w:rFonts w:asciiTheme="majorBidi" w:hAnsiTheme="majorBidi" w:cstheme="majorBidi"/>
          <w:snapToGrid w:val="0"/>
          <w:color w:val="000000" w:themeColor="text1"/>
          <w:sz w:val="26"/>
          <w:szCs w:val="26"/>
          <w:lang w:eastAsia="en-US"/>
        </w:rPr>
        <w:t xml:space="preserve">-29 years) </w:t>
      </w:r>
      <w:r w:rsidR="00D24CD1" w:rsidRPr="00552346">
        <w:rPr>
          <w:rFonts w:asciiTheme="majorBidi" w:hAnsiTheme="majorBidi" w:cstheme="majorBidi"/>
          <w:snapToGrid w:val="0"/>
          <w:color w:val="000000" w:themeColor="text1"/>
          <w:sz w:val="26"/>
          <w:szCs w:val="26"/>
          <w:lang w:eastAsia="en-US"/>
        </w:rPr>
        <w:t>in Palestine was</w:t>
      </w:r>
      <w:r w:rsidRPr="00552346">
        <w:rPr>
          <w:rFonts w:asciiTheme="majorBidi" w:hAnsiTheme="majorBidi" w:cstheme="majorBidi"/>
          <w:snapToGrid w:val="0"/>
          <w:color w:val="000000" w:themeColor="text1"/>
          <w:sz w:val="26"/>
          <w:szCs w:val="26"/>
          <w:lang w:eastAsia="en-US"/>
        </w:rPr>
        <w:t xml:space="preserve"> </w:t>
      </w:r>
      <w:r w:rsidR="005B2C68" w:rsidRPr="00552346">
        <w:rPr>
          <w:rFonts w:asciiTheme="majorBidi" w:hAnsiTheme="majorBidi" w:cstheme="majorBidi"/>
          <w:snapToGrid w:val="0"/>
          <w:color w:val="000000" w:themeColor="text1"/>
          <w:sz w:val="26"/>
          <w:szCs w:val="26"/>
          <w:lang w:eastAsia="en-US"/>
        </w:rPr>
        <w:t>15</w:t>
      </w:r>
      <w:r w:rsidRPr="00552346">
        <w:rPr>
          <w:rFonts w:asciiTheme="majorBidi" w:hAnsiTheme="majorBidi" w:cstheme="majorBidi"/>
          <w:snapToGrid w:val="0"/>
          <w:color w:val="000000" w:themeColor="text1"/>
          <w:sz w:val="26"/>
          <w:szCs w:val="26"/>
          <w:lang w:eastAsia="en-US"/>
        </w:rPr>
        <w:t xml:space="preserve">% </w:t>
      </w:r>
      <w:r w:rsidR="00D24CD1" w:rsidRPr="00552346">
        <w:rPr>
          <w:rFonts w:asciiTheme="majorBidi" w:hAnsiTheme="majorBidi" w:cstheme="majorBidi"/>
          <w:snapToGrid w:val="0"/>
          <w:color w:val="000000" w:themeColor="text1"/>
          <w:sz w:val="26"/>
          <w:szCs w:val="26"/>
          <w:lang w:eastAsia="en-US"/>
        </w:rPr>
        <w:t>(</w:t>
      </w:r>
      <w:r w:rsidR="005B2C68" w:rsidRPr="00552346">
        <w:rPr>
          <w:rFonts w:asciiTheme="majorBidi" w:hAnsiTheme="majorBidi" w:cstheme="majorBidi"/>
          <w:snapToGrid w:val="0"/>
          <w:color w:val="000000" w:themeColor="text1"/>
          <w:sz w:val="26"/>
          <w:szCs w:val="26"/>
          <w:lang w:eastAsia="en-US"/>
        </w:rPr>
        <w:t>14</w:t>
      </w:r>
      <w:r w:rsidRPr="00552346">
        <w:rPr>
          <w:rFonts w:asciiTheme="majorBidi" w:hAnsiTheme="majorBidi" w:cstheme="majorBidi"/>
          <w:snapToGrid w:val="0"/>
          <w:color w:val="000000" w:themeColor="text1"/>
          <w:sz w:val="26"/>
          <w:szCs w:val="26"/>
          <w:lang w:eastAsia="en-US"/>
        </w:rPr>
        <w:t xml:space="preserve">% in the West Bank and </w:t>
      </w:r>
      <w:r w:rsidR="00D444DD" w:rsidRPr="00552346">
        <w:rPr>
          <w:rFonts w:asciiTheme="majorBidi" w:hAnsiTheme="majorBidi" w:cstheme="majorBidi"/>
          <w:snapToGrid w:val="0"/>
          <w:color w:val="000000" w:themeColor="text1"/>
          <w:sz w:val="26"/>
          <w:szCs w:val="26"/>
          <w:lang w:eastAsia="en-US"/>
        </w:rPr>
        <w:t>17</w:t>
      </w:r>
      <w:r w:rsidRPr="00552346">
        <w:rPr>
          <w:rFonts w:asciiTheme="majorBidi" w:hAnsiTheme="majorBidi" w:cstheme="majorBidi"/>
          <w:snapToGrid w:val="0"/>
          <w:color w:val="000000" w:themeColor="text1"/>
          <w:sz w:val="26"/>
          <w:szCs w:val="26"/>
          <w:lang w:eastAsia="en-US"/>
        </w:rPr>
        <w:t>% in Gaza Strip</w:t>
      </w:r>
      <w:r w:rsidR="00D24CD1" w:rsidRPr="00552346">
        <w:rPr>
          <w:rFonts w:asciiTheme="majorBidi" w:hAnsiTheme="majorBidi" w:cstheme="majorBidi"/>
          <w:snapToGrid w:val="0"/>
          <w:color w:val="000000" w:themeColor="text1"/>
          <w:sz w:val="26"/>
          <w:szCs w:val="26"/>
          <w:lang w:eastAsia="en-US"/>
        </w:rPr>
        <w:t>)</w:t>
      </w:r>
      <w:r w:rsidRPr="00552346">
        <w:rPr>
          <w:rFonts w:asciiTheme="majorBidi" w:hAnsiTheme="majorBidi" w:cstheme="majorBidi"/>
          <w:snapToGrid w:val="0"/>
          <w:color w:val="000000" w:themeColor="text1"/>
          <w:sz w:val="26"/>
          <w:szCs w:val="26"/>
          <w:lang w:eastAsia="en-US"/>
        </w:rPr>
        <w:t xml:space="preserve">. While in 2007 this percentage was </w:t>
      </w:r>
      <w:r w:rsidR="00D444DD" w:rsidRPr="00552346">
        <w:rPr>
          <w:rFonts w:asciiTheme="majorBidi" w:hAnsiTheme="majorBidi" w:cstheme="majorBidi"/>
          <w:snapToGrid w:val="0"/>
          <w:color w:val="000000" w:themeColor="text1"/>
          <w:sz w:val="26"/>
          <w:szCs w:val="26"/>
          <w:lang w:eastAsia="en-US"/>
        </w:rPr>
        <w:t>9</w:t>
      </w:r>
      <w:r w:rsidRPr="00552346">
        <w:rPr>
          <w:rFonts w:asciiTheme="majorBidi" w:hAnsiTheme="majorBidi" w:cstheme="majorBidi"/>
          <w:snapToGrid w:val="0"/>
          <w:color w:val="000000" w:themeColor="text1"/>
          <w:sz w:val="26"/>
          <w:szCs w:val="26"/>
          <w:lang w:eastAsia="en-US"/>
        </w:rPr>
        <w:t xml:space="preserve">% in Palestine </w:t>
      </w:r>
      <w:r w:rsidR="00FB0438" w:rsidRPr="00552346">
        <w:rPr>
          <w:rFonts w:asciiTheme="majorBidi" w:hAnsiTheme="majorBidi" w:cstheme="majorBidi"/>
          <w:snapToGrid w:val="0"/>
          <w:color w:val="000000" w:themeColor="text1"/>
          <w:sz w:val="26"/>
          <w:szCs w:val="26"/>
          <w:lang w:eastAsia="en-US"/>
        </w:rPr>
        <w:t>(</w:t>
      </w:r>
      <w:r w:rsidR="00D444DD" w:rsidRPr="00552346">
        <w:rPr>
          <w:rFonts w:asciiTheme="majorBidi" w:hAnsiTheme="majorBidi" w:cstheme="majorBidi"/>
          <w:snapToGrid w:val="0"/>
          <w:color w:val="000000" w:themeColor="text1"/>
          <w:sz w:val="26"/>
          <w:szCs w:val="26"/>
          <w:lang w:eastAsia="en-US"/>
        </w:rPr>
        <w:t>10</w:t>
      </w:r>
      <w:r w:rsidRPr="00552346">
        <w:rPr>
          <w:rFonts w:asciiTheme="majorBidi" w:hAnsiTheme="majorBidi" w:cstheme="majorBidi"/>
          <w:snapToGrid w:val="0"/>
          <w:color w:val="000000" w:themeColor="text1"/>
          <w:sz w:val="26"/>
          <w:szCs w:val="26"/>
          <w:lang w:eastAsia="en-US"/>
        </w:rPr>
        <w:t>% in the West Bank and 8% in Gaza Strip</w:t>
      </w:r>
      <w:r w:rsidR="00FB0438" w:rsidRPr="00552346">
        <w:rPr>
          <w:rFonts w:asciiTheme="majorBidi" w:hAnsiTheme="majorBidi" w:cstheme="majorBidi"/>
          <w:snapToGrid w:val="0"/>
          <w:color w:val="000000" w:themeColor="text1"/>
          <w:sz w:val="26"/>
          <w:szCs w:val="26"/>
          <w:lang w:eastAsia="en-US"/>
        </w:rPr>
        <w:t>)</w:t>
      </w:r>
      <w:r w:rsidRPr="00552346">
        <w:rPr>
          <w:rFonts w:asciiTheme="majorBidi" w:hAnsiTheme="majorBidi" w:cstheme="majorBidi"/>
          <w:snapToGrid w:val="0"/>
          <w:color w:val="000000" w:themeColor="text1"/>
          <w:sz w:val="26"/>
          <w:szCs w:val="26"/>
          <w:lang w:eastAsia="en-US"/>
        </w:rPr>
        <w:t xml:space="preserve">. Which </w:t>
      </w:r>
      <w:r w:rsidR="00E03BFA" w:rsidRPr="00552346">
        <w:rPr>
          <w:rFonts w:asciiTheme="majorBidi" w:hAnsiTheme="majorBidi" w:cstheme="majorBidi"/>
          <w:snapToGrid w:val="0"/>
          <w:color w:val="000000" w:themeColor="text1"/>
          <w:sz w:val="26"/>
          <w:szCs w:val="26"/>
          <w:lang w:eastAsia="en-US"/>
        </w:rPr>
        <w:t>indicates</w:t>
      </w:r>
      <w:r w:rsidR="00F12296" w:rsidRPr="00552346">
        <w:rPr>
          <w:rFonts w:asciiTheme="majorBidi" w:hAnsiTheme="majorBidi" w:cstheme="majorBidi"/>
          <w:snapToGrid w:val="0"/>
          <w:color w:val="000000" w:themeColor="text1"/>
          <w:sz w:val="26"/>
          <w:szCs w:val="26"/>
          <w:lang w:eastAsia="en-US"/>
        </w:rPr>
        <w:t xml:space="preserve"> an</w:t>
      </w:r>
      <w:r w:rsidR="00E03BFA" w:rsidRPr="00552346">
        <w:rPr>
          <w:rFonts w:asciiTheme="majorBidi" w:hAnsiTheme="majorBidi" w:cstheme="majorBidi"/>
          <w:snapToGrid w:val="0"/>
          <w:color w:val="000000" w:themeColor="text1"/>
          <w:sz w:val="26"/>
          <w:szCs w:val="26"/>
          <w:lang w:eastAsia="en-US"/>
        </w:rPr>
        <w:t xml:space="preserve"> </w:t>
      </w:r>
      <w:r w:rsidRPr="00552346">
        <w:rPr>
          <w:rFonts w:asciiTheme="majorBidi" w:hAnsiTheme="majorBidi" w:cstheme="majorBidi"/>
          <w:snapToGrid w:val="0"/>
          <w:color w:val="000000" w:themeColor="text1"/>
          <w:sz w:val="26"/>
          <w:szCs w:val="26"/>
          <w:lang w:eastAsia="en-US"/>
        </w:rPr>
        <w:t xml:space="preserve">increase </w:t>
      </w:r>
      <w:r w:rsidR="00F12296" w:rsidRPr="00552346">
        <w:rPr>
          <w:rFonts w:asciiTheme="majorBidi" w:hAnsiTheme="majorBidi" w:cstheme="majorBidi"/>
          <w:snapToGrid w:val="0"/>
          <w:color w:val="000000" w:themeColor="text1"/>
          <w:sz w:val="26"/>
          <w:szCs w:val="26"/>
          <w:lang w:eastAsia="en-US"/>
        </w:rPr>
        <w:t>in</w:t>
      </w:r>
      <w:r w:rsidRPr="00552346">
        <w:rPr>
          <w:rFonts w:asciiTheme="majorBidi" w:hAnsiTheme="majorBidi" w:cstheme="majorBidi"/>
          <w:snapToGrid w:val="0"/>
          <w:color w:val="000000" w:themeColor="text1"/>
          <w:sz w:val="26"/>
          <w:szCs w:val="26"/>
          <w:lang w:eastAsia="en-US"/>
        </w:rPr>
        <w:t xml:space="preserve"> the social and economic challenges </w:t>
      </w:r>
      <w:r w:rsidR="00F12296" w:rsidRPr="00552346">
        <w:rPr>
          <w:rFonts w:asciiTheme="majorBidi" w:hAnsiTheme="majorBidi" w:cstheme="majorBidi"/>
          <w:snapToGrid w:val="0"/>
          <w:color w:val="000000" w:themeColor="text1"/>
          <w:sz w:val="26"/>
          <w:szCs w:val="26"/>
          <w:lang w:eastAsia="en-US"/>
        </w:rPr>
        <w:t>that face</w:t>
      </w:r>
      <w:r w:rsidRPr="00552346">
        <w:rPr>
          <w:rFonts w:asciiTheme="majorBidi" w:hAnsiTheme="majorBidi" w:cstheme="majorBidi"/>
          <w:snapToGrid w:val="0"/>
          <w:color w:val="000000" w:themeColor="text1"/>
          <w:sz w:val="26"/>
          <w:szCs w:val="26"/>
          <w:lang w:eastAsia="en-US"/>
        </w:rPr>
        <w:t xml:space="preserve"> </w:t>
      </w:r>
      <w:r w:rsidR="00734138" w:rsidRPr="00552346">
        <w:rPr>
          <w:rFonts w:asciiTheme="majorBidi" w:hAnsiTheme="majorBidi" w:cstheme="majorBidi"/>
          <w:snapToGrid w:val="0"/>
          <w:color w:val="000000" w:themeColor="text1"/>
          <w:sz w:val="26"/>
          <w:szCs w:val="26"/>
          <w:lang w:eastAsia="en-US"/>
        </w:rPr>
        <w:t>the youth</w:t>
      </w:r>
      <w:r w:rsidRPr="00552346">
        <w:rPr>
          <w:rFonts w:asciiTheme="majorBidi" w:hAnsiTheme="majorBidi" w:cstheme="majorBidi"/>
          <w:snapToGrid w:val="0"/>
          <w:color w:val="000000" w:themeColor="text1"/>
          <w:sz w:val="26"/>
          <w:szCs w:val="26"/>
          <w:rtl/>
          <w:lang w:eastAsia="en-US"/>
        </w:rPr>
        <w:t>.</w:t>
      </w:r>
    </w:p>
    <w:p w:rsidR="00690B3D" w:rsidRPr="00552346" w:rsidRDefault="00690B3D" w:rsidP="00C1193D">
      <w:pPr>
        <w:bidi w:val="0"/>
        <w:jc w:val="both"/>
        <w:rPr>
          <w:rFonts w:asciiTheme="majorBidi" w:hAnsiTheme="majorBidi" w:cstheme="majorBidi"/>
          <w:snapToGrid w:val="0"/>
          <w:color w:val="000000" w:themeColor="text1"/>
          <w:sz w:val="26"/>
          <w:szCs w:val="26"/>
          <w:rtl/>
          <w:lang w:eastAsia="en-US"/>
        </w:rPr>
      </w:pPr>
    </w:p>
    <w:p w:rsidR="00725B83" w:rsidRPr="00552346" w:rsidRDefault="00507367" w:rsidP="001E4C3A">
      <w:pPr>
        <w:bidi w:val="0"/>
        <w:jc w:val="both"/>
        <w:rPr>
          <w:rFonts w:asciiTheme="majorBidi" w:hAnsiTheme="majorBidi" w:cstheme="majorBidi"/>
          <w:b/>
          <w:bCs/>
          <w:snapToGrid w:val="0"/>
          <w:color w:val="000000" w:themeColor="text1"/>
          <w:sz w:val="26"/>
          <w:szCs w:val="26"/>
          <w:lang w:eastAsia="en-US"/>
        </w:rPr>
      </w:pPr>
      <w:r w:rsidRPr="00552346">
        <w:rPr>
          <w:rFonts w:asciiTheme="majorBidi" w:hAnsiTheme="majorBidi" w:cstheme="majorBidi"/>
          <w:b/>
          <w:bCs/>
          <w:snapToGrid w:val="0"/>
          <w:color w:val="000000" w:themeColor="text1"/>
          <w:sz w:val="26"/>
          <w:szCs w:val="26"/>
          <w:lang w:eastAsia="en-US"/>
        </w:rPr>
        <w:t>73</w:t>
      </w:r>
      <w:r w:rsidR="00725B83" w:rsidRPr="00552346">
        <w:rPr>
          <w:rFonts w:asciiTheme="majorBidi" w:hAnsiTheme="majorBidi" w:cstheme="majorBidi"/>
          <w:b/>
          <w:bCs/>
          <w:snapToGrid w:val="0"/>
          <w:color w:val="000000" w:themeColor="text1"/>
          <w:sz w:val="26"/>
          <w:szCs w:val="26"/>
          <w:lang w:eastAsia="en-US"/>
        </w:rPr>
        <w:t xml:space="preserve">% of registered marriages for 2018 were for </w:t>
      </w:r>
      <w:r w:rsidR="001E4C3A" w:rsidRPr="00552346">
        <w:rPr>
          <w:rFonts w:asciiTheme="majorBidi" w:hAnsiTheme="majorBidi" w:cstheme="majorBidi"/>
          <w:b/>
          <w:bCs/>
          <w:snapToGrid w:val="0"/>
          <w:color w:val="000000" w:themeColor="text1"/>
          <w:sz w:val="26"/>
          <w:szCs w:val="26"/>
          <w:lang w:eastAsia="en-US"/>
        </w:rPr>
        <w:t xml:space="preserve">the </w:t>
      </w:r>
      <w:r w:rsidR="001D138E" w:rsidRPr="00552346">
        <w:rPr>
          <w:rFonts w:asciiTheme="majorBidi" w:hAnsiTheme="majorBidi" w:cstheme="majorBidi"/>
          <w:b/>
          <w:bCs/>
          <w:snapToGrid w:val="0"/>
          <w:color w:val="000000" w:themeColor="text1"/>
          <w:sz w:val="26"/>
          <w:szCs w:val="26"/>
          <w:lang w:eastAsia="en-US"/>
        </w:rPr>
        <w:t xml:space="preserve">female </w:t>
      </w:r>
      <w:r w:rsidR="00725B83" w:rsidRPr="00552346">
        <w:rPr>
          <w:rFonts w:asciiTheme="majorBidi" w:hAnsiTheme="majorBidi" w:cstheme="majorBidi"/>
          <w:b/>
          <w:bCs/>
          <w:snapToGrid w:val="0"/>
          <w:color w:val="000000" w:themeColor="text1"/>
          <w:sz w:val="26"/>
          <w:szCs w:val="26"/>
          <w:lang w:eastAsia="en-US"/>
        </w:rPr>
        <w:t xml:space="preserve">youth </w:t>
      </w:r>
    </w:p>
    <w:p w:rsidR="00C501CB" w:rsidRPr="00552346" w:rsidRDefault="00725B83" w:rsidP="00507367">
      <w:pPr>
        <w:bidi w:val="0"/>
        <w:jc w:val="both"/>
        <w:rPr>
          <w:rFonts w:asciiTheme="majorBidi" w:hAnsiTheme="majorBidi" w:cstheme="majorBidi"/>
          <w:color w:val="000000" w:themeColor="text1"/>
          <w:sz w:val="26"/>
          <w:szCs w:val="26"/>
        </w:rPr>
      </w:pPr>
      <w:r w:rsidRPr="00552346">
        <w:rPr>
          <w:rFonts w:asciiTheme="majorBidi" w:hAnsiTheme="majorBidi" w:cstheme="majorBidi"/>
          <w:snapToGrid w:val="0"/>
          <w:color w:val="000000" w:themeColor="text1"/>
          <w:sz w:val="26"/>
          <w:szCs w:val="26"/>
          <w:lang w:eastAsia="en-US"/>
        </w:rPr>
        <w:t xml:space="preserve">Marriage and divorce data for 2018 in Palestine indicate that </w:t>
      </w:r>
      <w:r w:rsidR="00507367" w:rsidRPr="00552346">
        <w:rPr>
          <w:rFonts w:asciiTheme="majorBidi" w:hAnsiTheme="majorBidi" w:cstheme="majorBidi"/>
          <w:snapToGrid w:val="0"/>
          <w:color w:val="000000" w:themeColor="text1"/>
          <w:sz w:val="26"/>
          <w:szCs w:val="26"/>
          <w:lang w:eastAsia="en-US"/>
        </w:rPr>
        <w:t>73</w:t>
      </w:r>
      <w:r w:rsidRPr="00552346">
        <w:rPr>
          <w:rFonts w:asciiTheme="majorBidi" w:hAnsiTheme="majorBidi" w:cstheme="majorBidi"/>
          <w:snapToGrid w:val="0"/>
          <w:color w:val="000000" w:themeColor="text1"/>
          <w:sz w:val="26"/>
          <w:szCs w:val="26"/>
          <w:lang w:eastAsia="en-US"/>
        </w:rPr>
        <w:t xml:space="preserve">% of the total registered marriage contracts for females </w:t>
      </w:r>
      <w:r w:rsidR="00393171" w:rsidRPr="00552346">
        <w:rPr>
          <w:rFonts w:asciiTheme="majorBidi" w:hAnsiTheme="majorBidi" w:cstheme="majorBidi"/>
          <w:snapToGrid w:val="0"/>
          <w:color w:val="000000" w:themeColor="text1"/>
          <w:sz w:val="26"/>
          <w:szCs w:val="26"/>
          <w:lang w:eastAsia="en-US"/>
        </w:rPr>
        <w:t xml:space="preserve">were </w:t>
      </w:r>
      <w:r w:rsidRPr="00552346">
        <w:rPr>
          <w:rFonts w:asciiTheme="majorBidi" w:hAnsiTheme="majorBidi" w:cstheme="majorBidi"/>
          <w:snapToGrid w:val="0"/>
          <w:color w:val="000000" w:themeColor="text1"/>
          <w:sz w:val="26"/>
          <w:szCs w:val="26"/>
          <w:lang w:eastAsia="en-US"/>
        </w:rPr>
        <w:t xml:space="preserve">for </w:t>
      </w:r>
      <w:r w:rsidR="001E4C3A" w:rsidRPr="00552346">
        <w:rPr>
          <w:rFonts w:asciiTheme="majorBidi" w:hAnsiTheme="majorBidi" w:cstheme="majorBidi"/>
          <w:snapToGrid w:val="0"/>
          <w:color w:val="000000" w:themeColor="text1"/>
          <w:sz w:val="26"/>
          <w:szCs w:val="26"/>
          <w:lang w:eastAsia="en-US"/>
        </w:rPr>
        <w:t xml:space="preserve">the </w:t>
      </w:r>
      <w:r w:rsidR="00393171" w:rsidRPr="00552346">
        <w:rPr>
          <w:rFonts w:asciiTheme="majorBidi" w:hAnsiTheme="majorBidi" w:cstheme="majorBidi"/>
          <w:snapToGrid w:val="0"/>
          <w:color w:val="000000" w:themeColor="text1"/>
          <w:sz w:val="26"/>
          <w:szCs w:val="26"/>
          <w:lang w:eastAsia="en-US"/>
        </w:rPr>
        <w:t xml:space="preserve">female </w:t>
      </w:r>
      <w:r w:rsidRPr="00552346">
        <w:rPr>
          <w:rFonts w:asciiTheme="majorBidi" w:hAnsiTheme="majorBidi" w:cstheme="majorBidi"/>
          <w:snapToGrid w:val="0"/>
          <w:color w:val="000000" w:themeColor="text1"/>
          <w:sz w:val="26"/>
          <w:szCs w:val="26"/>
          <w:lang w:eastAsia="en-US"/>
        </w:rPr>
        <w:t>youth (</w:t>
      </w:r>
      <w:r w:rsidR="00507367" w:rsidRPr="00552346">
        <w:rPr>
          <w:rFonts w:asciiTheme="majorBidi" w:hAnsiTheme="majorBidi" w:cstheme="majorBidi"/>
          <w:snapToGrid w:val="0"/>
          <w:color w:val="000000" w:themeColor="text1"/>
          <w:sz w:val="26"/>
          <w:szCs w:val="26"/>
          <w:lang w:eastAsia="en-US"/>
        </w:rPr>
        <w:t>18</w:t>
      </w:r>
      <w:r w:rsidRPr="00552346">
        <w:rPr>
          <w:rFonts w:asciiTheme="majorBidi" w:hAnsiTheme="majorBidi" w:cstheme="majorBidi"/>
          <w:snapToGrid w:val="0"/>
          <w:color w:val="000000" w:themeColor="text1"/>
          <w:sz w:val="26"/>
          <w:szCs w:val="26"/>
          <w:lang w:eastAsia="en-US"/>
        </w:rPr>
        <w:t xml:space="preserve">-29 years) compared to </w:t>
      </w:r>
      <w:r w:rsidR="00507367" w:rsidRPr="00552346">
        <w:rPr>
          <w:rFonts w:asciiTheme="majorBidi" w:hAnsiTheme="majorBidi" w:cstheme="majorBidi"/>
          <w:snapToGrid w:val="0"/>
          <w:color w:val="000000" w:themeColor="text1"/>
          <w:sz w:val="26"/>
          <w:szCs w:val="26"/>
          <w:lang w:eastAsia="en-US"/>
        </w:rPr>
        <w:t>79</w:t>
      </w:r>
      <w:r w:rsidRPr="00552346">
        <w:rPr>
          <w:rFonts w:asciiTheme="majorBidi" w:hAnsiTheme="majorBidi" w:cstheme="majorBidi"/>
          <w:snapToGrid w:val="0"/>
          <w:color w:val="000000" w:themeColor="text1"/>
          <w:sz w:val="26"/>
          <w:szCs w:val="26"/>
          <w:lang w:eastAsia="en-US"/>
        </w:rPr>
        <w:t xml:space="preserve">% for </w:t>
      </w:r>
      <w:r w:rsidR="001E4C3A" w:rsidRPr="00552346">
        <w:rPr>
          <w:rFonts w:asciiTheme="majorBidi" w:hAnsiTheme="majorBidi" w:cstheme="majorBidi"/>
          <w:snapToGrid w:val="0"/>
          <w:color w:val="000000" w:themeColor="text1"/>
          <w:sz w:val="26"/>
          <w:szCs w:val="26"/>
          <w:lang w:eastAsia="en-US"/>
        </w:rPr>
        <w:t xml:space="preserve">the </w:t>
      </w:r>
      <w:r w:rsidR="00393171" w:rsidRPr="00552346">
        <w:rPr>
          <w:rFonts w:asciiTheme="majorBidi" w:hAnsiTheme="majorBidi" w:cstheme="majorBidi"/>
          <w:snapToGrid w:val="0"/>
          <w:color w:val="000000" w:themeColor="text1"/>
          <w:sz w:val="26"/>
          <w:szCs w:val="26"/>
          <w:lang w:eastAsia="en-US"/>
        </w:rPr>
        <w:t xml:space="preserve">male </w:t>
      </w:r>
      <w:r w:rsidRPr="00552346">
        <w:rPr>
          <w:rFonts w:asciiTheme="majorBidi" w:hAnsiTheme="majorBidi" w:cstheme="majorBidi"/>
          <w:snapToGrid w:val="0"/>
          <w:color w:val="000000" w:themeColor="text1"/>
          <w:sz w:val="26"/>
          <w:szCs w:val="26"/>
          <w:lang w:eastAsia="en-US"/>
        </w:rPr>
        <w:t>youth (</w:t>
      </w:r>
      <w:r w:rsidR="00507367" w:rsidRPr="00552346">
        <w:rPr>
          <w:rFonts w:asciiTheme="majorBidi" w:hAnsiTheme="majorBidi" w:cstheme="majorBidi"/>
          <w:snapToGrid w:val="0"/>
          <w:color w:val="000000" w:themeColor="text1"/>
          <w:sz w:val="26"/>
          <w:szCs w:val="26"/>
          <w:lang w:eastAsia="en-US"/>
        </w:rPr>
        <w:t>18</w:t>
      </w:r>
      <w:r w:rsidRPr="00552346">
        <w:rPr>
          <w:rFonts w:asciiTheme="majorBidi" w:hAnsiTheme="majorBidi" w:cstheme="majorBidi"/>
          <w:snapToGrid w:val="0"/>
          <w:color w:val="000000" w:themeColor="text1"/>
          <w:sz w:val="26"/>
          <w:szCs w:val="26"/>
          <w:lang w:eastAsia="en-US"/>
        </w:rPr>
        <w:t>-29 years). On the other hand, the data show</w:t>
      </w:r>
      <w:r w:rsidR="00732398" w:rsidRPr="00552346">
        <w:rPr>
          <w:rFonts w:asciiTheme="majorBidi" w:hAnsiTheme="majorBidi" w:cstheme="majorBidi"/>
          <w:snapToGrid w:val="0"/>
          <w:color w:val="000000" w:themeColor="text1"/>
          <w:sz w:val="26"/>
          <w:szCs w:val="26"/>
          <w:lang w:eastAsia="en-US"/>
        </w:rPr>
        <w:t>ed</w:t>
      </w:r>
      <w:r w:rsidRPr="00552346">
        <w:rPr>
          <w:rFonts w:asciiTheme="majorBidi" w:hAnsiTheme="majorBidi" w:cstheme="majorBidi"/>
          <w:snapToGrid w:val="0"/>
          <w:color w:val="000000" w:themeColor="text1"/>
          <w:sz w:val="26"/>
          <w:szCs w:val="26"/>
          <w:lang w:eastAsia="en-US"/>
        </w:rPr>
        <w:t xml:space="preserve"> that divorce rates for </w:t>
      </w:r>
      <w:r w:rsidR="001E4C3A" w:rsidRPr="00552346">
        <w:rPr>
          <w:rFonts w:asciiTheme="majorBidi" w:hAnsiTheme="majorBidi" w:cstheme="majorBidi"/>
          <w:snapToGrid w:val="0"/>
          <w:color w:val="000000" w:themeColor="text1"/>
          <w:sz w:val="26"/>
          <w:szCs w:val="26"/>
          <w:lang w:eastAsia="en-US"/>
        </w:rPr>
        <w:t xml:space="preserve">the </w:t>
      </w:r>
      <w:r w:rsidR="00732398" w:rsidRPr="00552346">
        <w:rPr>
          <w:rFonts w:asciiTheme="majorBidi" w:hAnsiTheme="majorBidi" w:cstheme="majorBidi"/>
          <w:snapToGrid w:val="0"/>
          <w:color w:val="000000" w:themeColor="text1"/>
          <w:sz w:val="26"/>
          <w:szCs w:val="26"/>
          <w:lang w:eastAsia="en-US"/>
        </w:rPr>
        <w:t xml:space="preserve">female </w:t>
      </w:r>
      <w:r w:rsidRPr="00552346">
        <w:rPr>
          <w:rFonts w:asciiTheme="majorBidi" w:hAnsiTheme="majorBidi" w:cstheme="majorBidi"/>
          <w:snapToGrid w:val="0"/>
          <w:color w:val="000000" w:themeColor="text1"/>
          <w:sz w:val="26"/>
          <w:szCs w:val="26"/>
          <w:lang w:eastAsia="en-US"/>
        </w:rPr>
        <w:t>youth (</w:t>
      </w:r>
      <w:r w:rsidR="00507367" w:rsidRPr="00552346">
        <w:rPr>
          <w:rFonts w:asciiTheme="majorBidi" w:hAnsiTheme="majorBidi" w:cstheme="majorBidi"/>
          <w:snapToGrid w:val="0"/>
          <w:color w:val="000000" w:themeColor="text1"/>
          <w:sz w:val="26"/>
          <w:szCs w:val="26"/>
          <w:lang w:eastAsia="en-US"/>
        </w:rPr>
        <w:t>18</w:t>
      </w:r>
      <w:r w:rsidRPr="00552346">
        <w:rPr>
          <w:rFonts w:asciiTheme="majorBidi" w:hAnsiTheme="majorBidi" w:cstheme="majorBidi"/>
          <w:snapToGrid w:val="0"/>
          <w:color w:val="000000" w:themeColor="text1"/>
          <w:sz w:val="26"/>
          <w:szCs w:val="26"/>
          <w:lang w:eastAsia="en-US"/>
        </w:rPr>
        <w:t xml:space="preserve">-29 years) amounted to </w:t>
      </w:r>
      <w:r w:rsidR="00507367" w:rsidRPr="00552346">
        <w:rPr>
          <w:rFonts w:asciiTheme="majorBidi" w:hAnsiTheme="majorBidi" w:cstheme="majorBidi"/>
          <w:snapToGrid w:val="0"/>
          <w:color w:val="000000" w:themeColor="text1"/>
          <w:sz w:val="26"/>
          <w:szCs w:val="26"/>
          <w:lang w:eastAsia="en-US"/>
        </w:rPr>
        <w:t>67</w:t>
      </w:r>
      <w:r w:rsidRPr="00552346">
        <w:rPr>
          <w:rFonts w:asciiTheme="majorBidi" w:hAnsiTheme="majorBidi" w:cstheme="majorBidi"/>
          <w:snapToGrid w:val="0"/>
          <w:color w:val="000000" w:themeColor="text1"/>
          <w:sz w:val="26"/>
          <w:szCs w:val="26"/>
          <w:lang w:eastAsia="en-US"/>
        </w:rPr>
        <w:t>% of the total divorce</w:t>
      </w:r>
      <w:r w:rsidR="00C1493D" w:rsidRPr="00552346">
        <w:rPr>
          <w:rFonts w:asciiTheme="majorBidi" w:hAnsiTheme="majorBidi" w:cstheme="majorBidi"/>
          <w:snapToGrid w:val="0"/>
          <w:color w:val="000000" w:themeColor="text1"/>
          <w:sz w:val="26"/>
          <w:szCs w:val="26"/>
          <w:lang w:eastAsia="en-US"/>
        </w:rPr>
        <w:t xml:space="preserve"> case</w:t>
      </w:r>
      <w:r w:rsidRPr="00552346">
        <w:rPr>
          <w:rFonts w:asciiTheme="majorBidi" w:hAnsiTheme="majorBidi" w:cstheme="majorBidi"/>
          <w:snapToGrid w:val="0"/>
          <w:color w:val="000000" w:themeColor="text1"/>
          <w:sz w:val="26"/>
          <w:szCs w:val="26"/>
          <w:lang w:eastAsia="en-US"/>
        </w:rPr>
        <w:t xml:space="preserve">s for 2018, compared with </w:t>
      </w:r>
      <w:r w:rsidR="00507367" w:rsidRPr="00552346">
        <w:rPr>
          <w:rFonts w:asciiTheme="majorBidi" w:hAnsiTheme="majorBidi" w:cstheme="majorBidi"/>
          <w:snapToGrid w:val="0"/>
          <w:color w:val="000000" w:themeColor="text1"/>
          <w:sz w:val="26"/>
          <w:szCs w:val="26"/>
          <w:lang w:eastAsia="en-US"/>
        </w:rPr>
        <w:t>55</w:t>
      </w:r>
      <w:r w:rsidRPr="00552346">
        <w:rPr>
          <w:rFonts w:asciiTheme="majorBidi" w:hAnsiTheme="majorBidi" w:cstheme="majorBidi"/>
          <w:snapToGrid w:val="0"/>
          <w:color w:val="000000" w:themeColor="text1"/>
          <w:sz w:val="26"/>
          <w:szCs w:val="26"/>
          <w:lang w:eastAsia="en-US"/>
        </w:rPr>
        <w:t>% for males (</w:t>
      </w:r>
      <w:r w:rsidR="00507367" w:rsidRPr="00552346">
        <w:rPr>
          <w:rFonts w:asciiTheme="majorBidi" w:hAnsiTheme="majorBidi" w:cstheme="majorBidi"/>
          <w:snapToGrid w:val="0"/>
          <w:color w:val="000000" w:themeColor="text1"/>
          <w:sz w:val="26"/>
          <w:szCs w:val="26"/>
          <w:lang w:eastAsia="en-US"/>
        </w:rPr>
        <w:t>18</w:t>
      </w:r>
      <w:r w:rsidRPr="00552346">
        <w:rPr>
          <w:rFonts w:asciiTheme="majorBidi" w:hAnsiTheme="majorBidi" w:cstheme="majorBidi"/>
          <w:snapToGrid w:val="0"/>
          <w:color w:val="000000" w:themeColor="text1"/>
          <w:sz w:val="26"/>
          <w:szCs w:val="26"/>
          <w:lang w:eastAsia="en-US"/>
        </w:rPr>
        <w:t>-29 years).</w:t>
      </w:r>
    </w:p>
    <w:p w:rsidR="001A68F6" w:rsidRPr="00585B1B" w:rsidRDefault="001A68F6" w:rsidP="001A68F6">
      <w:pPr>
        <w:bidi w:val="0"/>
        <w:jc w:val="both"/>
        <w:rPr>
          <w:rFonts w:asciiTheme="majorBidi" w:hAnsiTheme="majorBidi" w:cstheme="majorBidi"/>
          <w:color w:val="000000" w:themeColor="text1"/>
          <w:sz w:val="16"/>
          <w:szCs w:val="16"/>
        </w:rPr>
      </w:pPr>
    </w:p>
    <w:p w:rsidR="004C2160" w:rsidRPr="00552346" w:rsidRDefault="004C2160" w:rsidP="004C2160">
      <w:pPr>
        <w:bidi w:val="0"/>
        <w:jc w:val="lowKashida"/>
        <w:rPr>
          <w:rFonts w:asciiTheme="majorBidi" w:hAnsiTheme="majorBidi" w:cstheme="majorBidi"/>
          <w:b/>
          <w:bCs/>
          <w:snapToGrid w:val="0"/>
          <w:color w:val="000000" w:themeColor="text1"/>
          <w:sz w:val="26"/>
          <w:szCs w:val="26"/>
          <w:lang w:eastAsia="en-US"/>
        </w:rPr>
      </w:pPr>
      <w:r w:rsidRPr="00552346">
        <w:rPr>
          <w:rFonts w:asciiTheme="majorBidi" w:hAnsiTheme="majorBidi" w:cstheme="majorBidi"/>
          <w:b/>
          <w:bCs/>
          <w:snapToGrid w:val="0"/>
          <w:color w:val="000000" w:themeColor="text1"/>
          <w:sz w:val="26"/>
          <w:szCs w:val="26"/>
          <w:lang w:eastAsia="en-US"/>
        </w:rPr>
        <w:t>Increase with almost the double in the percentage of the female youth with a bachelor's degree</w:t>
      </w:r>
    </w:p>
    <w:p w:rsidR="004C2160" w:rsidRPr="00552346" w:rsidRDefault="004C2160" w:rsidP="004C2160">
      <w:pPr>
        <w:bidi w:val="0"/>
        <w:jc w:val="lowKashida"/>
        <w:rPr>
          <w:rFonts w:asciiTheme="majorBidi" w:hAnsiTheme="majorBidi" w:cstheme="majorBidi"/>
          <w:color w:val="000000" w:themeColor="text1"/>
          <w:sz w:val="26"/>
          <w:szCs w:val="26"/>
          <w:lang w:eastAsia="en-US"/>
        </w:rPr>
      </w:pPr>
      <w:r w:rsidRPr="00552346">
        <w:rPr>
          <w:rFonts w:asciiTheme="majorBidi" w:hAnsiTheme="majorBidi" w:cstheme="majorBidi"/>
          <w:color w:val="000000" w:themeColor="text1"/>
          <w:sz w:val="26"/>
          <w:szCs w:val="26"/>
          <w:lang w:eastAsia="en-US"/>
        </w:rPr>
        <w:t xml:space="preserve">The percentage of the youth (18-29 years) who have a bachelor degree or above increased from </w:t>
      </w:r>
      <w:r w:rsidRPr="00552346">
        <w:rPr>
          <w:rFonts w:asciiTheme="majorBidi" w:hAnsiTheme="majorBidi" w:cstheme="majorBidi" w:hint="cs"/>
          <w:color w:val="000000" w:themeColor="text1"/>
          <w:sz w:val="26"/>
          <w:szCs w:val="26"/>
          <w:rtl/>
          <w:lang w:eastAsia="en-US"/>
        </w:rPr>
        <w:t>12</w:t>
      </w:r>
      <w:r w:rsidRPr="00552346">
        <w:rPr>
          <w:rFonts w:asciiTheme="majorBidi" w:hAnsiTheme="majorBidi" w:cstheme="majorBidi"/>
          <w:color w:val="000000" w:themeColor="text1"/>
          <w:sz w:val="26"/>
          <w:szCs w:val="26"/>
          <w:lang w:eastAsia="en-US"/>
        </w:rPr>
        <w:t>% (11% in the West Bank and 13% in Gaza Strip) in 2007 to about 17% in Palestine and West Bank and Gaza Strip in 2018.</w:t>
      </w:r>
    </w:p>
    <w:p w:rsidR="004C2160" w:rsidRPr="00585B1B" w:rsidRDefault="004C2160" w:rsidP="004C2160">
      <w:pPr>
        <w:bidi w:val="0"/>
        <w:jc w:val="lowKashida"/>
        <w:rPr>
          <w:rFonts w:asciiTheme="majorBidi" w:hAnsiTheme="majorBidi" w:cstheme="majorBidi"/>
          <w:color w:val="000000" w:themeColor="text1"/>
          <w:sz w:val="16"/>
          <w:szCs w:val="16"/>
          <w:lang w:eastAsia="en-US"/>
        </w:rPr>
      </w:pPr>
    </w:p>
    <w:p w:rsidR="004C2160" w:rsidRPr="00203719" w:rsidRDefault="004C2160" w:rsidP="00773A75">
      <w:pPr>
        <w:bidi w:val="0"/>
        <w:jc w:val="lowKashida"/>
        <w:rPr>
          <w:rFonts w:asciiTheme="majorBidi" w:hAnsiTheme="majorBidi" w:cstheme="majorBidi"/>
          <w:sz w:val="26"/>
          <w:szCs w:val="26"/>
          <w:lang w:eastAsia="en-US"/>
        </w:rPr>
      </w:pPr>
      <w:r w:rsidRPr="00552346">
        <w:rPr>
          <w:rFonts w:asciiTheme="majorBidi" w:hAnsiTheme="majorBidi" w:cstheme="majorBidi"/>
          <w:snapToGrid w:val="0"/>
          <w:color w:val="000000" w:themeColor="text1"/>
          <w:sz w:val="26"/>
          <w:szCs w:val="26"/>
          <w:lang w:eastAsia="en-US"/>
        </w:rPr>
        <w:t xml:space="preserve">According to sex, </w:t>
      </w:r>
      <w:r w:rsidRPr="00552346">
        <w:rPr>
          <w:rFonts w:asciiTheme="majorBidi" w:hAnsiTheme="majorBidi" w:cstheme="majorBidi"/>
          <w:color w:val="000000" w:themeColor="text1"/>
          <w:sz w:val="26"/>
          <w:szCs w:val="26"/>
          <w:lang w:eastAsia="en-US"/>
        </w:rPr>
        <w:t>the percentage of the female youth (18-29 years) who have a bachelor degree or above increased from 11% in 2007 to about 22% in 2018, while the percentage of the male</w:t>
      </w:r>
      <w:r w:rsidRPr="00203719">
        <w:rPr>
          <w:rFonts w:asciiTheme="majorBidi" w:hAnsiTheme="majorBidi" w:cstheme="majorBidi"/>
          <w:sz w:val="26"/>
          <w:szCs w:val="26"/>
          <w:lang w:eastAsia="en-US"/>
        </w:rPr>
        <w:t xml:space="preserve"> youth (</w:t>
      </w:r>
      <w:r>
        <w:rPr>
          <w:rFonts w:asciiTheme="majorBidi" w:hAnsiTheme="majorBidi" w:cstheme="majorBidi"/>
          <w:sz w:val="26"/>
          <w:szCs w:val="26"/>
          <w:lang w:eastAsia="en-US"/>
        </w:rPr>
        <w:t>18</w:t>
      </w:r>
      <w:r w:rsidRPr="00203719">
        <w:rPr>
          <w:rFonts w:asciiTheme="majorBidi" w:hAnsiTheme="majorBidi" w:cstheme="majorBidi"/>
          <w:sz w:val="26"/>
          <w:szCs w:val="26"/>
          <w:lang w:eastAsia="en-US"/>
        </w:rPr>
        <w:t xml:space="preserve">-29 years) who have a bachelor degree or above </w:t>
      </w:r>
      <w:r w:rsidR="00773A75">
        <w:rPr>
          <w:rFonts w:asciiTheme="majorBidi" w:hAnsiTheme="majorBidi" w:cstheme="majorBidi"/>
          <w:sz w:val="26"/>
          <w:szCs w:val="26"/>
          <w:lang w:eastAsia="en-US"/>
        </w:rPr>
        <w:t>in</w:t>
      </w:r>
      <w:r w:rsidRPr="00203719">
        <w:rPr>
          <w:rFonts w:asciiTheme="majorBidi" w:hAnsiTheme="majorBidi" w:cstheme="majorBidi"/>
          <w:sz w:val="26"/>
          <w:szCs w:val="26"/>
          <w:lang w:eastAsia="en-US"/>
        </w:rPr>
        <w:t xml:space="preserve">creased from </w:t>
      </w:r>
      <w:r w:rsidR="00773A75">
        <w:rPr>
          <w:rFonts w:asciiTheme="majorBidi" w:hAnsiTheme="majorBidi" w:cstheme="majorBidi"/>
          <w:sz w:val="26"/>
          <w:szCs w:val="26"/>
          <w:lang w:eastAsia="en-US"/>
        </w:rPr>
        <w:t>11</w:t>
      </w:r>
      <w:r w:rsidRPr="00203719">
        <w:rPr>
          <w:rFonts w:asciiTheme="majorBidi" w:hAnsiTheme="majorBidi" w:cstheme="majorBidi"/>
          <w:sz w:val="26"/>
          <w:szCs w:val="26"/>
          <w:lang w:eastAsia="en-US"/>
        </w:rPr>
        <w:t xml:space="preserve">% to about </w:t>
      </w:r>
      <w:r w:rsidR="00773A75">
        <w:rPr>
          <w:rFonts w:asciiTheme="majorBidi" w:hAnsiTheme="majorBidi" w:cstheme="majorBidi"/>
          <w:sz w:val="26"/>
          <w:szCs w:val="26"/>
          <w:lang w:eastAsia="en-US"/>
        </w:rPr>
        <w:t>13</w:t>
      </w:r>
      <w:r w:rsidRPr="00203719">
        <w:rPr>
          <w:rFonts w:asciiTheme="majorBidi" w:hAnsiTheme="majorBidi" w:cstheme="majorBidi"/>
          <w:sz w:val="26"/>
          <w:szCs w:val="26"/>
          <w:lang w:eastAsia="en-US"/>
        </w:rPr>
        <w:t>% for the same time period.</w:t>
      </w:r>
    </w:p>
    <w:p w:rsidR="00585B1B" w:rsidRDefault="00585B1B" w:rsidP="004C2160">
      <w:pPr>
        <w:bidi w:val="0"/>
        <w:jc w:val="center"/>
        <w:rPr>
          <w:rFonts w:asciiTheme="majorBidi" w:hAnsiTheme="majorBidi" w:cstheme="majorBidi"/>
          <w:b/>
          <w:bCs/>
          <w:sz w:val="26"/>
          <w:szCs w:val="26"/>
          <w:lang w:eastAsia="en-US"/>
        </w:rPr>
      </w:pPr>
    </w:p>
    <w:p w:rsidR="00585B1B" w:rsidRDefault="00585B1B" w:rsidP="00585B1B">
      <w:pPr>
        <w:bidi w:val="0"/>
        <w:jc w:val="center"/>
        <w:rPr>
          <w:rFonts w:asciiTheme="majorBidi" w:hAnsiTheme="majorBidi" w:cstheme="majorBidi"/>
          <w:b/>
          <w:bCs/>
          <w:sz w:val="26"/>
          <w:szCs w:val="26"/>
          <w:lang w:eastAsia="en-US"/>
        </w:rPr>
      </w:pPr>
    </w:p>
    <w:p w:rsidR="00585B1B" w:rsidRDefault="00585B1B" w:rsidP="00585B1B">
      <w:pPr>
        <w:bidi w:val="0"/>
        <w:jc w:val="center"/>
        <w:rPr>
          <w:rFonts w:asciiTheme="majorBidi" w:hAnsiTheme="majorBidi" w:cstheme="majorBidi"/>
          <w:b/>
          <w:bCs/>
          <w:sz w:val="26"/>
          <w:szCs w:val="26"/>
          <w:lang w:eastAsia="en-US"/>
        </w:rPr>
      </w:pPr>
    </w:p>
    <w:p w:rsidR="00585B1B" w:rsidRDefault="00585B1B" w:rsidP="00585B1B">
      <w:pPr>
        <w:bidi w:val="0"/>
        <w:jc w:val="center"/>
        <w:rPr>
          <w:rFonts w:asciiTheme="majorBidi" w:hAnsiTheme="majorBidi" w:cstheme="majorBidi"/>
          <w:b/>
          <w:bCs/>
          <w:sz w:val="26"/>
          <w:szCs w:val="26"/>
          <w:lang w:eastAsia="en-US"/>
        </w:rPr>
      </w:pPr>
    </w:p>
    <w:p w:rsidR="00585B1B" w:rsidRDefault="00585B1B" w:rsidP="00585B1B">
      <w:pPr>
        <w:bidi w:val="0"/>
        <w:jc w:val="center"/>
        <w:rPr>
          <w:rFonts w:asciiTheme="majorBidi" w:hAnsiTheme="majorBidi" w:cstheme="majorBidi"/>
          <w:b/>
          <w:bCs/>
          <w:sz w:val="26"/>
          <w:szCs w:val="26"/>
          <w:lang w:eastAsia="en-US"/>
        </w:rPr>
      </w:pPr>
    </w:p>
    <w:p w:rsidR="004C2160" w:rsidRDefault="004C2160" w:rsidP="00585B1B">
      <w:pPr>
        <w:bidi w:val="0"/>
        <w:jc w:val="center"/>
        <w:rPr>
          <w:rFonts w:asciiTheme="majorBidi" w:hAnsiTheme="majorBidi" w:cstheme="majorBidi"/>
          <w:b/>
          <w:bCs/>
          <w:sz w:val="26"/>
          <w:szCs w:val="26"/>
          <w:lang w:eastAsia="en-US"/>
        </w:rPr>
      </w:pPr>
      <w:r w:rsidRPr="00203719">
        <w:rPr>
          <w:rFonts w:asciiTheme="majorBidi" w:hAnsiTheme="majorBidi" w:cstheme="majorBidi"/>
          <w:b/>
          <w:bCs/>
          <w:sz w:val="26"/>
          <w:szCs w:val="26"/>
          <w:lang w:eastAsia="en-US"/>
        </w:rPr>
        <w:t>Percentage of the youth (</w:t>
      </w:r>
      <w:r>
        <w:rPr>
          <w:rFonts w:asciiTheme="majorBidi" w:hAnsiTheme="majorBidi" w:cstheme="majorBidi"/>
          <w:b/>
          <w:bCs/>
          <w:sz w:val="26"/>
          <w:szCs w:val="26"/>
          <w:lang w:eastAsia="en-US"/>
        </w:rPr>
        <w:t>18</w:t>
      </w:r>
      <w:r w:rsidRPr="00203719">
        <w:rPr>
          <w:rFonts w:asciiTheme="majorBidi" w:hAnsiTheme="majorBidi" w:cstheme="majorBidi"/>
          <w:b/>
          <w:bCs/>
          <w:sz w:val="26"/>
          <w:szCs w:val="26"/>
          <w:lang w:eastAsia="en-US"/>
        </w:rPr>
        <w:t xml:space="preserve">-29 years) who have a bachelor degree or above </w:t>
      </w:r>
    </w:p>
    <w:p w:rsidR="004C2160" w:rsidRPr="00203719" w:rsidRDefault="004C2160" w:rsidP="004C2160">
      <w:pPr>
        <w:bidi w:val="0"/>
        <w:jc w:val="center"/>
        <w:rPr>
          <w:rFonts w:asciiTheme="majorBidi" w:hAnsiTheme="majorBidi" w:cstheme="majorBidi"/>
          <w:b/>
          <w:bCs/>
          <w:sz w:val="26"/>
          <w:szCs w:val="26"/>
          <w:lang w:eastAsia="en-US"/>
        </w:rPr>
      </w:pPr>
      <w:r w:rsidRPr="00203719">
        <w:rPr>
          <w:rFonts w:asciiTheme="majorBidi" w:hAnsiTheme="majorBidi" w:cstheme="majorBidi"/>
          <w:b/>
          <w:bCs/>
          <w:sz w:val="26"/>
          <w:szCs w:val="26"/>
          <w:lang w:eastAsia="en-US"/>
        </w:rPr>
        <w:t>in Palestine by sex, 2007 and 2018</w:t>
      </w:r>
    </w:p>
    <w:p w:rsidR="004C2160" w:rsidRPr="00203719" w:rsidRDefault="004C2160" w:rsidP="004C2160">
      <w:pPr>
        <w:bidi w:val="0"/>
        <w:jc w:val="lowKashida"/>
        <w:rPr>
          <w:rFonts w:asciiTheme="majorBidi" w:hAnsiTheme="majorBidi" w:cstheme="majorBidi"/>
          <w:sz w:val="26"/>
          <w:szCs w:val="26"/>
          <w:rtl/>
          <w:lang w:eastAsia="en-US"/>
        </w:rPr>
      </w:pPr>
    </w:p>
    <w:p w:rsidR="004C2160" w:rsidRPr="00203719" w:rsidRDefault="004C2160" w:rsidP="004C2160">
      <w:pPr>
        <w:bidi w:val="0"/>
        <w:jc w:val="center"/>
        <w:rPr>
          <w:rFonts w:asciiTheme="majorBidi" w:hAnsiTheme="majorBidi" w:cstheme="majorBidi"/>
          <w:sz w:val="26"/>
          <w:szCs w:val="26"/>
        </w:rPr>
      </w:pPr>
      <w:r w:rsidRPr="00203719">
        <w:rPr>
          <w:rFonts w:asciiTheme="majorBidi" w:hAnsiTheme="majorBidi" w:cstheme="majorBidi"/>
          <w:noProof/>
          <w:sz w:val="26"/>
          <w:szCs w:val="26"/>
          <w:lang w:eastAsia="en-US"/>
        </w:rPr>
        <w:drawing>
          <wp:inline distT="0" distB="0" distL="0" distR="0">
            <wp:extent cx="5712852" cy="2383277"/>
            <wp:effectExtent l="19050" t="0" r="21198"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C2160" w:rsidRPr="00585B1B" w:rsidRDefault="004C2160" w:rsidP="004C2160">
      <w:pPr>
        <w:bidi w:val="0"/>
        <w:jc w:val="both"/>
        <w:rPr>
          <w:rFonts w:asciiTheme="majorBidi" w:hAnsiTheme="majorBidi" w:cstheme="majorBidi"/>
          <w:sz w:val="16"/>
          <w:szCs w:val="16"/>
        </w:rPr>
      </w:pPr>
    </w:p>
    <w:p w:rsidR="004C2160" w:rsidRPr="00585B1B" w:rsidRDefault="004C2160" w:rsidP="004C2160">
      <w:pPr>
        <w:pStyle w:val="Heading4"/>
        <w:bidi w:val="0"/>
        <w:jc w:val="left"/>
        <w:rPr>
          <w:rFonts w:asciiTheme="majorBidi" w:hAnsiTheme="majorBidi" w:cstheme="majorBidi"/>
          <w:sz w:val="16"/>
          <w:szCs w:val="16"/>
        </w:rPr>
      </w:pPr>
    </w:p>
    <w:p w:rsidR="004C2160" w:rsidRPr="00203719" w:rsidRDefault="004C2160" w:rsidP="004C2160">
      <w:pPr>
        <w:pStyle w:val="Heading4"/>
        <w:bidi w:val="0"/>
        <w:jc w:val="left"/>
        <w:rPr>
          <w:rFonts w:asciiTheme="majorBidi" w:hAnsiTheme="majorBidi" w:cstheme="majorBidi"/>
          <w:sz w:val="26"/>
          <w:szCs w:val="26"/>
        </w:rPr>
      </w:pPr>
      <w:r w:rsidRPr="00203719">
        <w:rPr>
          <w:rFonts w:asciiTheme="majorBidi" w:hAnsiTheme="majorBidi" w:cstheme="majorBidi"/>
          <w:sz w:val="26"/>
          <w:szCs w:val="26"/>
        </w:rPr>
        <w:t>Significant increase in enrollment rates among the youth during the period 1997-2017</w:t>
      </w:r>
    </w:p>
    <w:p w:rsidR="004C2160" w:rsidRPr="00203719" w:rsidRDefault="004C2160" w:rsidP="004C2160">
      <w:pPr>
        <w:pStyle w:val="Heading4"/>
        <w:bidi w:val="0"/>
        <w:jc w:val="left"/>
        <w:rPr>
          <w:rFonts w:asciiTheme="majorBidi" w:hAnsiTheme="majorBidi" w:cstheme="majorBidi"/>
          <w:b w:val="0"/>
          <w:bCs w:val="0"/>
          <w:snapToGrid w:val="0"/>
          <w:sz w:val="26"/>
          <w:szCs w:val="26"/>
          <w:lang w:eastAsia="en-US"/>
        </w:rPr>
      </w:pPr>
      <w:r w:rsidRPr="00203719">
        <w:rPr>
          <w:rFonts w:asciiTheme="majorBidi" w:hAnsiTheme="majorBidi" w:cstheme="majorBidi"/>
          <w:b w:val="0"/>
          <w:bCs w:val="0"/>
          <w:snapToGrid w:val="0"/>
          <w:sz w:val="26"/>
          <w:szCs w:val="26"/>
          <w:lang w:eastAsia="en-US"/>
        </w:rPr>
        <w:t>The results of the labor force survey 2018 showed that 37% of youth</w:t>
      </w:r>
      <w:r w:rsidRPr="00203719">
        <w:rPr>
          <w:rFonts w:asciiTheme="majorBidi" w:hAnsiTheme="majorBidi" w:cstheme="majorBidi"/>
          <w:snapToGrid w:val="0"/>
          <w:sz w:val="26"/>
          <w:szCs w:val="26"/>
          <w:lang w:eastAsia="en-US"/>
        </w:rPr>
        <w:t xml:space="preserve"> </w:t>
      </w:r>
      <w:r w:rsidRPr="00203719">
        <w:rPr>
          <w:rFonts w:asciiTheme="majorBidi" w:hAnsiTheme="majorBidi" w:cstheme="majorBidi"/>
          <w:b w:val="0"/>
          <w:bCs w:val="0"/>
          <w:snapToGrid w:val="0"/>
          <w:sz w:val="26"/>
          <w:szCs w:val="26"/>
          <w:lang w:eastAsia="en-US"/>
        </w:rPr>
        <w:t>(</w:t>
      </w:r>
      <w:r>
        <w:rPr>
          <w:rFonts w:asciiTheme="majorBidi" w:hAnsiTheme="majorBidi" w:cstheme="majorBidi"/>
          <w:b w:val="0"/>
          <w:bCs w:val="0"/>
          <w:snapToGrid w:val="0"/>
          <w:sz w:val="26"/>
          <w:szCs w:val="26"/>
          <w:lang w:eastAsia="en-US"/>
        </w:rPr>
        <w:t>18</w:t>
      </w:r>
      <w:r w:rsidRPr="00203719">
        <w:rPr>
          <w:rFonts w:asciiTheme="majorBidi" w:hAnsiTheme="majorBidi" w:cstheme="majorBidi"/>
          <w:b w:val="0"/>
          <w:bCs w:val="0"/>
          <w:snapToGrid w:val="0"/>
          <w:sz w:val="26"/>
          <w:szCs w:val="26"/>
          <w:lang w:eastAsia="en-US"/>
        </w:rPr>
        <w:t xml:space="preserve">-29 years) were enrolled in education by 45% in the age group (18-22 years), and 7% in the age group  (23-29 years). While the percentage of enrollment among male youth was </w:t>
      </w:r>
      <w:r>
        <w:rPr>
          <w:rFonts w:asciiTheme="majorBidi" w:hAnsiTheme="majorBidi" w:cstheme="majorBidi"/>
          <w:b w:val="0"/>
          <w:bCs w:val="0"/>
          <w:snapToGrid w:val="0"/>
          <w:sz w:val="26"/>
          <w:szCs w:val="26"/>
          <w:lang w:eastAsia="en-US"/>
        </w:rPr>
        <w:t>20</w:t>
      </w:r>
      <w:r w:rsidRPr="00203719">
        <w:rPr>
          <w:rFonts w:asciiTheme="majorBidi" w:hAnsiTheme="majorBidi" w:cstheme="majorBidi"/>
          <w:b w:val="0"/>
          <w:bCs w:val="0"/>
          <w:snapToGrid w:val="0"/>
          <w:sz w:val="26"/>
          <w:szCs w:val="26"/>
          <w:lang w:eastAsia="en-US"/>
        </w:rPr>
        <w:t xml:space="preserve">% compared to </w:t>
      </w:r>
      <w:r>
        <w:rPr>
          <w:rFonts w:asciiTheme="majorBidi" w:hAnsiTheme="majorBidi" w:cstheme="majorBidi"/>
          <w:b w:val="0"/>
          <w:bCs w:val="0"/>
          <w:snapToGrid w:val="0"/>
          <w:sz w:val="26"/>
          <w:szCs w:val="26"/>
          <w:lang w:eastAsia="en-US"/>
        </w:rPr>
        <w:t>28</w:t>
      </w:r>
      <w:r w:rsidRPr="00203719">
        <w:rPr>
          <w:rFonts w:asciiTheme="majorBidi" w:hAnsiTheme="majorBidi" w:cstheme="majorBidi"/>
          <w:b w:val="0"/>
          <w:bCs w:val="0"/>
          <w:snapToGrid w:val="0"/>
          <w:sz w:val="26"/>
          <w:szCs w:val="26"/>
          <w:lang w:eastAsia="en-US"/>
        </w:rPr>
        <w:t xml:space="preserve">% for the female youth. In 1997, enrollment among the youth reached </w:t>
      </w:r>
      <w:r>
        <w:rPr>
          <w:rFonts w:asciiTheme="majorBidi" w:hAnsiTheme="majorBidi" w:cstheme="majorBidi"/>
          <w:b w:val="0"/>
          <w:bCs w:val="0"/>
          <w:snapToGrid w:val="0"/>
          <w:sz w:val="26"/>
          <w:szCs w:val="26"/>
          <w:lang w:eastAsia="en-US"/>
        </w:rPr>
        <w:t>16</w:t>
      </w:r>
      <w:r w:rsidRPr="00203719">
        <w:rPr>
          <w:rFonts w:asciiTheme="majorBidi" w:hAnsiTheme="majorBidi" w:cstheme="majorBidi"/>
          <w:b w:val="0"/>
          <w:bCs w:val="0"/>
          <w:snapToGrid w:val="0"/>
          <w:sz w:val="26"/>
          <w:szCs w:val="26"/>
          <w:lang w:eastAsia="en-US"/>
        </w:rPr>
        <w:t xml:space="preserve">%, and increased significantly to </w:t>
      </w:r>
      <w:r>
        <w:rPr>
          <w:rFonts w:asciiTheme="majorBidi" w:hAnsiTheme="majorBidi" w:cstheme="majorBidi"/>
          <w:b w:val="0"/>
          <w:bCs w:val="0"/>
          <w:snapToGrid w:val="0"/>
          <w:sz w:val="26"/>
          <w:szCs w:val="26"/>
          <w:lang w:eastAsia="en-US"/>
        </w:rPr>
        <w:t>28</w:t>
      </w:r>
      <w:r w:rsidRPr="00203719">
        <w:rPr>
          <w:rFonts w:asciiTheme="majorBidi" w:hAnsiTheme="majorBidi" w:cstheme="majorBidi"/>
          <w:b w:val="0"/>
          <w:bCs w:val="0"/>
          <w:snapToGrid w:val="0"/>
          <w:sz w:val="26"/>
          <w:szCs w:val="26"/>
          <w:lang w:eastAsia="en-US"/>
        </w:rPr>
        <w:t>% in 2007.</w:t>
      </w:r>
    </w:p>
    <w:p w:rsidR="004C2160" w:rsidRPr="00585B1B" w:rsidRDefault="004C2160" w:rsidP="004C2160">
      <w:pPr>
        <w:pStyle w:val="Heading4"/>
        <w:bidi w:val="0"/>
        <w:jc w:val="left"/>
        <w:rPr>
          <w:rFonts w:asciiTheme="majorBidi" w:hAnsiTheme="majorBidi" w:cstheme="majorBidi"/>
          <w:b w:val="0"/>
          <w:bCs w:val="0"/>
          <w:snapToGrid w:val="0"/>
          <w:sz w:val="16"/>
          <w:szCs w:val="16"/>
          <w:rtl/>
          <w:lang w:eastAsia="en-US"/>
        </w:rPr>
      </w:pPr>
      <w:r w:rsidRPr="00585B1B">
        <w:rPr>
          <w:rFonts w:asciiTheme="majorBidi" w:hAnsiTheme="majorBidi" w:cstheme="majorBidi"/>
          <w:b w:val="0"/>
          <w:bCs w:val="0"/>
          <w:snapToGrid w:val="0"/>
          <w:sz w:val="16"/>
          <w:szCs w:val="16"/>
          <w:lang w:eastAsia="en-US"/>
        </w:rPr>
        <w:t xml:space="preserve"> </w:t>
      </w:r>
    </w:p>
    <w:p w:rsidR="004C2160" w:rsidRPr="00203719" w:rsidRDefault="004C2160" w:rsidP="004C2160">
      <w:pPr>
        <w:bidi w:val="0"/>
        <w:rPr>
          <w:rFonts w:asciiTheme="majorBidi" w:hAnsiTheme="majorBidi" w:cstheme="majorBidi"/>
          <w:b/>
          <w:bCs/>
          <w:sz w:val="26"/>
          <w:szCs w:val="26"/>
          <w:lang w:eastAsia="en-US"/>
        </w:rPr>
      </w:pPr>
      <w:proofErr w:type="spellStart"/>
      <w:r w:rsidRPr="00203719">
        <w:rPr>
          <w:rFonts w:asciiTheme="majorBidi" w:hAnsiTheme="majorBidi" w:cstheme="majorBidi"/>
          <w:b/>
          <w:bCs/>
          <w:sz w:val="26"/>
          <w:szCs w:val="26"/>
          <w:lang w:eastAsia="en-US"/>
        </w:rPr>
        <w:t>isappearance</w:t>
      </w:r>
      <w:proofErr w:type="spellEnd"/>
      <w:r w:rsidRPr="00203719">
        <w:rPr>
          <w:rFonts w:asciiTheme="majorBidi" w:hAnsiTheme="majorBidi" w:cstheme="majorBidi"/>
          <w:b/>
          <w:bCs/>
          <w:sz w:val="26"/>
          <w:szCs w:val="26"/>
          <w:lang w:eastAsia="en-US"/>
        </w:rPr>
        <w:t xml:space="preserve"> of illiteracy in Palestine, including the youth</w:t>
      </w:r>
    </w:p>
    <w:p w:rsidR="004C2160" w:rsidRPr="00203719" w:rsidRDefault="004C2160" w:rsidP="004C2160">
      <w:pPr>
        <w:bidi w:val="0"/>
        <w:jc w:val="both"/>
        <w:rPr>
          <w:rFonts w:asciiTheme="majorBidi" w:hAnsiTheme="majorBidi" w:cstheme="majorBidi"/>
          <w:sz w:val="26"/>
          <w:szCs w:val="26"/>
          <w:lang w:eastAsia="en-US"/>
        </w:rPr>
      </w:pPr>
      <w:r w:rsidRPr="00203719">
        <w:rPr>
          <w:rFonts w:asciiTheme="majorBidi" w:hAnsiTheme="majorBidi" w:cstheme="majorBidi"/>
          <w:sz w:val="26"/>
          <w:szCs w:val="26"/>
          <w:lang w:eastAsia="en-US"/>
        </w:rPr>
        <w:t xml:space="preserve">The rate of illiteracy among </w:t>
      </w:r>
      <w:r w:rsidRPr="00203719">
        <w:rPr>
          <w:rFonts w:asciiTheme="majorBidi" w:hAnsiTheme="majorBidi" w:cstheme="majorBidi"/>
          <w:snapToGrid w:val="0"/>
          <w:sz w:val="26"/>
          <w:szCs w:val="26"/>
          <w:lang w:eastAsia="en-US"/>
        </w:rPr>
        <w:t xml:space="preserve">youth </w:t>
      </w:r>
      <w:r w:rsidRPr="00203719">
        <w:rPr>
          <w:rFonts w:asciiTheme="majorBidi" w:hAnsiTheme="majorBidi" w:cstheme="majorBidi"/>
          <w:sz w:val="26"/>
          <w:szCs w:val="26"/>
          <w:lang w:eastAsia="en-US"/>
        </w:rPr>
        <w:t>(</w:t>
      </w:r>
      <w:r>
        <w:rPr>
          <w:rFonts w:asciiTheme="majorBidi" w:hAnsiTheme="majorBidi" w:cstheme="majorBidi"/>
          <w:sz w:val="26"/>
          <w:szCs w:val="26"/>
          <w:lang w:eastAsia="en-US"/>
        </w:rPr>
        <w:t>18</w:t>
      </w:r>
      <w:r w:rsidRPr="00203719">
        <w:rPr>
          <w:rFonts w:asciiTheme="majorBidi" w:hAnsiTheme="majorBidi" w:cstheme="majorBidi"/>
          <w:sz w:val="26"/>
          <w:szCs w:val="26"/>
          <w:lang w:eastAsia="en-US"/>
        </w:rPr>
        <w:t>-29 years) decreased from 1.1% (1.1% in the West Bank and 1.2% in Gaza Strip) in 2007 to about 0.7% in Palestine</w:t>
      </w:r>
      <w:r w:rsidRPr="001D58E1">
        <w:rPr>
          <w:rFonts w:asciiTheme="majorBidi" w:hAnsiTheme="majorBidi" w:cstheme="majorBidi"/>
          <w:sz w:val="26"/>
          <w:szCs w:val="26"/>
          <w:lang w:eastAsia="en-US"/>
        </w:rPr>
        <w:t xml:space="preserve"> </w:t>
      </w:r>
      <w:r>
        <w:rPr>
          <w:rFonts w:asciiTheme="majorBidi" w:hAnsiTheme="majorBidi" w:cstheme="majorBidi"/>
          <w:sz w:val="26"/>
          <w:szCs w:val="26"/>
          <w:lang w:eastAsia="en-US"/>
        </w:rPr>
        <w:t>and</w:t>
      </w:r>
      <w:r w:rsidRPr="00203719">
        <w:rPr>
          <w:rFonts w:asciiTheme="majorBidi" w:hAnsiTheme="majorBidi" w:cstheme="majorBidi"/>
          <w:sz w:val="26"/>
          <w:szCs w:val="26"/>
          <w:lang w:eastAsia="en-US"/>
        </w:rPr>
        <w:t xml:space="preserve"> West Bank and Gaza Strip</w:t>
      </w:r>
      <w:r>
        <w:rPr>
          <w:rFonts w:asciiTheme="majorBidi" w:hAnsiTheme="majorBidi" w:cstheme="majorBidi"/>
          <w:sz w:val="26"/>
          <w:szCs w:val="26"/>
          <w:lang w:eastAsia="en-US"/>
        </w:rPr>
        <w:t xml:space="preserve"> </w:t>
      </w:r>
      <w:r w:rsidRPr="00203719">
        <w:rPr>
          <w:rFonts w:asciiTheme="majorBidi" w:hAnsiTheme="majorBidi" w:cstheme="majorBidi"/>
          <w:sz w:val="26"/>
          <w:szCs w:val="26"/>
          <w:lang w:eastAsia="en-US"/>
        </w:rPr>
        <w:t xml:space="preserve">according to the data of the labor force survey 2018 </w:t>
      </w:r>
    </w:p>
    <w:p w:rsidR="004800F3" w:rsidRPr="00585B1B" w:rsidRDefault="004800F3" w:rsidP="004800F3">
      <w:pPr>
        <w:bidi w:val="0"/>
        <w:rPr>
          <w:rFonts w:asciiTheme="majorBidi" w:hAnsiTheme="majorBidi" w:cstheme="majorBidi"/>
          <w:sz w:val="16"/>
          <w:szCs w:val="16"/>
          <w:lang w:eastAsia="en-US"/>
        </w:rPr>
      </w:pPr>
    </w:p>
    <w:p w:rsidR="00E97781" w:rsidRPr="00203719" w:rsidRDefault="00926EC4" w:rsidP="00E97781">
      <w:pPr>
        <w:bidi w:val="0"/>
        <w:jc w:val="both"/>
        <w:rPr>
          <w:rFonts w:asciiTheme="majorBidi" w:hAnsiTheme="majorBidi" w:cstheme="majorBidi"/>
          <w:b/>
          <w:bCs/>
          <w:sz w:val="26"/>
          <w:szCs w:val="26"/>
        </w:rPr>
      </w:pPr>
      <w:r w:rsidRPr="00203719">
        <w:rPr>
          <w:rFonts w:asciiTheme="majorBidi" w:hAnsiTheme="majorBidi" w:cstheme="majorBidi"/>
          <w:b/>
          <w:bCs/>
          <w:sz w:val="26"/>
          <w:szCs w:val="26"/>
        </w:rPr>
        <w:t>More than half</w:t>
      </w:r>
      <w:r>
        <w:rPr>
          <w:rFonts w:asciiTheme="majorBidi" w:hAnsiTheme="majorBidi" w:cstheme="majorBidi"/>
          <w:b/>
          <w:bCs/>
          <w:sz w:val="26"/>
          <w:szCs w:val="26"/>
        </w:rPr>
        <w:t xml:space="preserve"> of</w:t>
      </w:r>
      <w:r w:rsidR="00E97781" w:rsidRPr="00203719">
        <w:rPr>
          <w:rFonts w:asciiTheme="majorBidi" w:hAnsiTheme="majorBidi" w:cstheme="majorBidi"/>
          <w:b/>
          <w:bCs/>
          <w:sz w:val="26"/>
          <w:szCs w:val="26"/>
        </w:rPr>
        <w:t xml:space="preserve"> the youth participating in the labor force</w:t>
      </w:r>
    </w:p>
    <w:p w:rsidR="00926EC4" w:rsidRPr="00926EC4" w:rsidRDefault="00926EC4" w:rsidP="00926EC4">
      <w:pPr>
        <w:bidi w:val="0"/>
        <w:jc w:val="both"/>
        <w:rPr>
          <w:rFonts w:asciiTheme="majorBidi" w:hAnsiTheme="majorBidi" w:cstheme="majorBidi"/>
          <w:color w:val="000000" w:themeColor="text1"/>
          <w:sz w:val="26"/>
          <w:szCs w:val="26"/>
          <w:rtl/>
        </w:rPr>
      </w:pPr>
      <w:r w:rsidRPr="00926EC4">
        <w:rPr>
          <w:rFonts w:asciiTheme="majorBidi" w:hAnsiTheme="majorBidi" w:cstheme="majorBidi"/>
          <w:color w:val="000000" w:themeColor="text1"/>
          <w:sz w:val="26"/>
          <w:szCs w:val="26"/>
        </w:rPr>
        <w:t xml:space="preserve">The percentage of participation in the labor force among </w:t>
      </w:r>
      <w:r w:rsidRPr="00926EC4">
        <w:rPr>
          <w:rFonts w:asciiTheme="majorBidi" w:hAnsiTheme="majorBidi" w:cstheme="majorBidi"/>
          <w:snapToGrid w:val="0"/>
          <w:color w:val="000000" w:themeColor="text1"/>
          <w:sz w:val="26"/>
          <w:szCs w:val="26"/>
          <w:lang w:eastAsia="en-US"/>
        </w:rPr>
        <w:t xml:space="preserve">youth </w:t>
      </w:r>
      <w:r w:rsidRPr="00926EC4">
        <w:rPr>
          <w:rFonts w:asciiTheme="majorBidi" w:hAnsiTheme="majorBidi" w:cstheme="majorBidi"/>
          <w:color w:val="000000" w:themeColor="text1"/>
          <w:sz w:val="26"/>
          <w:szCs w:val="26"/>
        </w:rPr>
        <w:t>(18-29 years) in Palestine reached 52% in 2018 (77% among males and 26% among females) compared with 44% in 2008 (68% among males and 18% among females). The percentage of participation among individuals in the age group (18-29</w:t>
      </w:r>
      <w:r w:rsidRPr="00926EC4">
        <w:rPr>
          <w:rFonts w:asciiTheme="majorBidi" w:hAnsiTheme="majorBidi" w:cstheme="majorBidi"/>
          <w:snapToGrid w:val="0"/>
          <w:color w:val="000000" w:themeColor="text1"/>
          <w:sz w:val="26"/>
          <w:szCs w:val="26"/>
          <w:lang w:eastAsia="en-US"/>
        </w:rPr>
        <w:t xml:space="preserve"> years</w:t>
      </w:r>
      <w:r w:rsidRPr="00926EC4">
        <w:rPr>
          <w:rFonts w:asciiTheme="majorBidi" w:hAnsiTheme="majorBidi" w:cstheme="majorBidi"/>
          <w:color w:val="000000" w:themeColor="text1"/>
          <w:sz w:val="26"/>
          <w:szCs w:val="26"/>
        </w:rPr>
        <w:t>) in the West Bank increased from 45% in 2008 to 50% in 2018, and increased from 42% to 54% in Gaza Strip during the same period</w:t>
      </w:r>
      <w:r w:rsidRPr="00926EC4">
        <w:rPr>
          <w:rFonts w:asciiTheme="majorBidi" w:hAnsiTheme="majorBidi" w:cstheme="majorBidi"/>
          <w:color w:val="000000" w:themeColor="text1"/>
          <w:sz w:val="26"/>
          <w:szCs w:val="26"/>
          <w:rtl/>
        </w:rPr>
        <w:t>.</w:t>
      </w:r>
    </w:p>
    <w:p w:rsidR="00926EC4" w:rsidRPr="00585B1B" w:rsidRDefault="00926EC4" w:rsidP="00926EC4">
      <w:pPr>
        <w:bidi w:val="0"/>
        <w:jc w:val="both"/>
        <w:rPr>
          <w:rFonts w:asciiTheme="majorBidi" w:hAnsiTheme="majorBidi" w:cstheme="majorBidi"/>
          <w:color w:val="000000" w:themeColor="text1"/>
          <w:sz w:val="16"/>
          <w:szCs w:val="16"/>
        </w:rPr>
      </w:pPr>
    </w:p>
    <w:p w:rsidR="00926EC4" w:rsidRPr="00926EC4" w:rsidRDefault="00926EC4" w:rsidP="00926EC4">
      <w:pPr>
        <w:bidi w:val="0"/>
        <w:jc w:val="both"/>
        <w:rPr>
          <w:rFonts w:asciiTheme="majorBidi" w:hAnsiTheme="majorBidi" w:cstheme="majorBidi"/>
          <w:color w:val="000000" w:themeColor="text1"/>
          <w:sz w:val="26"/>
          <w:szCs w:val="26"/>
        </w:rPr>
      </w:pPr>
      <w:r w:rsidRPr="00926EC4">
        <w:rPr>
          <w:rFonts w:asciiTheme="majorBidi" w:hAnsiTheme="majorBidi" w:cstheme="majorBidi"/>
          <w:b/>
          <w:bCs/>
          <w:color w:val="000000" w:themeColor="text1"/>
          <w:sz w:val="26"/>
          <w:szCs w:val="26"/>
        </w:rPr>
        <w:t>High unemployment rate among the youth and increasing over time</w:t>
      </w:r>
    </w:p>
    <w:p w:rsidR="00926EC4" w:rsidRPr="00926EC4" w:rsidRDefault="00926EC4" w:rsidP="00245CA2">
      <w:pPr>
        <w:bidi w:val="0"/>
        <w:jc w:val="both"/>
        <w:rPr>
          <w:rFonts w:asciiTheme="majorBidi" w:hAnsiTheme="majorBidi" w:cstheme="majorBidi"/>
          <w:color w:val="000000" w:themeColor="text1"/>
          <w:sz w:val="26"/>
          <w:szCs w:val="26"/>
          <w:rtl/>
        </w:rPr>
      </w:pPr>
      <w:r w:rsidRPr="00926EC4">
        <w:rPr>
          <w:rFonts w:asciiTheme="majorBidi" w:hAnsiTheme="majorBidi" w:cstheme="majorBidi"/>
          <w:color w:val="000000" w:themeColor="text1"/>
          <w:sz w:val="26"/>
          <w:szCs w:val="26"/>
        </w:rPr>
        <w:t xml:space="preserve">The unemployment rate among </w:t>
      </w:r>
      <w:r w:rsidRPr="00926EC4">
        <w:rPr>
          <w:rFonts w:asciiTheme="majorBidi" w:hAnsiTheme="majorBidi" w:cstheme="majorBidi"/>
          <w:snapToGrid w:val="0"/>
          <w:color w:val="000000" w:themeColor="text1"/>
          <w:sz w:val="26"/>
          <w:szCs w:val="26"/>
          <w:lang w:eastAsia="en-US"/>
        </w:rPr>
        <w:t xml:space="preserve">youth </w:t>
      </w:r>
      <w:r w:rsidRPr="00926EC4">
        <w:rPr>
          <w:rFonts w:asciiTheme="majorBidi" w:hAnsiTheme="majorBidi" w:cstheme="majorBidi"/>
          <w:color w:val="000000" w:themeColor="text1"/>
          <w:sz w:val="26"/>
          <w:szCs w:val="26"/>
        </w:rPr>
        <w:t>(18-29 years) in Palestine increased in 2018 as it reached 45% (36% among males and 70% among females) compared with 37% (36% among males and 4</w:t>
      </w:r>
      <w:r w:rsidRPr="00926EC4">
        <w:rPr>
          <w:rFonts w:asciiTheme="majorBidi" w:hAnsiTheme="majorBidi" w:cstheme="majorBidi" w:hint="cs"/>
          <w:color w:val="000000" w:themeColor="text1"/>
          <w:sz w:val="26"/>
          <w:szCs w:val="26"/>
          <w:rtl/>
        </w:rPr>
        <w:t>3</w:t>
      </w:r>
      <w:r w:rsidRPr="00926EC4">
        <w:rPr>
          <w:rFonts w:asciiTheme="majorBidi" w:hAnsiTheme="majorBidi" w:cstheme="majorBidi"/>
          <w:color w:val="000000" w:themeColor="text1"/>
          <w:sz w:val="26"/>
          <w:szCs w:val="26"/>
        </w:rPr>
        <w:t>% among females). On the other hand, the unemployment rate among individuals in the age group (18-29</w:t>
      </w:r>
      <w:r w:rsidRPr="00926EC4">
        <w:rPr>
          <w:rFonts w:asciiTheme="majorBidi" w:hAnsiTheme="majorBidi" w:cstheme="majorBidi"/>
          <w:snapToGrid w:val="0"/>
          <w:color w:val="000000" w:themeColor="text1"/>
          <w:sz w:val="26"/>
          <w:szCs w:val="26"/>
          <w:lang w:eastAsia="en-US"/>
        </w:rPr>
        <w:t xml:space="preserve"> years</w:t>
      </w:r>
      <w:r w:rsidRPr="00926EC4">
        <w:rPr>
          <w:rFonts w:asciiTheme="majorBidi" w:hAnsiTheme="majorBidi" w:cstheme="majorBidi"/>
          <w:color w:val="000000" w:themeColor="text1"/>
          <w:sz w:val="26"/>
          <w:szCs w:val="26"/>
        </w:rPr>
        <w:t xml:space="preserve">) in the West Bank decreased from 28% in 2008 to 27% in 2018, while it increased significantly in Gaza Strip from 53% to 69% during the same period </w:t>
      </w:r>
      <w:r w:rsidRPr="00926EC4">
        <w:rPr>
          <w:rFonts w:asciiTheme="majorBidi" w:hAnsiTheme="majorBidi" w:cstheme="majorBidi"/>
          <w:color w:val="000000" w:themeColor="text1"/>
          <w:sz w:val="26"/>
          <w:szCs w:val="26"/>
          <w:rtl/>
        </w:rPr>
        <w:t>.</w:t>
      </w:r>
    </w:p>
    <w:p w:rsidR="00E97781" w:rsidRPr="00203719" w:rsidRDefault="00E97781" w:rsidP="00E97781">
      <w:pPr>
        <w:bidi w:val="0"/>
        <w:jc w:val="both"/>
        <w:rPr>
          <w:rFonts w:asciiTheme="majorBidi" w:hAnsiTheme="majorBidi" w:cstheme="majorBidi"/>
          <w:b/>
          <w:bCs/>
          <w:sz w:val="26"/>
          <w:szCs w:val="26"/>
        </w:rPr>
      </w:pPr>
      <w:r w:rsidRPr="00203719">
        <w:rPr>
          <w:rFonts w:asciiTheme="majorBidi" w:hAnsiTheme="majorBidi" w:cstheme="majorBidi"/>
          <w:b/>
          <w:bCs/>
          <w:sz w:val="26"/>
          <w:szCs w:val="26"/>
        </w:rPr>
        <w:t>More than half of the youth graduates are unemployed</w:t>
      </w:r>
    </w:p>
    <w:p w:rsidR="00E97781" w:rsidRPr="00203719" w:rsidRDefault="00E97781" w:rsidP="00E97781">
      <w:pPr>
        <w:bidi w:val="0"/>
        <w:jc w:val="both"/>
        <w:rPr>
          <w:rFonts w:asciiTheme="majorBidi" w:hAnsiTheme="majorBidi" w:cstheme="majorBidi"/>
          <w:sz w:val="26"/>
          <w:szCs w:val="26"/>
          <w:rtl/>
        </w:rPr>
      </w:pPr>
      <w:r w:rsidRPr="00203719">
        <w:rPr>
          <w:rFonts w:asciiTheme="majorBidi" w:hAnsiTheme="majorBidi" w:cstheme="majorBidi"/>
          <w:sz w:val="26"/>
          <w:szCs w:val="26"/>
        </w:rPr>
        <w:t>The rate of unemployment among graduates (</w:t>
      </w:r>
      <w:r>
        <w:rPr>
          <w:rFonts w:asciiTheme="majorBidi" w:hAnsiTheme="majorBidi" w:cstheme="majorBidi"/>
          <w:sz w:val="26"/>
          <w:szCs w:val="26"/>
        </w:rPr>
        <w:t>18</w:t>
      </w:r>
      <w:r w:rsidRPr="00203719">
        <w:rPr>
          <w:rFonts w:asciiTheme="majorBidi" w:hAnsiTheme="majorBidi" w:cstheme="majorBidi"/>
          <w:sz w:val="26"/>
          <w:szCs w:val="26"/>
        </w:rPr>
        <w:t>-29 years) holding intermediate diploma degree or higher was 58% during 2018 (40% for males and 73% for females). Graduates of the educational sciences and teacher training specialization in 2018 recorded the highest unemployment rate at 76% (52% for males and 81% for females). Graduates of the law specialization recorded the lowest unemployment rate at 29% (25% for males and 41% for females).</w:t>
      </w:r>
    </w:p>
    <w:p w:rsidR="00E97781" w:rsidRPr="00203719" w:rsidRDefault="00E97781" w:rsidP="00E97781">
      <w:pPr>
        <w:bidi w:val="0"/>
        <w:jc w:val="both"/>
        <w:rPr>
          <w:rFonts w:asciiTheme="majorBidi" w:hAnsiTheme="majorBidi" w:cstheme="majorBidi"/>
          <w:b/>
          <w:bCs/>
          <w:sz w:val="26"/>
          <w:szCs w:val="26"/>
        </w:rPr>
      </w:pPr>
      <w:r>
        <w:rPr>
          <w:rFonts w:asciiTheme="majorBidi" w:hAnsiTheme="majorBidi" w:cstheme="majorBidi"/>
          <w:b/>
          <w:bCs/>
          <w:sz w:val="26"/>
          <w:szCs w:val="26"/>
        </w:rPr>
        <w:t>Half</w:t>
      </w:r>
      <w:r w:rsidRPr="00203719">
        <w:rPr>
          <w:rFonts w:asciiTheme="majorBidi" w:hAnsiTheme="majorBidi" w:cstheme="majorBidi"/>
          <w:b/>
          <w:bCs/>
          <w:sz w:val="26"/>
          <w:szCs w:val="26"/>
        </w:rPr>
        <w:t xml:space="preserve"> of the youth (</w:t>
      </w:r>
      <w:r>
        <w:rPr>
          <w:rFonts w:asciiTheme="majorBidi" w:hAnsiTheme="majorBidi" w:cstheme="majorBidi" w:hint="cs"/>
          <w:b/>
          <w:bCs/>
          <w:sz w:val="26"/>
          <w:szCs w:val="26"/>
          <w:rtl/>
        </w:rPr>
        <w:t>18</w:t>
      </w:r>
      <w:r w:rsidRPr="00203719">
        <w:rPr>
          <w:rFonts w:asciiTheme="majorBidi" w:hAnsiTheme="majorBidi" w:cstheme="majorBidi"/>
          <w:b/>
          <w:bCs/>
          <w:sz w:val="26"/>
          <w:szCs w:val="26"/>
        </w:rPr>
        <w:t>- 29 years) are not in employment, education or training</w:t>
      </w:r>
      <w:r w:rsidRPr="00203719">
        <w:rPr>
          <w:rFonts w:asciiTheme="majorBidi" w:hAnsiTheme="majorBidi" w:cstheme="majorBidi"/>
          <w:b/>
          <w:bCs/>
          <w:sz w:val="26"/>
          <w:szCs w:val="26"/>
          <w:rtl/>
        </w:rPr>
        <w:t xml:space="preserve">  </w:t>
      </w:r>
    </w:p>
    <w:p w:rsidR="00E97781" w:rsidRPr="00203719" w:rsidRDefault="00E97781" w:rsidP="00E97781">
      <w:pPr>
        <w:bidi w:val="0"/>
        <w:jc w:val="both"/>
        <w:rPr>
          <w:rFonts w:asciiTheme="majorBidi" w:hAnsiTheme="majorBidi" w:cstheme="majorBidi"/>
          <w:sz w:val="26"/>
          <w:szCs w:val="26"/>
        </w:rPr>
      </w:pPr>
      <w:r>
        <w:rPr>
          <w:rFonts w:asciiTheme="majorBidi" w:hAnsiTheme="majorBidi" w:cstheme="majorBidi"/>
          <w:sz w:val="26"/>
          <w:szCs w:val="26"/>
        </w:rPr>
        <w:t>50</w:t>
      </w:r>
      <w:r w:rsidRPr="00203719">
        <w:rPr>
          <w:rFonts w:asciiTheme="majorBidi" w:hAnsiTheme="majorBidi" w:cstheme="majorBidi"/>
          <w:sz w:val="26"/>
          <w:szCs w:val="26"/>
        </w:rPr>
        <w:t>% was the percentage of the youth (</w:t>
      </w:r>
      <w:r>
        <w:rPr>
          <w:rFonts w:asciiTheme="majorBidi" w:hAnsiTheme="majorBidi" w:cstheme="majorBidi"/>
          <w:sz w:val="26"/>
          <w:szCs w:val="26"/>
        </w:rPr>
        <w:t>18</w:t>
      </w:r>
      <w:r w:rsidRPr="00203719">
        <w:rPr>
          <w:rFonts w:asciiTheme="majorBidi" w:hAnsiTheme="majorBidi" w:cstheme="majorBidi"/>
          <w:sz w:val="26"/>
          <w:szCs w:val="26"/>
        </w:rPr>
        <w:t xml:space="preserve">-29 years) who </w:t>
      </w:r>
      <w:proofErr w:type="spellStart"/>
      <w:r w:rsidRPr="00203719">
        <w:rPr>
          <w:rFonts w:asciiTheme="majorBidi" w:hAnsiTheme="majorBidi" w:cstheme="majorBidi"/>
          <w:sz w:val="26"/>
          <w:szCs w:val="26"/>
        </w:rPr>
        <w:t>arenot</w:t>
      </w:r>
      <w:proofErr w:type="spellEnd"/>
      <w:r w:rsidRPr="00203719">
        <w:rPr>
          <w:rFonts w:asciiTheme="majorBidi" w:hAnsiTheme="majorBidi" w:cstheme="majorBidi"/>
          <w:sz w:val="26"/>
          <w:szCs w:val="26"/>
        </w:rPr>
        <w:t xml:space="preserve"> in employment education or training in 2018 (</w:t>
      </w:r>
      <w:r>
        <w:rPr>
          <w:rFonts w:asciiTheme="majorBidi" w:hAnsiTheme="majorBidi" w:cstheme="majorBidi"/>
          <w:sz w:val="26"/>
          <w:szCs w:val="26"/>
        </w:rPr>
        <w:t>41</w:t>
      </w:r>
      <w:r w:rsidRPr="00203719">
        <w:rPr>
          <w:rFonts w:asciiTheme="majorBidi" w:hAnsiTheme="majorBidi" w:cstheme="majorBidi"/>
          <w:sz w:val="26"/>
          <w:szCs w:val="26"/>
        </w:rPr>
        <w:t xml:space="preserve">% in the West Bank compared with </w:t>
      </w:r>
      <w:r>
        <w:rPr>
          <w:rFonts w:asciiTheme="majorBidi" w:hAnsiTheme="majorBidi" w:cstheme="majorBidi"/>
          <w:sz w:val="26"/>
          <w:szCs w:val="26"/>
        </w:rPr>
        <w:t>63</w:t>
      </w:r>
      <w:r w:rsidRPr="00203719">
        <w:rPr>
          <w:rFonts w:asciiTheme="majorBidi" w:hAnsiTheme="majorBidi" w:cstheme="majorBidi"/>
          <w:sz w:val="26"/>
          <w:szCs w:val="26"/>
        </w:rPr>
        <w:t xml:space="preserve">% in Gaza strip). The percentage by sex was </w:t>
      </w:r>
      <w:r>
        <w:rPr>
          <w:rFonts w:asciiTheme="majorBidi" w:hAnsiTheme="majorBidi" w:cstheme="majorBidi"/>
          <w:sz w:val="26"/>
          <w:szCs w:val="26"/>
        </w:rPr>
        <w:t>35</w:t>
      </w:r>
      <w:r w:rsidRPr="00203719">
        <w:rPr>
          <w:rFonts w:asciiTheme="majorBidi" w:hAnsiTheme="majorBidi" w:cstheme="majorBidi"/>
          <w:sz w:val="26"/>
          <w:szCs w:val="26"/>
        </w:rPr>
        <w:t xml:space="preserve">% for males and </w:t>
      </w:r>
      <w:r>
        <w:rPr>
          <w:rFonts w:asciiTheme="majorBidi" w:hAnsiTheme="majorBidi" w:cstheme="majorBidi"/>
          <w:sz w:val="26"/>
          <w:szCs w:val="26"/>
        </w:rPr>
        <w:t>65</w:t>
      </w:r>
      <w:r w:rsidRPr="00203719">
        <w:rPr>
          <w:rFonts w:asciiTheme="majorBidi" w:hAnsiTheme="majorBidi" w:cstheme="majorBidi"/>
          <w:sz w:val="26"/>
          <w:szCs w:val="26"/>
        </w:rPr>
        <w:t>% for females.</w:t>
      </w:r>
    </w:p>
    <w:p w:rsidR="00E97781" w:rsidRPr="00203719" w:rsidRDefault="00E97781" w:rsidP="00E97781">
      <w:pPr>
        <w:bidi w:val="0"/>
        <w:jc w:val="both"/>
        <w:rPr>
          <w:rFonts w:asciiTheme="majorBidi" w:hAnsiTheme="majorBidi" w:cstheme="majorBidi"/>
          <w:sz w:val="26"/>
          <w:szCs w:val="26"/>
        </w:rPr>
      </w:pPr>
    </w:p>
    <w:p w:rsidR="00E97781" w:rsidRPr="00203719" w:rsidRDefault="00E97781" w:rsidP="00E97781">
      <w:pPr>
        <w:jc w:val="right"/>
        <w:rPr>
          <w:rFonts w:asciiTheme="majorBidi" w:hAnsiTheme="majorBidi" w:cstheme="majorBidi"/>
          <w:b/>
          <w:bCs/>
          <w:sz w:val="26"/>
          <w:szCs w:val="26"/>
        </w:rPr>
      </w:pPr>
      <w:r w:rsidRPr="00203719">
        <w:rPr>
          <w:rFonts w:asciiTheme="majorBidi" w:hAnsiTheme="majorBidi" w:cstheme="majorBidi"/>
          <w:b/>
          <w:bCs/>
          <w:sz w:val="26"/>
          <w:szCs w:val="26"/>
        </w:rPr>
        <w:t xml:space="preserve">The female youth in Palestine receive a daily average wage about </w:t>
      </w:r>
      <w:r>
        <w:rPr>
          <w:rFonts w:asciiTheme="majorBidi" w:hAnsiTheme="majorBidi" w:cstheme="majorBidi"/>
          <w:b/>
          <w:bCs/>
          <w:sz w:val="26"/>
          <w:szCs w:val="26"/>
        </w:rPr>
        <w:t>68</w:t>
      </w:r>
      <w:r w:rsidRPr="00203719">
        <w:rPr>
          <w:rFonts w:asciiTheme="majorBidi" w:hAnsiTheme="majorBidi" w:cstheme="majorBidi"/>
          <w:b/>
          <w:bCs/>
          <w:sz w:val="26"/>
          <w:szCs w:val="26"/>
        </w:rPr>
        <w:t>% of the male youth wage</w:t>
      </w:r>
    </w:p>
    <w:p w:rsidR="00E97781" w:rsidRPr="00203719" w:rsidRDefault="00E97781" w:rsidP="00E97781">
      <w:pPr>
        <w:jc w:val="right"/>
        <w:rPr>
          <w:rFonts w:asciiTheme="majorBidi" w:hAnsiTheme="majorBidi" w:cstheme="majorBidi"/>
          <w:sz w:val="26"/>
          <w:szCs w:val="26"/>
        </w:rPr>
      </w:pPr>
      <w:r w:rsidRPr="00203719">
        <w:rPr>
          <w:rFonts w:asciiTheme="majorBidi" w:hAnsiTheme="majorBidi" w:cstheme="majorBidi"/>
          <w:sz w:val="26"/>
          <w:szCs w:val="26"/>
        </w:rPr>
        <w:t xml:space="preserve">The average daily wage for the youth wage employees in Palestine was about </w:t>
      </w:r>
      <w:r>
        <w:rPr>
          <w:rFonts w:asciiTheme="majorBidi" w:hAnsiTheme="majorBidi" w:cstheme="majorBidi"/>
          <w:sz w:val="26"/>
          <w:szCs w:val="26"/>
        </w:rPr>
        <w:t>100</w:t>
      </w:r>
      <w:r w:rsidRPr="00203719">
        <w:rPr>
          <w:rFonts w:asciiTheme="majorBidi" w:hAnsiTheme="majorBidi" w:cstheme="majorBidi"/>
          <w:sz w:val="26"/>
          <w:szCs w:val="26"/>
        </w:rPr>
        <w:t xml:space="preserve"> NIS in 2018 (</w:t>
      </w:r>
      <w:r>
        <w:rPr>
          <w:rFonts w:asciiTheme="majorBidi" w:hAnsiTheme="majorBidi" w:cstheme="majorBidi"/>
          <w:sz w:val="26"/>
          <w:szCs w:val="26"/>
        </w:rPr>
        <w:t>71</w:t>
      </w:r>
      <w:r w:rsidRPr="00203719">
        <w:rPr>
          <w:rFonts w:asciiTheme="majorBidi" w:hAnsiTheme="majorBidi" w:cstheme="majorBidi"/>
          <w:sz w:val="26"/>
          <w:szCs w:val="26"/>
        </w:rPr>
        <w:t xml:space="preserve"> NIS for females compared with </w:t>
      </w:r>
      <w:r>
        <w:rPr>
          <w:rFonts w:asciiTheme="majorBidi" w:hAnsiTheme="majorBidi" w:cstheme="majorBidi"/>
          <w:sz w:val="26"/>
          <w:szCs w:val="26"/>
        </w:rPr>
        <w:t>105</w:t>
      </w:r>
      <w:r w:rsidRPr="00203719">
        <w:rPr>
          <w:rFonts w:asciiTheme="majorBidi" w:hAnsiTheme="majorBidi" w:cstheme="majorBidi"/>
          <w:sz w:val="26"/>
          <w:szCs w:val="26"/>
        </w:rPr>
        <w:t xml:space="preserve"> NIS for males), at the regional level the average daily wage was </w:t>
      </w:r>
      <w:r>
        <w:rPr>
          <w:rFonts w:asciiTheme="majorBidi" w:hAnsiTheme="majorBidi" w:cstheme="majorBidi"/>
          <w:sz w:val="26"/>
          <w:szCs w:val="26"/>
        </w:rPr>
        <w:t>120</w:t>
      </w:r>
      <w:r w:rsidRPr="00203719">
        <w:rPr>
          <w:rFonts w:asciiTheme="majorBidi" w:hAnsiTheme="majorBidi" w:cstheme="majorBidi"/>
          <w:sz w:val="26"/>
          <w:szCs w:val="26"/>
        </w:rPr>
        <w:t xml:space="preserve"> NIS in the West Bank compared with </w:t>
      </w:r>
      <w:r>
        <w:rPr>
          <w:rFonts w:asciiTheme="majorBidi" w:hAnsiTheme="majorBidi" w:cstheme="majorBidi"/>
          <w:sz w:val="26"/>
          <w:szCs w:val="26"/>
        </w:rPr>
        <w:t>33</w:t>
      </w:r>
      <w:r w:rsidRPr="00203719">
        <w:rPr>
          <w:rFonts w:asciiTheme="majorBidi" w:hAnsiTheme="majorBidi" w:cstheme="majorBidi"/>
          <w:sz w:val="26"/>
          <w:szCs w:val="26"/>
        </w:rPr>
        <w:t xml:space="preserve"> NIS in Gaza Strip.</w:t>
      </w:r>
    </w:p>
    <w:p w:rsidR="00E97781" w:rsidRPr="00585B1B" w:rsidRDefault="00E97781" w:rsidP="00E97781">
      <w:pPr>
        <w:jc w:val="right"/>
        <w:rPr>
          <w:rFonts w:asciiTheme="majorBidi" w:hAnsiTheme="majorBidi" w:cstheme="majorBidi"/>
          <w:sz w:val="16"/>
          <w:szCs w:val="16"/>
        </w:rPr>
      </w:pPr>
    </w:p>
    <w:p w:rsidR="00E97781" w:rsidRPr="00203719" w:rsidRDefault="00E97781" w:rsidP="00E97781">
      <w:pPr>
        <w:jc w:val="right"/>
        <w:rPr>
          <w:rFonts w:asciiTheme="majorBidi" w:hAnsiTheme="majorBidi" w:cstheme="majorBidi"/>
          <w:sz w:val="26"/>
          <w:szCs w:val="26"/>
        </w:rPr>
      </w:pPr>
      <w:r w:rsidRPr="00203719">
        <w:rPr>
          <w:rFonts w:asciiTheme="majorBidi" w:hAnsiTheme="majorBidi" w:cstheme="majorBidi"/>
          <w:sz w:val="26"/>
          <w:szCs w:val="26"/>
        </w:rPr>
        <w:t xml:space="preserve">The participation rate of the youth and adults in formal and non-formal education and training was </w:t>
      </w:r>
      <w:r>
        <w:rPr>
          <w:rFonts w:asciiTheme="majorBidi" w:hAnsiTheme="majorBidi" w:cstheme="majorBidi"/>
          <w:sz w:val="26"/>
          <w:szCs w:val="26"/>
        </w:rPr>
        <w:t>13</w:t>
      </w:r>
      <w:r w:rsidRPr="00203719">
        <w:rPr>
          <w:rFonts w:asciiTheme="majorBidi" w:hAnsiTheme="majorBidi" w:cstheme="majorBidi"/>
          <w:sz w:val="26"/>
          <w:szCs w:val="26"/>
        </w:rPr>
        <w:t xml:space="preserve">% in the previous 12 months in 2018, </w:t>
      </w:r>
      <w:r>
        <w:rPr>
          <w:rFonts w:asciiTheme="majorBidi" w:hAnsiTheme="majorBidi" w:cstheme="majorBidi"/>
          <w:sz w:val="26"/>
          <w:szCs w:val="26"/>
        </w:rPr>
        <w:t>27</w:t>
      </w:r>
      <w:r w:rsidRPr="00203719">
        <w:rPr>
          <w:rFonts w:asciiTheme="majorBidi" w:hAnsiTheme="majorBidi" w:cstheme="majorBidi"/>
          <w:sz w:val="26"/>
          <w:szCs w:val="26"/>
        </w:rPr>
        <w:t>% for the youth (</w:t>
      </w:r>
      <w:r>
        <w:rPr>
          <w:rFonts w:asciiTheme="majorBidi" w:hAnsiTheme="majorBidi" w:cstheme="majorBidi"/>
          <w:sz w:val="26"/>
          <w:szCs w:val="26"/>
        </w:rPr>
        <w:t>18</w:t>
      </w:r>
      <w:r w:rsidRPr="00203719">
        <w:rPr>
          <w:rFonts w:asciiTheme="majorBidi" w:hAnsiTheme="majorBidi" w:cstheme="majorBidi"/>
          <w:sz w:val="26"/>
          <w:szCs w:val="26"/>
        </w:rPr>
        <w:t>-</w:t>
      </w:r>
      <w:r>
        <w:rPr>
          <w:rFonts w:asciiTheme="majorBidi" w:hAnsiTheme="majorBidi" w:cstheme="majorBidi"/>
          <w:sz w:val="26"/>
          <w:szCs w:val="26"/>
        </w:rPr>
        <w:t>29</w:t>
      </w:r>
      <w:r w:rsidRPr="00203719">
        <w:rPr>
          <w:rFonts w:asciiTheme="majorBidi" w:hAnsiTheme="majorBidi" w:cstheme="majorBidi"/>
          <w:sz w:val="26"/>
          <w:szCs w:val="26"/>
        </w:rPr>
        <w:t xml:space="preserve"> years), </w:t>
      </w:r>
      <w:r>
        <w:rPr>
          <w:rFonts w:asciiTheme="majorBidi" w:hAnsiTheme="majorBidi" w:cstheme="majorBidi"/>
          <w:sz w:val="26"/>
          <w:szCs w:val="26"/>
        </w:rPr>
        <w:t>4</w:t>
      </w:r>
      <w:r w:rsidRPr="00203719">
        <w:rPr>
          <w:rFonts w:asciiTheme="majorBidi" w:hAnsiTheme="majorBidi" w:cstheme="majorBidi"/>
          <w:sz w:val="26"/>
          <w:szCs w:val="26"/>
        </w:rPr>
        <w:t>% for adults (</w:t>
      </w:r>
      <w:r>
        <w:rPr>
          <w:rFonts w:asciiTheme="majorBidi" w:hAnsiTheme="majorBidi" w:cstheme="majorBidi"/>
          <w:sz w:val="26"/>
          <w:szCs w:val="26"/>
        </w:rPr>
        <w:t>30</w:t>
      </w:r>
      <w:r w:rsidRPr="00203719">
        <w:rPr>
          <w:rFonts w:asciiTheme="majorBidi" w:hAnsiTheme="majorBidi" w:cstheme="majorBidi"/>
          <w:sz w:val="26"/>
          <w:szCs w:val="26"/>
        </w:rPr>
        <w:t xml:space="preserve">-64 years), compared with 1% for the elderly aged 65 years and above, by sex the rate was </w:t>
      </w:r>
      <w:r>
        <w:rPr>
          <w:rFonts w:asciiTheme="majorBidi" w:hAnsiTheme="majorBidi" w:cstheme="majorBidi"/>
          <w:sz w:val="26"/>
          <w:szCs w:val="26"/>
        </w:rPr>
        <w:t>11</w:t>
      </w:r>
      <w:r w:rsidRPr="00203719">
        <w:rPr>
          <w:rFonts w:asciiTheme="majorBidi" w:hAnsiTheme="majorBidi" w:cstheme="majorBidi"/>
          <w:sz w:val="26"/>
          <w:szCs w:val="26"/>
        </w:rPr>
        <w:t xml:space="preserve">% for males compared with </w:t>
      </w:r>
      <w:r>
        <w:rPr>
          <w:rFonts w:asciiTheme="majorBidi" w:hAnsiTheme="majorBidi" w:cstheme="majorBidi"/>
          <w:sz w:val="26"/>
          <w:szCs w:val="26"/>
        </w:rPr>
        <w:t>15</w:t>
      </w:r>
      <w:r w:rsidRPr="00203719">
        <w:rPr>
          <w:rFonts w:asciiTheme="majorBidi" w:hAnsiTheme="majorBidi" w:cstheme="majorBidi"/>
          <w:sz w:val="26"/>
          <w:szCs w:val="26"/>
        </w:rPr>
        <w:t>% for females.</w:t>
      </w:r>
    </w:p>
    <w:p w:rsidR="00E97781" w:rsidRPr="00585B1B" w:rsidRDefault="00E97781" w:rsidP="00E97781">
      <w:pPr>
        <w:jc w:val="right"/>
        <w:rPr>
          <w:rFonts w:asciiTheme="majorBidi" w:hAnsiTheme="majorBidi" w:cstheme="majorBidi"/>
          <w:sz w:val="16"/>
          <w:szCs w:val="16"/>
        </w:rPr>
      </w:pPr>
    </w:p>
    <w:p w:rsidR="00E97781" w:rsidRPr="00203719" w:rsidRDefault="00E97781" w:rsidP="00E97781">
      <w:pPr>
        <w:bidi w:val="0"/>
        <w:jc w:val="both"/>
        <w:rPr>
          <w:rFonts w:asciiTheme="majorBidi" w:hAnsiTheme="majorBidi" w:cstheme="majorBidi"/>
          <w:b/>
          <w:bCs/>
          <w:sz w:val="26"/>
          <w:szCs w:val="26"/>
        </w:rPr>
      </w:pPr>
      <w:r w:rsidRPr="00203719">
        <w:rPr>
          <w:rFonts w:asciiTheme="majorBidi" w:hAnsiTheme="majorBidi" w:cstheme="majorBidi"/>
          <w:b/>
          <w:bCs/>
          <w:sz w:val="26"/>
          <w:szCs w:val="26"/>
        </w:rPr>
        <w:t>The work of the female youth is concentrated in the services sector, while, trade, restaurants and hotels sectors are the most accommodating for the male youth employment</w:t>
      </w:r>
    </w:p>
    <w:p w:rsidR="00E97781" w:rsidRPr="00203719" w:rsidRDefault="00E97781" w:rsidP="00E97781">
      <w:pPr>
        <w:bidi w:val="0"/>
        <w:jc w:val="both"/>
        <w:rPr>
          <w:rFonts w:asciiTheme="majorBidi" w:hAnsiTheme="majorBidi" w:cstheme="majorBidi"/>
          <w:sz w:val="26"/>
          <w:szCs w:val="26"/>
        </w:rPr>
      </w:pPr>
      <w:r w:rsidRPr="00203719">
        <w:rPr>
          <w:rFonts w:asciiTheme="majorBidi" w:hAnsiTheme="majorBidi" w:cstheme="majorBidi"/>
          <w:sz w:val="26"/>
          <w:szCs w:val="26"/>
        </w:rPr>
        <w:t xml:space="preserve">The percentage of the youth working in the services sector was </w:t>
      </w:r>
      <w:r>
        <w:rPr>
          <w:rFonts w:asciiTheme="majorBidi" w:hAnsiTheme="majorBidi" w:cstheme="majorBidi"/>
          <w:sz w:val="26"/>
          <w:szCs w:val="26"/>
        </w:rPr>
        <w:t>25</w:t>
      </w:r>
      <w:r w:rsidRPr="00203719">
        <w:rPr>
          <w:rFonts w:asciiTheme="majorBidi" w:hAnsiTheme="majorBidi" w:cstheme="majorBidi"/>
          <w:sz w:val="26"/>
          <w:szCs w:val="26"/>
        </w:rPr>
        <w:t>% in 2018 (</w:t>
      </w:r>
      <w:r>
        <w:rPr>
          <w:rFonts w:asciiTheme="majorBidi" w:hAnsiTheme="majorBidi" w:cstheme="majorBidi"/>
          <w:sz w:val="26"/>
          <w:szCs w:val="26"/>
        </w:rPr>
        <w:t>19</w:t>
      </w:r>
      <w:r w:rsidRPr="00203719">
        <w:rPr>
          <w:rFonts w:asciiTheme="majorBidi" w:hAnsiTheme="majorBidi" w:cstheme="majorBidi"/>
          <w:sz w:val="26"/>
          <w:szCs w:val="26"/>
        </w:rPr>
        <w:t xml:space="preserve">% for males and </w:t>
      </w:r>
      <w:r>
        <w:rPr>
          <w:rFonts w:asciiTheme="majorBidi" w:hAnsiTheme="majorBidi" w:cstheme="majorBidi"/>
          <w:sz w:val="26"/>
          <w:szCs w:val="26"/>
        </w:rPr>
        <w:t>67</w:t>
      </w:r>
      <w:r w:rsidRPr="00203719">
        <w:rPr>
          <w:rFonts w:asciiTheme="majorBidi" w:hAnsiTheme="majorBidi" w:cstheme="majorBidi"/>
          <w:sz w:val="26"/>
          <w:szCs w:val="26"/>
        </w:rPr>
        <w:t>% for females) compared with 28% in the trade, restaurants and hotels sector (30% for males and 14% for females), 20% in construction sector (</w:t>
      </w:r>
      <w:r>
        <w:rPr>
          <w:rFonts w:asciiTheme="majorBidi" w:hAnsiTheme="majorBidi" w:cstheme="majorBidi"/>
          <w:sz w:val="26"/>
          <w:szCs w:val="26"/>
        </w:rPr>
        <w:t>23</w:t>
      </w:r>
      <w:r w:rsidRPr="00203719">
        <w:rPr>
          <w:rFonts w:asciiTheme="majorBidi" w:hAnsiTheme="majorBidi" w:cstheme="majorBidi"/>
          <w:sz w:val="26"/>
          <w:szCs w:val="26"/>
        </w:rPr>
        <w:t>% for males and 0.1% for females) 16% of the employed youth work in industry (</w:t>
      </w:r>
      <w:r>
        <w:rPr>
          <w:rFonts w:asciiTheme="majorBidi" w:hAnsiTheme="majorBidi" w:cstheme="majorBidi"/>
          <w:sz w:val="26"/>
          <w:szCs w:val="26"/>
        </w:rPr>
        <w:t>17</w:t>
      </w:r>
      <w:r w:rsidRPr="00203719">
        <w:rPr>
          <w:rFonts w:asciiTheme="majorBidi" w:hAnsiTheme="majorBidi" w:cstheme="majorBidi"/>
          <w:sz w:val="26"/>
          <w:szCs w:val="26"/>
        </w:rPr>
        <w:t xml:space="preserve">% for males and </w:t>
      </w:r>
      <w:r>
        <w:rPr>
          <w:rFonts w:asciiTheme="majorBidi" w:hAnsiTheme="majorBidi" w:cstheme="majorBidi"/>
          <w:sz w:val="26"/>
          <w:szCs w:val="26"/>
        </w:rPr>
        <w:t>12</w:t>
      </w:r>
      <w:r w:rsidRPr="00203719">
        <w:rPr>
          <w:rFonts w:asciiTheme="majorBidi" w:hAnsiTheme="majorBidi" w:cstheme="majorBidi"/>
          <w:sz w:val="26"/>
          <w:szCs w:val="26"/>
        </w:rPr>
        <w:t>% for females). The percentage of workers in the agriculture sector was 7% (</w:t>
      </w:r>
      <w:r>
        <w:rPr>
          <w:rFonts w:asciiTheme="majorBidi" w:hAnsiTheme="majorBidi" w:cstheme="majorBidi"/>
          <w:sz w:val="26"/>
          <w:szCs w:val="26"/>
        </w:rPr>
        <w:t>8</w:t>
      </w:r>
      <w:r w:rsidRPr="00203719">
        <w:rPr>
          <w:rFonts w:asciiTheme="majorBidi" w:hAnsiTheme="majorBidi" w:cstheme="majorBidi"/>
          <w:sz w:val="26"/>
          <w:szCs w:val="26"/>
        </w:rPr>
        <w:t xml:space="preserve">% for males and 4% for females), while the percentage of the employed youth in transportation, storage and communications sector reached </w:t>
      </w:r>
      <w:r>
        <w:rPr>
          <w:rFonts w:asciiTheme="majorBidi" w:hAnsiTheme="majorBidi" w:cstheme="majorBidi"/>
          <w:sz w:val="26"/>
          <w:szCs w:val="26"/>
        </w:rPr>
        <w:t>5</w:t>
      </w:r>
      <w:r w:rsidRPr="00203719">
        <w:rPr>
          <w:rFonts w:asciiTheme="majorBidi" w:hAnsiTheme="majorBidi" w:cstheme="majorBidi"/>
          <w:sz w:val="26"/>
          <w:szCs w:val="26"/>
        </w:rPr>
        <w:t>% (6% for males and 4% for females).</w:t>
      </w:r>
    </w:p>
    <w:p w:rsidR="00E97781" w:rsidRPr="00585B1B" w:rsidRDefault="00E97781" w:rsidP="00E97781">
      <w:pPr>
        <w:bidi w:val="0"/>
        <w:jc w:val="both"/>
        <w:rPr>
          <w:rFonts w:asciiTheme="majorBidi" w:hAnsiTheme="majorBidi" w:cstheme="majorBidi"/>
          <w:sz w:val="16"/>
          <w:szCs w:val="16"/>
        </w:rPr>
      </w:pPr>
    </w:p>
    <w:p w:rsidR="00E97781" w:rsidRPr="00203719" w:rsidRDefault="00E97781" w:rsidP="00E97781">
      <w:pPr>
        <w:bidi w:val="0"/>
        <w:jc w:val="both"/>
        <w:rPr>
          <w:rFonts w:asciiTheme="majorBidi" w:hAnsiTheme="majorBidi" w:cstheme="majorBidi"/>
          <w:b/>
          <w:bCs/>
          <w:sz w:val="26"/>
          <w:szCs w:val="26"/>
        </w:rPr>
      </w:pPr>
      <w:r w:rsidRPr="00203719">
        <w:rPr>
          <w:rFonts w:asciiTheme="majorBidi" w:hAnsiTheme="majorBidi" w:cstheme="majorBidi"/>
          <w:b/>
          <w:bCs/>
          <w:sz w:val="26"/>
          <w:szCs w:val="26"/>
        </w:rPr>
        <w:t>Less than 1% of the Palestinian youth work in decision-making positions</w:t>
      </w:r>
    </w:p>
    <w:p w:rsidR="00E97781" w:rsidRDefault="00E97781" w:rsidP="00E97781">
      <w:pPr>
        <w:bidi w:val="0"/>
        <w:jc w:val="both"/>
        <w:rPr>
          <w:rFonts w:asciiTheme="majorBidi" w:hAnsiTheme="majorBidi" w:cstheme="majorBidi"/>
          <w:sz w:val="26"/>
          <w:szCs w:val="26"/>
        </w:rPr>
      </w:pPr>
      <w:r w:rsidRPr="00203719">
        <w:rPr>
          <w:rFonts w:asciiTheme="majorBidi" w:hAnsiTheme="majorBidi" w:cstheme="majorBidi"/>
          <w:sz w:val="26"/>
          <w:szCs w:val="26"/>
        </w:rPr>
        <w:t>The data for 2018 showed that 0.9% of the youth work as legislators and senior management employees (1% in the West Bank and 0.4% in Gaza Strip)</w:t>
      </w:r>
      <w:r w:rsidRPr="00203719">
        <w:rPr>
          <w:rFonts w:asciiTheme="majorBidi" w:hAnsiTheme="majorBidi" w:cstheme="majorBidi"/>
          <w:sz w:val="26"/>
          <w:szCs w:val="26"/>
          <w:rtl/>
        </w:rPr>
        <w:t>.</w:t>
      </w:r>
    </w:p>
    <w:p w:rsidR="00E97781" w:rsidRPr="00585B1B" w:rsidRDefault="00E97781" w:rsidP="00E97781">
      <w:pPr>
        <w:bidi w:val="0"/>
        <w:jc w:val="both"/>
        <w:rPr>
          <w:rFonts w:asciiTheme="majorBidi" w:hAnsiTheme="majorBidi" w:cstheme="majorBidi"/>
          <w:sz w:val="16"/>
          <w:szCs w:val="16"/>
        </w:rPr>
      </w:pPr>
    </w:p>
    <w:p w:rsidR="00E97781" w:rsidRPr="00203719" w:rsidRDefault="00E97781" w:rsidP="00E97781">
      <w:pPr>
        <w:bidi w:val="0"/>
        <w:jc w:val="both"/>
        <w:rPr>
          <w:rFonts w:asciiTheme="majorBidi" w:hAnsiTheme="majorBidi" w:cstheme="majorBidi"/>
          <w:b/>
          <w:bCs/>
          <w:sz w:val="26"/>
          <w:szCs w:val="26"/>
        </w:rPr>
      </w:pPr>
      <w:r w:rsidRPr="00203719">
        <w:rPr>
          <w:rFonts w:ascii="&amp;quot" w:hAnsi="&amp;quot"/>
          <w:b/>
          <w:bCs/>
          <w:sz w:val="27"/>
          <w:szCs w:val="27"/>
        </w:rPr>
        <w:t>The data of the youth shows that there is a rise in education levels accompanied by a rise in unemployment rates, especially among graduates. A special study was prepared by the Palestinian Central Bureau of Statistics on the gap between education and labor market, where it revealed a large gap between the outputs of education and the needs of the labor market,</w:t>
      </w:r>
      <w:r w:rsidRPr="00203719">
        <w:rPr>
          <w:rFonts w:ascii="Roboto" w:hAnsi="Roboto"/>
          <w:b/>
          <w:bCs/>
          <w:sz w:val="27"/>
          <w:szCs w:val="27"/>
        </w:rPr>
        <w:t xml:space="preserve"> </w:t>
      </w:r>
      <w:r w:rsidRPr="00203719">
        <w:rPr>
          <w:rFonts w:ascii="&amp;quot" w:hAnsi="&amp;quot"/>
          <w:b/>
          <w:bCs/>
          <w:sz w:val="27"/>
          <w:szCs w:val="27"/>
        </w:rPr>
        <w:t>which highlights the necessity to define the specializations that must be selected by the students</w:t>
      </w:r>
      <w:r w:rsidRPr="00203719">
        <w:rPr>
          <w:rFonts w:asciiTheme="majorBidi" w:hAnsiTheme="majorBidi" w:cstheme="majorBidi"/>
          <w:b/>
          <w:bCs/>
          <w:sz w:val="26"/>
          <w:szCs w:val="26"/>
        </w:rPr>
        <w:t>.</w:t>
      </w:r>
    </w:p>
    <w:p w:rsidR="000B5848" w:rsidRPr="00585B1B" w:rsidRDefault="000B5848" w:rsidP="00E97781">
      <w:pPr>
        <w:bidi w:val="0"/>
        <w:jc w:val="both"/>
        <w:rPr>
          <w:rFonts w:asciiTheme="majorBidi" w:hAnsiTheme="majorBidi" w:cstheme="majorBidi"/>
          <w:b/>
          <w:bCs/>
          <w:color w:val="000000" w:themeColor="text1"/>
          <w:sz w:val="16"/>
          <w:szCs w:val="16"/>
        </w:rPr>
      </w:pPr>
    </w:p>
    <w:p w:rsidR="000B5848" w:rsidRPr="00552346" w:rsidRDefault="000B5848" w:rsidP="0033722B">
      <w:pPr>
        <w:bidi w:val="0"/>
        <w:jc w:val="both"/>
        <w:rPr>
          <w:b/>
          <w:bCs/>
          <w:snapToGrid w:val="0"/>
          <w:color w:val="000000" w:themeColor="text1"/>
        </w:rPr>
      </w:pPr>
      <w:r w:rsidRPr="00552346">
        <w:rPr>
          <w:b/>
          <w:bCs/>
          <w:snapToGrid w:val="0"/>
          <w:color w:val="000000" w:themeColor="text1"/>
        </w:rPr>
        <w:t xml:space="preserve">About </w:t>
      </w:r>
      <w:r w:rsidR="00D80478" w:rsidRPr="00552346">
        <w:rPr>
          <w:b/>
          <w:bCs/>
          <w:snapToGrid w:val="0"/>
          <w:color w:val="000000" w:themeColor="text1"/>
        </w:rPr>
        <w:t xml:space="preserve">one </w:t>
      </w:r>
      <w:r w:rsidR="0033722B" w:rsidRPr="00552346">
        <w:rPr>
          <w:b/>
          <w:bCs/>
          <w:snapToGrid w:val="0"/>
          <w:color w:val="000000" w:themeColor="text1"/>
        </w:rPr>
        <w:t>fourth</w:t>
      </w:r>
      <w:r w:rsidR="00D80478" w:rsidRPr="00552346">
        <w:rPr>
          <w:b/>
          <w:bCs/>
          <w:snapToGrid w:val="0"/>
          <w:color w:val="000000" w:themeColor="text1"/>
        </w:rPr>
        <w:t xml:space="preserve"> of</w:t>
      </w:r>
      <w:r w:rsidRPr="00552346">
        <w:rPr>
          <w:b/>
          <w:bCs/>
          <w:snapToGrid w:val="0"/>
          <w:color w:val="000000" w:themeColor="text1"/>
        </w:rPr>
        <w:t xml:space="preserve"> </w:t>
      </w:r>
      <w:r w:rsidR="00DB5407" w:rsidRPr="00552346">
        <w:rPr>
          <w:b/>
          <w:bCs/>
          <w:snapToGrid w:val="0"/>
          <w:color w:val="000000" w:themeColor="text1"/>
        </w:rPr>
        <w:t xml:space="preserve">the </w:t>
      </w:r>
      <w:r w:rsidRPr="00552346">
        <w:rPr>
          <w:b/>
          <w:bCs/>
          <w:snapToGrid w:val="0"/>
          <w:color w:val="000000" w:themeColor="text1"/>
        </w:rPr>
        <w:t>youth (</w:t>
      </w:r>
      <w:r w:rsidR="0033722B" w:rsidRPr="00552346">
        <w:rPr>
          <w:b/>
          <w:bCs/>
          <w:snapToGrid w:val="0"/>
          <w:color w:val="000000" w:themeColor="text1"/>
        </w:rPr>
        <w:t>18</w:t>
      </w:r>
      <w:r w:rsidRPr="00552346">
        <w:rPr>
          <w:b/>
          <w:bCs/>
          <w:snapToGrid w:val="0"/>
          <w:color w:val="000000" w:themeColor="text1"/>
        </w:rPr>
        <w:t xml:space="preserve">-29 years) </w:t>
      </w:r>
      <w:r w:rsidRPr="00552346">
        <w:rPr>
          <w:b/>
          <w:bCs/>
          <w:color w:val="000000" w:themeColor="text1"/>
        </w:rPr>
        <w:t>tried to establish their own businesses</w:t>
      </w:r>
    </w:p>
    <w:p w:rsidR="000B5848" w:rsidRPr="00552346" w:rsidRDefault="000B5848" w:rsidP="00552346">
      <w:pPr>
        <w:bidi w:val="0"/>
        <w:jc w:val="both"/>
        <w:rPr>
          <w:color w:val="000000" w:themeColor="text1"/>
        </w:rPr>
      </w:pPr>
      <w:r w:rsidRPr="00552346">
        <w:rPr>
          <w:snapToGrid w:val="0"/>
          <w:color w:val="000000" w:themeColor="text1"/>
        </w:rPr>
        <w:t>Palestinian Youth Survey 2015, data shows  that the percentage of youth (</w:t>
      </w:r>
      <w:r w:rsidR="0033722B" w:rsidRPr="00552346">
        <w:rPr>
          <w:snapToGrid w:val="0"/>
          <w:color w:val="000000" w:themeColor="text1"/>
        </w:rPr>
        <w:t>18</w:t>
      </w:r>
      <w:r w:rsidRPr="00552346">
        <w:rPr>
          <w:snapToGrid w:val="0"/>
          <w:color w:val="000000" w:themeColor="text1"/>
        </w:rPr>
        <w:t xml:space="preserve">-29 years) </w:t>
      </w:r>
      <w:r w:rsidRPr="00552346">
        <w:rPr>
          <w:color w:val="000000" w:themeColor="text1"/>
        </w:rPr>
        <w:t xml:space="preserve">tried to establish their own businesses that </w:t>
      </w:r>
      <w:r w:rsidR="0033722B" w:rsidRPr="00552346">
        <w:rPr>
          <w:color w:val="000000" w:themeColor="text1"/>
        </w:rPr>
        <w:t>24</w:t>
      </w:r>
      <w:r w:rsidRPr="00552346">
        <w:rPr>
          <w:color w:val="000000" w:themeColor="text1"/>
        </w:rPr>
        <w:t xml:space="preserve">%  with </w:t>
      </w:r>
      <w:r w:rsidR="0033722B" w:rsidRPr="00552346">
        <w:rPr>
          <w:color w:val="000000" w:themeColor="text1"/>
        </w:rPr>
        <w:t>17</w:t>
      </w:r>
      <w:r w:rsidRPr="00552346">
        <w:rPr>
          <w:color w:val="000000" w:themeColor="text1"/>
        </w:rPr>
        <w:t xml:space="preserve">% in the West Bank, </w:t>
      </w:r>
      <w:proofErr w:type="spellStart"/>
      <w:r w:rsidRPr="00552346">
        <w:rPr>
          <w:color w:val="000000" w:themeColor="text1"/>
        </w:rPr>
        <w:t>comapred</w:t>
      </w:r>
      <w:proofErr w:type="spellEnd"/>
      <w:r w:rsidRPr="00552346">
        <w:rPr>
          <w:color w:val="000000" w:themeColor="text1"/>
        </w:rPr>
        <w:t xml:space="preserve"> to </w:t>
      </w:r>
      <w:r w:rsidR="00552346" w:rsidRPr="00552346">
        <w:rPr>
          <w:color w:val="000000" w:themeColor="text1"/>
        </w:rPr>
        <w:t>34</w:t>
      </w:r>
      <w:r w:rsidRPr="00552346">
        <w:rPr>
          <w:color w:val="000000" w:themeColor="text1"/>
        </w:rPr>
        <w:t>% in</w:t>
      </w:r>
      <w:r w:rsidR="00430C6E">
        <w:rPr>
          <w:color w:val="000000" w:themeColor="text1"/>
        </w:rPr>
        <w:t xml:space="preserve"> </w:t>
      </w:r>
      <w:r w:rsidRPr="00552346">
        <w:rPr>
          <w:color w:val="000000" w:themeColor="text1"/>
        </w:rPr>
        <w:t xml:space="preserve">Gaza Strip. There were clear gender variances with young males who attempted to </w:t>
      </w:r>
      <w:proofErr w:type="spellStart"/>
      <w:r w:rsidRPr="00552346">
        <w:rPr>
          <w:color w:val="000000" w:themeColor="text1"/>
        </w:rPr>
        <w:t>careate</w:t>
      </w:r>
      <w:proofErr w:type="spellEnd"/>
      <w:r w:rsidRPr="00552346">
        <w:rPr>
          <w:color w:val="000000" w:themeColor="text1"/>
        </w:rPr>
        <w:t xml:space="preserve"> their own business representing </w:t>
      </w:r>
      <w:r w:rsidR="0033722B" w:rsidRPr="00552346">
        <w:rPr>
          <w:color w:val="000000" w:themeColor="text1"/>
        </w:rPr>
        <w:t>33</w:t>
      </w:r>
      <w:r w:rsidRPr="00552346">
        <w:rPr>
          <w:color w:val="000000" w:themeColor="text1"/>
        </w:rPr>
        <w:t xml:space="preserve">%, compared to </w:t>
      </w:r>
      <w:r w:rsidR="0033722B" w:rsidRPr="00552346">
        <w:rPr>
          <w:color w:val="000000" w:themeColor="text1"/>
        </w:rPr>
        <w:t>14</w:t>
      </w:r>
      <w:r w:rsidRPr="00552346">
        <w:rPr>
          <w:color w:val="000000" w:themeColor="text1"/>
        </w:rPr>
        <w:t xml:space="preserve">% females. Of the youth who tried to establish their own business, </w:t>
      </w:r>
      <w:r w:rsidR="0033722B" w:rsidRPr="00552346">
        <w:rPr>
          <w:color w:val="000000" w:themeColor="text1"/>
        </w:rPr>
        <w:t>17</w:t>
      </w:r>
      <w:r w:rsidRPr="00552346">
        <w:rPr>
          <w:color w:val="000000" w:themeColor="text1"/>
        </w:rPr>
        <w:t xml:space="preserve">% had </w:t>
      </w:r>
      <w:proofErr w:type="spellStart"/>
      <w:r w:rsidRPr="00552346">
        <w:rPr>
          <w:color w:val="000000" w:themeColor="text1"/>
        </w:rPr>
        <w:t>actaully</w:t>
      </w:r>
      <w:proofErr w:type="spellEnd"/>
      <w:r w:rsidRPr="00552346">
        <w:rPr>
          <w:color w:val="000000" w:themeColor="text1"/>
        </w:rPr>
        <w:t xml:space="preserve"> their own project, being </w:t>
      </w:r>
      <w:r w:rsidR="0033722B" w:rsidRPr="00552346">
        <w:rPr>
          <w:color w:val="000000" w:themeColor="text1"/>
        </w:rPr>
        <w:t>20</w:t>
      </w:r>
      <w:r w:rsidRPr="00552346">
        <w:rPr>
          <w:color w:val="000000" w:themeColor="text1"/>
        </w:rPr>
        <w:t xml:space="preserve">% in the West Bank and </w:t>
      </w:r>
      <w:r w:rsidR="0033722B" w:rsidRPr="00552346">
        <w:rPr>
          <w:color w:val="000000" w:themeColor="text1"/>
        </w:rPr>
        <w:t>15</w:t>
      </w:r>
      <w:r w:rsidRPr="00552346">
        <w:rPr>
          <w:color w:val="000000" w:themeColor="text1"/>
        </w:rPr>
        <w:t xml:space="preserve">% in Gaza Strip. Gender variance was </w:t>
      </w:r>
      <w:r w:rsidR="0033722B" w:rsidRPr="00552346">
        <w:rPr>
          <w:color w:val="000000" w:themeColor="text1"/>
        </w:rPr>
        <w:t>22</w:t>
      </w:r>
      <w:r w:rsidRPr="00552346">
        <w:rPr>
          <w:color w:val="000000" w:themeColor="text1"/>
        </w:rPr>
        <w:t xml:space="preserve">% of males with their own projects of all those who attempted, compared to </w:t>
      </w:r>
      <w:r w:rsidR="0033722B" w:rsidRPr="00552346">
        <w:rPr>
          <w:color w:val="000000" w:themeColor="text1"/>
        </w:rPr>
        <w:t>6</w:t>
      </w:r>
      <w:r w:rsidRPr="00552346">
        <w:rPr>
          <w:color w:val="000000" w:themeColor="text1"/>
        </w:rPr>
        <w:t xml:space="preserve">% of females with actual private project of the total </w:t>
      </w:r>
      <w:proofErr w:type="spellStart"/>
      <w:r w:rsidRPr="00552346">
        <w:rPr>
          <w:color w:val="000000" w:themeColor="text1"/>
        </w:rPr>
        <w:t>famels</w:t>
      </w:r>
      <w:proofErr w:type="spellEnd"/>
      <w:r w:rsidRPr="00552346">
        <w:rPr>
          <w:color w:val="000000" w:themeColor="text1"/>
        </w:rPr>
        <w:t xml:space="preserve"> who tried to establish their own projects.</w:t>
      </w:r>
    </w:p>
    <w:p w:rsidR="00585B1B" w:rsidRDefault="00585B1B" w:rsidP="00585B1B">
      <w:pPr>
        <w:bidi w:val="0"/>
        <w:jc w:val="both"/>
        <w:rPr>
          <w:rFonts w:ascii="Arial" w:hAnsi="Arial" w:cs="Arial"/>
          <w:sz w:val="16"/>
          <w:szCs w:val="16"/>
        </w:rPr>
      </w:pPr>
    </w:p>
    <w:p w:rsidR="00E356DD" w:rsidRPr="00203719" w:rsidRDefault="00E356DD" w:rsidP="00585B1B">
      <w:pPr>
        <w:bidi w:val="0"/>
        <w:jc w:val="both"/>
        <w:rPr>
          <w:rFonts w:asciiTheme="majorBidi" w:hAnsiTheme="majorBidi" w:cstheme="majorBidi"/>
          <w:sz w:val="26"/>
          <w:szCs w:val="26"/>
        </w:rPr>
      </w:pPr>
      <w:r w:rsidRPr="00203719">
        <w:rPr>
          <w:rFonts w:asciiTheme="majorBidi" w:hAnsiTheme="majorBidi" w:cstheme="majorBidi"/>
          <w:b/>
          <w:bCs/>
          <w:sz w:val="26"/>
          <w:szCs w:val="26"/>
        </w:rPr>
        <w:t xml:space="preserve">91% of </w:t>
      </w:r>
      <w:r w:rsidR="00FB4A82" w:rsidRPr="00203719">
        <w:rPr>
          <w:rFonts w:asciiTheme="majorBidi" w:hAnsiTheme="majorBidi" w:cstheme="majorBidi"/>
          <w:b/>
          <w:bCs/>
          <w:sz w:val="26"/>
          <w:szCs w:val="26"/>
        </w:rPr>
        <w:t xml:space="preserve">the </w:t>
      </w:r>
      <w:r w:rsidRPr="00203719">
        <w:rPr>
          <w:rFonts w:asciiTheme="majorBidi" w:hAnsiTheme="majorBidi" w:cstheme="majorBidi"/>
          <w:b/>
          <w:bCs/>
          <w:sz w:val="26"/>
          <w:szCs w:val="26"/>
        </w:rPr>
        <w:t>youth (18-29</w:t>
      </w:r>
      <w:r w:rsidR="00FB4A82" w:rsidRPr="00203719">
        <w:rPr>
          <w:rFonts w:asciiTheme="majorBidi" w:hAnsiTheme="majorBidi" w:cstheme="majorBidi"/>
          <w:b/>
          <w:bCs/>
          <w:sz w:val="26"/>
          <w:szCs w:val="26"/>
        </w:rPr>
        <w:t xml:space="preserve"> years</w:t>
      </w:r>
      <w:r w:rsidRPr="00203719">
        <w:rPr>
          <w:rFonts w:asciiTheme="majorBidi" w:hAnsiTheme="majorBidi" w:cstheme="majorBidi"/>
          <w:b/>
          <w:bCs/>
          <w:sz w:val="26"/>
          <w:szCs w:val="26"/>
        </w:rPr>
        <w:t xml:space="preserve">) have at least one mobile phone line, with a wide use of </w:t>
      </w:r>
      <w:proofErr w:type="spellStart"/>
      <w:r w:rsidRPr="00203719">
        <w:rPr>
          <w:rFonts w:asciiTheme="majorBidi" w:hAnsiTheme="majorBidi" w:cstheme="majorBidi"/>
          <w:b/>
          <w:bCs/>
          <w:sz w:val="26"/>
          <w:szCs w:val="26"/>
        </w:rPr>
        <w:t>smartphones</w:t>
      </w:r>
      <w:proofErr w:type="spellEnd"/>
    </w:p>
    <w:p w:rsidR="00E356DD" w:rsidRPr="00203719" w:rsidRDefault="00E356DD" w:rsidP="006D3AD1">
      <w:pPr>
        <w:bidi w:val="0"/>
        <w:jc w:val="both"/>
        <w:rPr>
          <w:rFonts w:asciiTheme="majorBidi" w:hAnsiTheme="majorBidi" w:cstheme="majorBidi"/>
          <w:sz w:val="26"/>
          <w:szCs w:val="26"/>
        </w:rPr>
      </w:pPr>
      <w:r w:rsidRPr="00203719">
        <w:rPr>
          <w:rFonts w:asciiTheme="majorBidi" w:hAnsiTheme="majorBidi" w:cstheme="majorBidi"/>
          <w:sz w:val="26"/>
          <w:szCs w:val="26"/>
        </w:rPr>
        <w:t xml:space="preserve">The data of the Social and Economic Conditions Survey 2018 showed that the percentage of </w:t>
      </w:r>
      <w:r w:rsidR="00BD6BEB" w:rsidRPr="00203719">
        <w:rPr>
          <w:rFonts w:asciiTheme="majorBidi" w:hAnsiTheme="majorBidi" w:cstheme="majorBidi"/>
          <w:sz w:val="26"/>
          <w:szCs w:val="26"/>
        </w:rPr>
        <w:t xml:space="preserve">the </w:t>
      </w:r>
      <w:r w:rsidRPr="00203719">
        <w:rPr>
          <w:rFonts w:asciiTheme="majorBidi" w:hAnsiTheme="majorBidi" w:cstheme="majorBidi"/>
          <w:sz w:val="26"/>
          <w:szCs w:val="26"/>
        </w:rPr>
        <w:t xml:space="preserve">youth (18 – 29 </w:t>
      </w:r>
      <w:r w:rsidR="00BD6BEB" w:rsidRPr="00203719">
        <w:rPr>
          <w:rFonts w:asciiTheme="majorBidi" w:hAnsiTheme="majorBidi" w:cstheme="majorBidi"/>
          <w:sz w:val="26"/>
          <w:szCs w:val="26"/>
        </w:rPr>
        <w:t>years</w:t>
      </w:r>
      <w:r w:rsidRPr="00203719">
        <w:rPr>
          <w:rFonts w:asciiTheme="majorBidi" w:hAnsiTheme="majorBidi" w:cstheme="majorBidi"/>
          <w:sz w:val="26"/>
          <w:szCs w:val="26"/>
        </w:rPr>
        <w:t xml:space="preserve">) who own a mobile phone or a </w:t>
      </w:r>
      <w:proofErr w:type="spellStart"/>
      <w:r w:rsidRPr="00203719">
        <w:rPr>
          <w:rFonts w:asciiTheme="majorBidi" w:hAnsiTheme="majorBidi" w:cstheme="majorBidi"/>
          <w:sz w:val="26"/>
          <w:szCs w:val="26"/>
        </w:rPr>
        <w:t>smartphone</w:t>
      </w:r>
      <w:proofErr w:type="spellEnd"/>
      <w:r w:rsidRPr="00203719">
        <w:rPr>
          <w:rFonts w:asciiTheme="majorBidi" w:hAnsiTheme="majorBidi" w:cstheme="majorBidi"/>
          <w:sz w:val="26"/>
          <w:szCs w:val="26"/>
        </w:rPr>
        <w:t xml:space="preserve"> </w:t>
      </w:r>
      <w:r w:rsidR="00B34EE8" w:rsidRPr="00203719">
        <w:rPr>
          <w:rFonts w:asciiTheme="majorBidi" w:hAnsiTheme="majorBidi" w:cstheme="majorBidi"/>
          <w:sz w:val="26"/>
          <w:szCs w:val="26"/>
        </w:rPr>
        <w:t xml:space="preserve">was </w:t>
      </w:r>
      <w:r w:rsidRPr="00203719">
        <w:rPr>
          <w:rFonts w:asciiTheme="majorBidi" w:hAnsiTheme="majorBidi" w:cstheme="majorBidi"/>
          <w:sz w:val="26"/>
          <w:szCs w:val="26"/>
        </w:rPr>
        <w:t xml:space="preserve">91% in Palestine (96% in the West Bank and 82% in Gaza Strip).  </w:t>
      </w:r>
      <w:r w:rsidR="00EF3539" w:rsidRPr="00203719">
        <w:rPr>
          <w:rFonts w:asciiTheme="majorBidi" w:hAnsiTheme="majorBidi" w:cstheme="majorBidi"/>
          <w:sz w:val="26"/>
          <w:szCs w:val="26"/>
        </w:rPr>
        <w:t xml:space="preserve">The percentage by sex was </w:t>
      </w:r>
      <w:r w:rsidRPr="00203719">
        <w:rPr>
          <w:rFonts w:asciiTheme="majorBidi" w:hAnsiTheme="majorBidi" w:cstheme="majorBidi"/>
          <w:sz w:val="26"/>
          <w:szCs w:val="26"/>
        </w:rPr>
        <w:t xml:space="preserve">87% for females and 94% for males. While the percentage of </w:t>
      </w:r>
      <w:r w:rsidR="00EF3539" w:rsidRPr="00203719">
        <w:rPr>
          <w:rFonts w:asciiTheme="majorBidi" w:hAnsiTheme="majorBidi" w:cstheme="majorBidi"/>
          <w:sz w:val="26"/>
          <w:szCs w:val="26"/>
        </w:rPr>
        <w:t xml:space="preserve">the </w:t>
      </w:r>
      <w:r w:rsidRPr="00203719">
        <w:rPr>
          <w:rFonts w:asciiTheme="majorBidi" w:hAnsiTheme="majorBidi" w:cstheme="majorBidi"/>
          <w:sz w:val="26"/>
          <w:szCs w:val="26"/>
        </w:rPr>
        <w:t xml:space="preserve">youth (18 – 29 </w:t>
      </w:r>
      <w:r w:rsidR="00EF3539" w:rsidRPr="00203719">
        <w:rPr>
          <w:rFonts w:asciiTheme="majorBidi" w:hAnsiTheme="majorBidi" w:cstheme="majorBidi"/>
          <w:sz w:val="26"/>
          <w:szCs w:val="26"/>
        </w:rPr>
        <w:t>years</w:t>
      </w:r>
      <w:r w:rsidRPr="00203719">
        <w:rPr>
          <w:rFonts w:asciiTheme="majorBidi" w:hAnsiTheme="majorBidi" w:cstheme="majorBidi"/>
          <w:sz w:val="26"/>
          <w:szCs w:val="26"/>
        </w:rPr>
        <w:t>) who used the internet from anywhere reached 80% in Palestine (85% in the West Bank and 71% in Gaza Strip).  In terms of sex</w:t>
      </w:r>
      <w:r w:rsidR="00EF3539" w:rsidRPr="00203719">
        <w:rPr>
          <w:rFonts w:asciiTheme="majorBidi" w:hAnsiTheme="majorBidi" w:cstheme="majorBidi"/>
          <w:sz w:val="26"/>
          <w:szCs w:val="26"/>
        </w:rPr>
        <w:t>,</w:t>
      </w:r>
      <w:r w:rsidRPr="00203719">
        <w:rPr>
          <w:rFonts w:asciiTheme="majorBidi" w:hAnsiTheme="majorBidi" w:cstheme="majorBidi"/>
          <w:sz w:val="26"/>
          <w:szCs w:val="26"/>
        </w:rPr>
        <w:t xml:space="preserve"> </w:t>
      </w:r>
      <w:r w:rsidR="006D3AD1" w:rsidRPr="00203719">
        <w:rPr>
          <w:rFonts w:asciiTheme="majorBidi" w:hAnsiTheme="majorBidi" w:cstheme="majorBidi"/>
          <w:sz w:val="26"/>
          <w:szCs w:val="26"/>
        </w:rPr>
        <w:t xml:space="preserve">the </w:t>
      </w:r>
      <w:r w:rsidRPr="00203719">
        <w:rPr>
          <w:rFonts w:asciiTheme="majorBidi" w:hAnsiTheme="majorBidi" w:cstheme="majorBidi"/>
          <w:sz w:val="26"/>
          <w:szCs w:val="26"/>
        </w:rPr>
        <w:t>percentage was 78% for females and 82% for males in Palestine.</w:t>
      </w:r>
    </w:p>
    <w:p w:rsidR="00585B1B" w:rsidRDefault="00585B1B" w:rsidP="00D50023">
      <w:pPr>
        <w:bidi w:val="0"/>
        <w:jc w:val="both"/>
        <w:rPr>
          <w:rFonts w:asciiTheme="majorBidi" w:hAnsiTheme="majorBidi" w:cstheme="majorBidi"/>
          <w:b/>
          <w:bCs/>
          <w:sz w:val="26"/>
          <w:szCs w:val="26"/>
        </w:rPr>
      </w:pPr>
    </w:p>
    <w:p w:rsidR="00585B1B" w:rsidRDefault="00585B1B" w:rsidP="00585B1B">
      <w:pPr>
        <w:bidi w:val="0"/>
        <w:jc w:val="both"/>
        <w:rPr>
          <w:rFonts w:asciiTheme="majorBidi" w:hAnsiTheme="majorBidi" w:cstheme="majorBidi"/>
          <w:b/>
          <w:bCs/>
          <w:sz w:val="26"/>
          <w:szCs w:val="26"/>
        </w:rPr>
      </w:pPr>
    </w:p>
    <w:p w:rsidR="00585B1B" w:rsidRDefault="00585B1B" w:rsidP="00585B1B">
      <w:pPr>
        <w:bidi w:val="0"/>
        <w:jc w:val="both"/>
        <w:rPr>
          <w:rFonts w:asciiTheme="majorBidi" w:hAnsiTheme="majorBidi" w:cstheme="majorBidi"/>
          <w:b/>
          <w:bCs/>
          <w:sz w:val="26"/>
          <w:szCs w:val="26"/>
        </w:rPr>
      </w:pPr>
    </w:p>
    <w:p w:rsidR="00585B1B" w:rsidRDefault="00585B1B" w:rsidP="00585B1B">
      <w:pPr>
        <w:bidi w:val="0"/>
        <w:jc w:val="both"/>
        <w:rPr>
          <w:rFonts w:asciiTheme="majorBidi" w:hAnsiTheme="majorBidi" w:cstheme="majorBidi"/>
          <w:b/>
          <w:bCs/>
          <w:sz w:val="26"/>
          <w:szCs w:val="26"/>
        </w:rPr>
      </w:pPr>
    </w:p>
    <w:p w:rsidR="00585B1B" w:rsidRDefault="00585B1B" w:rsidP="00585B1B">
      <w:pPr>
        <w:bidi w:val="0"/>
        <w:jc w:val="both"/>
        <w:rPr>
          <w:rFonts w:asciiTheme="majorBidi" w:hAnsiTheme="majorBidi" w:cstheme="majorBidi"/>
          <w:b/>
          <w:bCs/>
          <w:sz w:val="26"/>
          <w:szCs w:val="26"/>
        </w:rPr>
      </w:pPr>
    </w:p>
    <w:p w:rsidR="00E356DD" w:rsidRPr="00203719" w:rsidRDefault="00E356DD" w:rsidP="00585B1B">
      <w:pPr>
        <w:bidi w:val="0"/>
        <w:jc w:val="both"/>
        <w:rPr>
          <w:rFonts w:asciiTheme="majorBidi" w:hAnsiTheme="majorBidi" w:cstheme="majorBidi"/>
          <w:b/>
          <w:bCs/>
          <w:sz w:val="26"/>
          <w:szCs w:val="26"/>
        </w:rPr>
      </w:pPr>
      <w:r w:rsidRPr="00203719">
        <w:rPr>
          <w:rFonts w:asciiTheme="majorBidi" w:hAnsiTheme="majorBidi" w:cstheme="majorBidi"/>
          <w:b/>
          <w:bCs/>
          <w:sz w:val="26"/>
          <w:szCs w:val="26"/>
        </w:rPr>
        <w:t>About 8</w:t>
      </w:r>
      <w:r w:rsidRPr="00203719">
        <w:rPr>
          <w:rFonts w:asciiTheme="majorBidi" w:hAnsiTheme="majorBidi" w:cstheme="majorBidi"/>
          <w:b/>
          <w:bCs/>
          <w:sz w:val="26"/>
          <w:szCs w:val="26"/>
          <w:rtl/>
        </w:rPr>
        <w:t>2</w:t>
      </w:r>
      <w:r w:rsidRPr="00203719">
        <w:rPr>
          <w:rFonts w:asciiTheme="majorBidi" w:hAnsiTheme="majorBidi" w:cstheme="majorBidi"/>
          <w:b/>
          <w:bCs/>
          <w:sz w:val="26"/>
          <w:szCs w:val="26"/>
        </w:rPr>
        <w:t xml:space="preserve">% of </w:t>
      </w:r>
      <w:r w:rsidR="006D3AD1" w:rsidRPr="00203719">
        <w:rPr>
          <w:rFonts w:asciiTheme="majorBidi" w:hAnsiTheme="majorBidi" w:cstheme="majorBidi"/>
          <w:b/>
          <w:bCs/>
          <w:sz w:val="26"/>
          <w:szCs w:val="26"/>
        </w:rPr>
        <w:t xml:space="preserve">the </w:t>
      </w:r>
      <w:r w:rsidRPr="00203719">
        <w:rPr>
          <w:rFonts w:asciiTheme="majorBidi" w:hAnsiTheme="majorBidi" w:cstheme="majorBidi"/>
          <w:b/>
          <w:bCs/>
          <w:sz w:val="26"/>
          <w:szCs w:val="26"/>
        </w:rPr>
        <w:t xml:space="preserve">youth (18 – 29 </w:t>
      </w:r>
      <w:r w:rsidR="006D3AD1" w:rsidRPr="00203719">
        <w:rPr>
          <w:rFonts w:asciiTheme="majorBidi" w:hAnsiTheme="majorBidi" w:cstheme="majorBidi"/>
          <w:b/>
          <w:bCs/>
          <w:sz w:val="26"/>
          <w:szCs w:val="26"/>
        </w:rPr>
        <w:t>years</w:t>
      </w:r>
      <w:r w:rsidRPr="00203719">
        <w:rPr>
          <w:rFonts w:asciiTheme="majorBidi" w:hAnsiTheme="majorBidi" w:cstheme="majorBidi"/>
          <w:b/>
          <w:bCs/>
          <w:sz w:val="26"/>
          <w:szCs w:val="26"/>
        </w:rPr>
        <w:t xml:space="preserve">) have basic ICT skills </w:t>
      </w:r>
    </w:p>
    <w:p w:rsidR="00E356DD" w:rsidRPr="00203719" w:rsidRDefault="00E356DD" w:rsidP="005D5E26">
      <w:pPr>
        <w:bidi w:val="0"/>
        <w:jc w:val="both"/>
        <w:rPr>
          <w:rFonts w:asciiTheme="majorBidi" w:hAnsiTheme="majorBidi" w:cstheme="majorBidi"/>
          <w:sz w:val="26"/>
          <w:szCs w:val="26"/>
        </w:rPr>
      </w:pPr>
      <w:r w:rsidRPr="00203719">
        <w:rPr>
          <w:rFonts w:asciiTheme="majorBidi" w:hAnsiTheme="majorBidi" w:cstheme="majorBidi"/>
          <w:sz w:val="26"/>
          <w:szCs w:val="26"/>
        </w:rPr>
        <w:t xml:space="preserve">ICT skills are fundamental for participation in the information society and are positively related to social well-being and economic productivity.  The data of the Social and Economic Conditions Survey 2018 showed that about 82% of  </w:t>
      </w:r>
      <w:r w:rsidR="005D5E26" w:rsidRPr="00203719">
        <w:rPr>
          <w:rFonts w:asciiTheme="majorBidi" w:hAnsiTheme="majorBidi" w:cstheme="majorBidi"/>
          <w:sz w:val="26"/>
          <w:szCs w:val="26"/>
        </w:rPr>
        <w:t xml:space="preserve">the </w:t>
      </w:r>
      <w:r w:rsidRPr="00203719">
        <w:rPr>
          <w:rFonts w:asciiTheme="majorBidi" w:hAnsiTheme="majorBidi" w:cstheme="majorBidi"/>
          <w:sz w:val="26"/>
          <w:szCs w:val="26"/>
        </w:rPr>
        <w:t>youth (18 – 29</w:t>
      </w:r>
      <w:r w:rsidR="005D5E26" w:rsidRPr="00203719">
        <w:rPr>
          <w:rFonts w:asciiTheme="majorBidi" w:hAnsiTheme="majorBidi" w:cstheme="majorBidi"/>
          <w:sz w:val="26"/>
          <w:szCs w:val="26"/>
        </w:rPr>
        <w:t xml:space="preserve"> years</w:t>
      </w:r>
      <w:r w:rsidRPr="00203719">
        <w:rPr>
          <w:rFonts w:asciiTheme="majorBidi" w:hAnsiTheme="majorBidi" w:cstheme="majorBidi"/>
          <w:sz w:val="26"/>
          <w:szCs w:val="26"/>
        </w:rPr>
        <w:t xml:space="preserve">) in the Palestine who used the computer have basic skills such as copying files or folders or using copying and pasting tools, and sending emails with attached files.  72% of </w:t>
      </w:r>
      <w:r w:rsidR="005D5E26" w:rsidRPr="00203719">
        <w:rPr>
          <w:rFonts w:asciiTheme="majorBidi" w:hAnsiTheme="majorBidi" w:cstheme="majorBidi"/>
          <w:sz w:val="26"/>
          <w:szCs w:val="26"/>
        </w:rPr>
        <w:t xml:space="preserve">the </w:t>
      </w:r>
      <w:r w:rsidRPr="00203719">
        <w:rPr>
          <w:rFonts w:asciiTheme="majorBidi" w:hAnsiTheme="majorBidi" w:cstheme="majorBidi"/>
          <w:sz w:val="26"/>
          <w:szCs w:val="26"/>
        </w:rPr>
        <w:t>youth (18-29</w:t>
      </w:r>
      <w:r w:rsidR="005D5E26" w:rsidRPr="00203719">
        <w:rPr>
          <w:rFonts w:asciiTheme="majorBidi" w:hAnsiTheme="majorBidi" w:cstheme="majorBidi"/>
          <w:sz w:val="26"/>
          <w:szCs w:val="26"/>
        </w:rPr>
        <w:t xml:space="preserve"> years</w:t>
      </w:r>
      <w:r w:rsidRPr="00203719">
        <w:rPr>
          <w:rFonts w:asciiTheme="majorBidi" w:hAnsiTheme="majorBidi" w:cstheme="majorBidi"/>
          <w:sz w:val="26"/>
          <w:szCs w:val="26"/>
        </w:rPr>
        <w:t xml:space="preserve">) who used the computer </w:t>
      </w:r>
      <w:r w:rsidR="005D5E26" w:rsidRPr="00203719">
        <w:rPr>
          <w:rFonts w:asciiTheme="majorBidi" w:hAnsiTheme="majorBidi" w:cstheme="majorBidi"/>
          <w:sz w:val="26"/>
          <w:szCs w:val="26"/>
        </w:rPr>
        <w:t xml:space="preserve">have </w:t>
      </w:r>
      <w:r w:rsidRPr="00203719">
        <w:rPr>
          <w:rFonts w:asciiTheme="majorBidi" w:hAnsiTheme="majorBidi" w:cstheme="majorBidi"/>
          <w:sz w:val="26"/>
          <w:szCs w:val="26"/>
        </w:rPr>
        <w:t xml:space="preserve">standard skills such as installing or configuring software or using computational formulas on spreadsheets. And 18% of </w:t>
      </w:r>
      <w:r w:rsidR="005D5E26" w:rsidRPr="00203719">
        <w:rPr>
          <w:rFonts w:asciiTheme="majorBidi" w:hAnsiTheme="majorBidi" w:cstheme="majorBidi"/>
          <w:sz w:val="26"/>
          <w:szCs w:val="26"/>
        </w:rPr>
        <w:t xml:space="preserve">the </w:t>
      </w:r>
      <w:r w:rsidRPr="00203719">
        <w:rPr>
          <w:rFonts w:asciiTheme="majorBidi" w:hAnsiTheme="majorBidi" w:cstheme="majorBidi"/>
          <w:sz w:val="26"/>
          <w:szCs w:val="26"/>
        </w:rPr>
        <w:t>youth (18-29</w:t>
      </w:r>
      <w:r w:rsidR="005D5E26" w:rsidRPr="00203719">
        <w:rPr>
          <w:rFonts w:asciiTheme="majorBidi" w:hAnsiTheme="majorBidi" w:cstheme="majorBidi"/>
          <w:sz w:val="26"/>
          <w:szCs w:val="26"/>
        </w:rPr>
        <w:t xml:space="preserve"> years</w:t>
      </w:r>
      <w:r w:rsidRPr="00203719">
        <w:rPr>
          <w:rFonts w:asciiTheme="majorBidi" w:hAnsiTheme="majorBidi" w:cstheme="majorBidi"/>
          <w:sz w:val="26"/>
          <w:szCs w:val="26"/>
        </w:rPr>
        <w:t>) who used computers have advanced skills such as writing a computer program using a specialized programming language</w:t>
      </w:r>
      <w:r w:rsidR="002A33D2" w:rsidRPr="00203719">
        <w:rPr>
          <w:rFonts w:asciiTheme="majorBidi" w:hAnsiTheme="majorBidi" w:cstheme="majorBidi"/>
          <w:sz w:val="26"/>
          <w:szCs w:val="26"/>
        </w:rPr>
        <w:t>.</w:t>
      </w:r>
    </w:p>
    <w:p w:rsidR="00E356DD" w:rsidRPr="00585B1B" w:rsidRDefault="00E356DD" w:rsidP="00E356DD">
      <w:pPr>
        <w:bidi w:val="0"/>
        <w:jc w:val="both"/>
        <w:rPr>
          <w:rFonts w:asciiTheme="majorBidi" w:hAnsiTheme="majorBidi" w:cstheme="majorBidi"/>
          <w:sz w:val="16"/>
          <w:szCs w:val="16"/>
          <w:rtl/>
          <w:lang w:val="en-GB"/>
        </w:rPr>
      </w:pPr>
    </w:p>
    <w:bookmarkEnd w:id="1"/>
    <w:bookmarkEnd w:id="2"/>
    <w:p w:rsidR="00DE0BC3" w:rsidRPr="00203719" w:rsidRDefault="00DE0BC3" w:rsidP="00BE63B1">
      <w:pPr>
        <w:bidi w:val="0"/>
        <w:jc w:val="both"/>
        <w:rPr>
          <w:rFonts w:asciiTheme="majorBidi" w:hAnsiTheme="majorBidi" w:cstheme="majorBidi"/>
          <w:b/>
          <w:bCs/>
          <w:sz w:val="26"/>
          <w:szCs w:val="26"/>
        </w:rPr>
      </w:pPr>
      <w:r w:rsidRPr="00203719">
        <w:rPr>
          <w:rFonts w:asciiTheme="majorBidi" w:hAnsiTheme="majorBidi" w:cstheme="majorBidi"/>
          <w:b/>
          <w:bCs/>
          <w:sz w:val="26"/>
          <w:szCs w:val="26"/>
          <w:rtl/>
        </w:rPr>
        <w:t>3</w:t>
      </w:r>
      <w:r w:rsidRPr="00203719">
        <w:rPr>
          <w:rFonts w:asciiTheme="majorBidi" w:hAnsiTheme="majorBidi" w:cstheme="majorBidi"/>
          <w:b/>
          <w:bCs/>
          <w:sz w:val="26"/>
          <w:szCs w:val="26"/>
        </w:rPr>
        <w:t xml:space="preserve"> out of 100 youth have difficulty, and </w:t>
      </w:r>
      <w:r w:rsidR="00BE63B1">
        <w:rPr>
          <w:rFonts w:asciiTheme="majorBidi" w:hAnsiTheme="majorBidi" w:cstheme="majorBidi"/>
          <w:b/>
          <w:bCs/>
          <w:sz w:val="26"/>
          <w:szCs w:val="26"/>
        </w:rPr>
        <w:t>about</w:t>
      </w:r>
      <w:r w:rsidRPr="00203719">
        <w:rPr>
          <w:rFonts w:asciiTheme="majorBidi" w:hAnsiTheme="majorBidi" w:cstheme="majorBidi"/>
          <w:b/>
          <w:bCs/>
          <w:sz w:val="26"/>
          <w:szCs w:val="26"/>
        </w:rPr>
        <w:t xml:space="preserve"> </w:t>
      </w:r>
      <w:r w:rsidR="00BE63B1">
        <w:rPr>
          <w:rFonts w:asciiTheme="majorBidi" w:hAnsiTheme="majorBidi" w:cstheme="majorBidi"/>
          <w:b/>
          <w:bCs/>
          <w:sz w:val="26"/>
          <w:szCs w:val="26"/>
        </w:rPr>
        <w:t>15%</w:t>
      </w:r>
      <w:r w:rsidRPr="00203719">
        <w:rPr>
          <w:rFonts w:asciiTheme="majorBidi" w:hAnsiTheme="majorBidi" w:cstheme="majorBidi"/>
          <w:b/>
          <w:bCs/>
          <w:sz w:val="26"/>
          <w:szCs w:val="26"/>
        </w:rPr>
        <w:t xml:space="preserve"> of the youth who have difficulties are not enrolled in education</w:t>
      </w:r>
    </w:p>
    <w:p w:rsidR="00DE0BC3" w:rsidRPr="00203719" w:rsidRDefault="00DE0BC3" w:rsidP="00DE0BC3">
      <w:pPr>
        <w:bidi w:val="0"/>
        <w:jc w:val="both"/>
        <w:rPr>
          <w:rFonts w:asciiTheme="majorBidi" w:hAnsiTheme="majorBidi" w:cstheme="majorBidi"/>
          <w:sz w:val="26"/>
          <w:szCs w:val="26"/>
        </w:rPr>
      </w:pPr>
      <w:r w:rsidRPr="00203719">
        <w:rPr>
          <w:rFonts w:asciiTheme="majorBidi" w:hAnsiTheme="majorBidi" w:cstheme="majorBidi"/>
          <w:sz w:val="26"/>
          <w:szCs w:val="26"/>
        </w:rPr>
        <w:t xml:space="preserve">According to the data of the Population, Housing and Establishments Census 2017, </w:t>
      </w:r>
      <w:r>
        <w:rPr>
          <w:rFonts w:asciiTheme="majorBidi" w:hAnsiTheme="majorBidi" w:cstheme="majorBidi"/>
          <w:sz w:val="26"/>
          <w:szCs w:val="26"/>
        </w:rPr>
        <w:t>32</w:t>
      </w:r>
      <w:r w:rsidRPr="00203719">
        <w:rPr>
          <w:rFonts w:asciiTheme="majorBidi" w:hAnsiTheme="majorBidi" w:cstheme="majorBidi"/>
          <w:sz w:val="26"/>
          <w:szCs w:val="26"/>
        </w:rPr>
        <w:t>,</w:t>
      </w:r>
      <w:r>
        <w:rPr>
          <w:rFonts w:asciiTheme="majorBidi" w:hAnsiTheme="majorBidi" w:cstheme="majorBidi"/>
          <w:sz w:val="26"/>
          <w:szCs w:val="26"/>
        </w:rPr>
        <w:t>646</w:t>
      </w:r>
      <w:r w:rsidRPr="00203719">
        <w:rPr>
          <w:rFonts w:asciiTheme="majorBidi" w:hAnsiTheme="majorBidi" w:cstheme="majorBidi"/>
          <w:sz w:val="26"/>
          <w:szCs w:val="26"/>
        </w:rPr>
        <w:t xml:space="preserve"> individuals (</w:t>
      </w:r>
      <w:r>
        <w:rPr>
          <w:rFonts w:asciiTheme="majorBidi" w:hAnsiTheme="majorBidi" w:cstheme="majorBidi"/>
          <w:sz w:val="26"/>
          <w:szCs w:val="26"/>
        </w:rPr>
        <w:t>18</w:t>
      </w:r>
      <w:r w:rsidRPr="00203719">
        <w:rPr>
          <w:rFonts w:asciiTheme="majorBidi" w:hAnsiTheme="majorBidi" w:cstheme="majorBidi"/>
          <w:sz w:val="26"/>
          <w:szCs w:val="26"/>
        </w:rPr>
        <w:t xml:space="preserve">-29 years) in Palestine have a difficulty representing </w:t>
      </w:r>
      <w:r>
        <w:rPr>
          <w:rFonts w:asciiTheme="majorBidi" w:hAnsiTheme="majorBidi" w:cstheme="majorBidi"/>
          <w:sz w:val="26"/>
          <w:szCs w:val="26"/>
        </w:rPr>
        <w:t>3.2</w:t>
      </w:r>
      <w:r w:rsidRPr="00203719">
        <w:rPr>
          <w:rFonts w:asciiTheme="majorBidi" w:hAnsiTheme="majorBidi" w:cstheme="majorBidi"/>
          <w:sz w:val="26"/>
          <w:szCs w:val="26"/>
        </w:rPr>
        <w:t>% of  the youth (</w:t>
      </w:r>
      <w:r>
        <w:rPr>
          <w:rFonts w:asciiTheme="majorBidi" w:hAnsiTheme="majorBidi" w:cstheme="majorBidi"/>
          <w:sz w:val="26"/>
          <w:szCs w:val="26"/>
        </w:rPr>
        <w:t>14</w:t>
      </w:r>
      <w:r w:rsidRPr="00203719">
        <w:rPr>
          <w:rFonts w:asciiTheme="majorBidi" w:hAnsiTheme="majorBidi" w:cstheme="majorBidi"/>
          <w:sz w:val="26"/>
          <w:szCs w:val="26"/>
        </w:rPr>
        <w:t>,</w:t>
      </w:r>
      <w:r>
        <w:rPr>
          <w:rFonts w:asciiTheme="majorBidi" w:hAnsiTheme="majorBidi" w:cstheme="majorBidi"/>
          <w:sz w:val="26"/>
          <w:szCs w:val="26"/>
        </w:rPr>
        <w:t>527</w:t>
      </w:r>
      <w:r w:rsidRPr="00203719">
        <w:rPr>
          <w:rFonts w:asciiTheme="majorBidi" w:hAnsiTheme="majorBidi" w:cstheme="majorBidi"/>
          <w:sz w:val="26"/>
          <w:szCs w:val="26"/>
        </w:rPr>
        <w:t xml:space="preserve"> in the West Bank (</w:t>
      </w:r>
      <w:r>
        <w:rPr>
          <w:rFonts w:asciiTheme="majorBidi" w:hAnsiTheme="majorBidi" w:cstheme="majorBidi"/>
          <w:sz w:val="26"/>
          <w:szCs w:val="26"/>
        </w:rPr>
        <w:t>2.5</w:t>
      </w:r>
      <w:r w:rsidRPr="00203719">
        <w:rPr>
          <w:rFonts w:asciiTheme="majorBidi" w:hAnsiTheme="majorBidi" w:cstheme="majorBidi"/>
          <w:sz w:val="26"/>
          <w:szCs w:val="26"/>
        </w:rPr>
        <w:t xml:space="preserve">%) and </w:t>
      </w:r>
      <w:r>
        <w:rPr>
          <w:rFonts w:asciiTheme="majorBidi" w:hAnsiTheme="majorBidi" w:cstheme="majorBidi"/>
          <w:sz w:val="26"/>
          <w:szCs w:val="26"/>
        </w:rPr>
        <w:t>18</w:t>
      </w:r>
      <w:r w:rsidRPr="00203719">
        <w:rPr>
          <w:rFonts w:asciiTheme="majorBidi" w:hAnsiTheme="majorBidi" w:cstheme="majorBidi"/>
          <w:sz w:val="26"/>
          <w:szCs w:val="26"/>
        </w:rPr>
        <w:t>,</w:t>
      </w:r>
      <w:r>
        <w:rPr>
          <w:rFonts w:asciiTheme="majorBidi" w:hAnsiTheme="majorBidi" w:cstheme="majorBidi"/>
          <w:sz w:val="26"/>
          <w:szCs w:val="26"/>
        </w:rPr>
        <w:t>119</w:t>
      </w:r>
      <w:r w:rsidRPr="00203719">
        <w:rPr>
          <w:rFonts w:asciiTheme="majorBidi" w:hAnsiTheme="majorBidi" w:cstheme="majorBidi"/>
          <w:sz w:val="26"/>
          <w:szCs w:val="26"/>
        </w:rPr>
        <w:t xml:space="preserve"> in Gaza Strip (</w:t>
      </w:r>
      <w:r>
        <w:rPr>
          <w:rFonts w:asciiTheme="majorBidi" w:hAnsiTheme="majorBidi" w:cstheme="majorBidi"/>
          <w:sz w:val="26"/>
          <w:szCs w:val="26"/>
        </w:rPr>
        <w:t>4.2</w:t>
      </w:r>
      <w:r w:rsidRPr="00203719">
        <w:rPr>
          <w:rFonts w:asciiTheme="majorBidi" w:hAnsiTheme="majorBidi" w:cstheme="majorBidi"/>
          <w:sz w:val="26"/>
          <w:szCs w:val="26"/>
        </w:rPr>
        <w:t xml:space="preserve">%)). The percentage of difficulty among youth males was </w:t>
      </w:r>
      <w:r>
        <w:rPr>
          <w:rFonts w:asciiTheme="majorBidi" w:hAnsiTheme="majorBidi" w:cstheme="majorBidi"/>
          <w:sz w:val="26"/>
          <w:szCs w:val="26"/>
        </w:rPr>
        <w:t>4.4</w:t>
      </w:r>
      <w:r w:rsidRPr="00203719">
        <w:rPr>
          <w:rFonts w:asciiTheme="majorBidi" w:hAnsiTheme="majorBidi" w:cstheme="majorBidi"/>
          <w:sz w:val="26"/>
          <w:szCs w:val="26"/>
        </w:rPr>
        <w:t xml:space="preserve">% compared with </w:t>
      </w:r>
      <w:r>
        <w:rPr>
          <w:rFonts w:asciiTheme="majorBidi" w:hAnsiTheme="majorBidi" w:cstheme="majorBidi"/>
          <w:sz w:val="26"/>
          <w:szCs w:val="26"/>
        </w:rPr>
        <w:t>2.0</w:t>
      </w:r>
      <w:r w:rsidRPr="00203719">
        <w:rPr>
          <w:rFonts w:asciiTheme="majorBidi" w:hAnsiTheme="majorBidi" w:cstheme="majorBidi"/>
          <w:sz w:val="26"/>
          <w:szCs w:val="26"/>
        </w:rPr>
        <w:t xml:space="preserve">% among youth females. Mobility difficulty is considered the most prevalent among the youth, where </w:t>
      </w:r>
      <w:r>
        <w:rPr>
          <w:rFonts w:asciiTheme="majorBidi" w:hAnsiTheme="majorBidi" w:cstheme="majorBidi"/>
          <w:sz w:val="26"/>
          <w:szCs w:val="26"/>
        </w:rPr>
        <w:t>1.4</w:t>
      </w:r>
      <w:r w:rsidRPr="00203719">
        <w:rPr>
          <w:rFonts w:asciiTheme="majorBidi" w:hAnsiTheme="majorBidi" w:cstheme="majorBidi"/>
          <w:sz w:val="26"/>
          <w:szCs w:val="26"/>
        </w:rPr>
        <w:t>% of the Palestinian youth (</w:t>
      </w:r>
      <w:r>
        <w:rPr>
          <w:rFonts w:asciiTheme="majorBidi" w:hAnsiTheme="majorBidi" w:cstheme="majorBidi"/>
          <w:sz w:val="26"/>
          <w:szCs w:val="26"/>
        </w:rPr>
        <w:t>18</w:t>
      </w:r>
      <w:r w:rsidRPr="00203719">
        <w:rPr>
          <w:rFonts w:asciiTheme="majorBidi" w:hAnsiTheme="majorBidi" w:cstheme="majorBidi"/>
          <w:sz w:val="26"/>
          <w:szCs w:val="26"/>
        </w:rPr>
        <w:t xml:space="preserve">-29 years) suffer from mobility difficulty followed by seeing difficulty with a percentage of </w:t>
      </w:r>
      <w:r>
        <w:rPr>
          <w:rFonts w:asciiTheme="majorBidi" w:hAnsiTheme="majorBidi" w:cstheme="majorBidi"/>
          <w:sz w:val="26"/>
          <w:szCs w:val="26"/>
        </w:rPr>
        <w:t>1.2</w:t>
      </w:r>
      <w:r w:rsidRPr="00203719">
        <w:rPr>
          <w:rFonts w:asciiTheme="majorBidi" w:hAnsiTheme="majorBidi" w:cstheme="majorBidi"/>
          <w:sz w:val="26"/>
          <w:szCs w:val="26"/>
        </w:rPr>
        <w:t>% for the same category</w:t>
      </w:r>
      <w:r w:rsidRPr="00203719">
        <w:rPr>
          <w:rFonts w:asciiTheme="majorBidi" w:hAnsiTheme="majorBidi" w:cstheme="majorBidi"/>
          <w:sz w:val="26"/>
          <w:szCs w:val="26"/>
          <w:rtl/>
        </w:rPr>
        <w:t>.</w:t>
      </w:r>
    </w:p>
    <w:p w:rsidR="00430C6E" w:rsidRPr="00585B1B" w:rsidRDefault="00430C6E" w:rsidP="00585B1B">
      <w:pPr>
        <w:bidi w:val="0"/>
        <w:rPr>
          <w:rFonts w:asciiTheme="majorBidi" w:hAnsiTheme="majorBidi" w:cstheme="majorBidi"/>
          <w:sz w:val="16"/>
          <w:szCs w:val="16"/>
        </w:rPr>
      </w:pPr>
    </w:p>
    <w:p w:rsidR="00DE0BC3" w:rsidRPr="00203719" w:rsidRDefault="00DE0BC3" w:rsidP="00DE0BC3">
      <w:pPr>
        <w:bidi w:val="0"/>
        <w:jc w:val="center"/>
        <w:rPr>
          <w:rFonts w:asciiTheme="majorBidi" w:hAnsiTheme="majorBidi" w:cstheme="majorBidi"/>
          <w:b/>
          <w:bCs/>
          <w:sz w:val="26"/>
          <w:szCs w:val="26"/>
        </w:rPr>
      </w:pPr>
      <w:r w:rsidRPr="00203719">
        <w:rPr>
          <w:rFonts w:asciiTheme="majorBidi" w:hAnsiTheme="majorBidi" w:cstheme="majorBidi"/>
          <w:b/>
          <w:bCs/>
          <w:sz w:val="26"/>
          <w:szCs w:val="26"/>
        </w:rPr>
        <w:t>Percentage of the Youth (</w:t>
      </w:r>
      <w:r>
        <w:rPr>
          <w:rFonts w:asciiTheme="majorBidi" w:hAnsiTheme="majorBidi" w:cstheme="majorBidi"/>
          <w:b/>
          <w:bCs/>
          <w:sz w:val="26"/>
          <w:szCs w:val="26"/>
        </w:rPr>
        <w:t>18</w:t>
      </w:r>
      <w:r w:rsidRPr="00203719">
        <w:rPr>
          <w:rFonts w:asciiTheme="majorBidi" w:hAnsiTheme="majorBidi" w:cstheme="majorBidi"/>
          <w:b/>
          <w:bCs/>
          <w:sz w:val="26"/>
          <w:szCs w:val="26"/>
        </w:rPr>
        <w:t xml:space="preserve">-29 years) who have Difficulty by Region, </w:t>
      </w:r>
      <w:r w:rsidRPr="00203719">
        <w:rPr>
          <w:rFonts w:asciiTheme="majorBidi" w:hAnsiTheme="majorBidi" w:cstheme="majorBidi"/>
          <w:b/>
          <w:bCs/>
          <w:sz w:val="26"/>
          <w:szCs w:val="26"/>
          <w:rtl/>
        </w:rPr>
        <w:t>2017</w:t>
      </w:r>
    </w:p>
    <w:tbl>
      <w:tblPr>
        <w:tblStyle w:val="TableGrid"/>
        <w:tblW w:w="0" w:type="auto"/>
        <w:tblInd w:w="1668" w:type="dxa"/>
        <w:tblLayout w:type="fixed"/>
        <w:tblLook w:val="04A0"/>
      </w:tblPr>
      <w:tblGrid>
        <w:gridCol w:w="7938"/>
      </w:tblGrid>
      <w:tr w:rsidR="00DE0BC3" w:rsidRPr="00203719" w:rsidTr="006336CD">
        <w:tc>
          <w:tcPr>
            <w:tcW w:w="7938" w:type="dxa"/>
          </w:tcPr>
          <w:p w:rsidR="00DE0BC3" w:rsidRPr="00203719" w:rsidRDefault="00DE0BC3" w:rsidP="006336CD">
            <w:pPr>
              <w:pStyle w:val="BodyText3"/>
              <w:jc w:val="center"/>
              <w:rPr>
                <w:rFonts w:asciiTheme="majorBidi" w:hAnsiTheme="majorBidi" w:cstheme="majorBidi"/>
                <w:b/>
                <w:bCs/>
                <w:sz w:val="26"/>
                <w:szCs w:val="26"/>
              </w:rPr>
            </w:pPr>
            <w:r w:rsidRPr="00203719">
              <w:rPr>
                <w:rFonts w:asciiTheme="majorBidi" w:hAnsiTheme="majorBidi" w:cstheme="majorBidi"/>
                <w:b/>
                <w:bCs/>
                <w:noProof/>
                <w:sz w:val="26"/>
                <w:szCs w:val="26"/>
                <w:lang w:eastAsia="en-US"/>
              </w:rPr>
              <w:drawing>
                <wp:inline distT="0" distB="0" distL="0" distR="0">
                  <wp:extent cx="4953000" cy="258127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DE0BC3" w:rsidRPr="00585B1B" w:rsidRDefault="00DE0BC3" w:rsidP="00DE0BC3">
      <w:pPr>
        <w:pStyle w:val="BodyText3"/>
        <w:jc w:val="center"/>
        <w:rPr>
          <w:rFonts w:asciiTheme="majorBidi" w:hAnsiTheme="majorBidi" w:cstheme="majorBidi"/>
          <w:b/>
          <w:bCs/>
          <w:sz w:val="16"/>
          <w:szCs w:val="16"/>
        </w:rPr>
      </w:pPr>
    </w:p>
    <w:p w:rsidR="00DE0BC3" w:rsidRPr="00203719" w:rsidRDefault="00DE0BC3" w:rsidP="00585B1B">
      <w:pPr>
        <w:bidi w:val="0"/>
        <w:jc w:val="both"/>
        <w:rPr>
          <w:rFonts w:asciiTheme="majorBidi" w:hAnsiTheme="majorBidi" w:cstheme="majorBidi"/>
          <w:noProof/>
          <w:sz w:val="26"/>
          <w:szCs w:val="26"/>
        </w:rPr>
      </w:pPr>
      <w:r w:rsidRPr="00203719">
        <w:rPr>
          <w:rFonts w:asciiTheme="majorBidi" w:hAnsiTheme="majorBidi" w:cstheme="majorBidi"/>
          <w:noProof/>
          <w:sz w:val="26"/>
          <w:szCs w:val="26"/>
        </w:rPr>
        <w:t xml:space="preserve">As for enrollment in education among </w:t>
      </w:r>
      <w:r w:rsidRPr="00203719">
        <w:rPr>
          <w:rFonts w:asciiTheme="majorBidi" w:hAnsiTheme="majorBidi" w:cstheme="majorBidi"/>
          <w:sz w:val="26"/>
          <w:szCs w:val="26"/>
        </w:rPr>
        <w:t xml:space="preserve">youth </w:t>
      </w:r>
      <w:r w:rsidRPr="00203719">
        <w:rPr>
          <w:rFonts w:asciiTheme="majorBidi" w:hAnsiTheme="majorBidi" w:cstheme="majorBidi"/>
          <w:noProof/>
          <w:sz w:val="26"/>
          <w:szCs w:val="26"/>
        </w:rPr>
        <w:t>people with difficulty, in 2017 the results indicated that the proportion of those who did not enroll in education reached</w:t>
      </w:r>
      <w:r>
        <w:rPr>
          <w:rFonts w:asciiTheme="majorBidi" w:hAnsiTheme="majorBidi" w:cstheme="majorBidi"/>
          <w:noProof/>
          <w:sz w:val="26"/>
          <w:szCs w:val="26"/>
        </w:rPr>
        <w:t xml:space="preserve"> about</w:t>
      </w:r>
      <w:r w:rsidRPr="00203719">
        <w:rPr>
          <w:rFonts w:asciiTheme="majorBidi" w:hAnsiTheme="majorBidi" w:cstheme="majorBidi"/>
          <w:noProof/>
          <w:sz w:val="26"/>
          <w:szCs w:val="26"/>
        </w:rPr>
        <w:t xml:space="preserve"> </w:t>
      </w:r>
      <w:r>
        <w:rPr>
          <w:rFonts w:asciiTheme="majorBidi" w:hAnsiTheme="majorBidi" w:cstheme="majorBidi"/>
          <w:noProof/>
          <w:sz w:val="26"/>
          <w:szCs w:val="26"/>
        </w:rPr>
        <w:t>15</w:t>
      </w:r>
      <w:r w:rsidRPr="00203719">
        <w:rPr>
          <w:rFonts w:asciiTheme="majorBidi" w:hAnsiTheme="majorBidi" w:cstheme="majorBidi"/>
          <w:noProof/>
          <w:sz w:val="26"/>
          <w:szCs w:val="26"/>
        </w:rPr>
        <w:t>% (</w:t>
      </w:r>
      <w:r>
        <w:rPr>
          <w:rFonts w:asciiTheme="majorBidi" w:hAnsiTheme="majorBidi" w:cstheme="majorBidi"/>
          <w:noProof/>
          <w:sz w:val="26"/>
          <w:szCs w:val="26"/>
        </w:rPr>
        <w:t>17</w:t>
      </w:r>
      <w:r w:rsidRPr="00203719">
        <w:rPr>
          <w:rFonts w:asciiTheme="majorBidi" w:hAnsiTheme="majorBidi" w:cstheme="majorBidi"/>
          <w:noProof/>
          <w:sz w:val="26"/>
          <w:szCs w:val="26"/>
        </w:rPr>
        <w:t xml:space="preserve">% in the West Bank compared to </w:t>
      </w:r>
      <w:r>
        <w:rPr>
          <w:rFonts w:asciiTheme="majorBidi" w:hAnsiTheme="majorBidi" w:cstheme="majorBidi"/>
          <w:noProof/>
          <w:sz w:val="26"/>
          <w:szCs w:val="26"/>
        </w:rPr>
        <w:t>13</w:t>
      </w:r>
      <w:r w:rsidRPr="00203719">
        <w:rPr>
          <w:rFonts w:asciiTheme="majorBidi" w:hAnsiTheme="majorBidi" w:cstheme="majorBidi"/>
          <w:noProof/>
          <w:sz w:val="26"/>
          <w:szCs w:val="26"/>
        </w:rPr>
        <w:t>% in Gaza Strip).</w:t>
      </w:r>
    </w:p>
    <w:p w:rsidR="002A33D2" w:rsidRPr="00585B1B" w:rsidRDefault="002A33D2" w:rsidP="002A33D2">
      <w:pPr>
        <w:bidi w:val="0"/>
        <w:jc w:val="both"/>
        <w:rPr>
          <w:rFonts w:asciiTheme="majorBidi" w:hAnsiTheme="majorBidi" w:cstheme="majorBidi"/>
          <w:b/>
          <w:bCs/>
          <w:noProof/>
          <w:sz w:val="16"/>
          <w:szCs w:val="16"/>
        </w:rPr>
      </w:pPr>
    </w:p>
    <w:p w:rsidR="00AA52B0" w:rsidRPr="00203719" w:rsidRDefault="00AA52B0" w:rsidP="00AA52B0">
      <w:pPr>
        <w:bidi w:val="0"/>
        <w:jc w:val="both"/>
        <w:rPr>
          <w:rFonts w:asciiTheme="majorBidi" w:hAnsiTheme="majorBidi" w:cstheme="majorBidi"/>
          <w:sz w:val="26"/>
          <w:szCs w:val="26"/>
        </w:rPr>
      </w:pPr>
      <w:r w:rsidRPr="00203719">
        <w:rPr>
          <w:rFonts w:asciiTheme="majorBidi" w:hAnsiTheme="majorBidi" w:cstheme="majorBidi"/>
          <w:b/>
          <w:bCs/>
          <w:noProof/>
          <w:sz w:val="26"/>
          <w:szCs w:val="26"/>
        </w:rPr>
        <w:t>More than half of the youth in Gaza Strip are poor</w:t>
      </w:r>
    </w:p>
    <w:p w:rsidR="00AA52B0" w:rsidRPr="00203719" w:rsidRDefault="00AA52B0" w:rsidP="00552346">
      <w:pPr>
        <w:bidi w:val="0"/>
        <w:jc w:val="both"/>
        <w:rPr>
          <w:rFonts w:asciiTheme="majorBidi" w:hAnsiTheme="majorBidi" w:cstheme="majorBidi"/>
          <w:sz w:val="26"/>
          <w:szCs w:val="26"/>
          <w:rtl/>
        </w:rPr>
      </w:pPr>
      <w:r w:rsidRPr="00430C6E">
        <w:rPr>
          <w:rFonts w:asciiTheme="majorBidi" w:hAnsiTheme="majorBidi" w:cstheme="majorBidi"/>
          <w:sz w:val="26"/>
          <w:szCs w:val="26"/>
        </w:rPr>
        <w:t xml:space="preserve">The percentage of poverty among individuals according to monthly consumption patterns was estimated at 29% during 2017 (14% in the West Bank and 53% in Gaza Strip). The poverty rate among youth (18-29 years) according to monthly consumption patterns was </w:t>
      </w:r>
      <w:r w:rsidR="00552346" w:rsidRPr="00430C6E">
        <w:rPr>
          <w:rFonts w:asciiTheme="majorBidi" w:hAnsiTheme="majorBidi" w:cstheme="majorBidi"/>
          <w:sz w:val="26"/>
          <w:szCs w:val="26"/>
        </w:rPr>
        <w:t>30</w:t>
      </w:r>
      <w:r w:rsidRPr="00430C6E">
        <w:rPr>
          <w:rFonts w:asciiTheme="majorBidi" w:hAnsiTheme="majorBidi" w:cstheme="majorBidi"/>
          <w:sz w:val="26"/>
          <w:szCs w:val="26"/>
        </w:rPr>
        <w:t xml:space="preserve">% (13% in the West Bank and </w:t>
      </w:r>
      <w:r w:rsidR="00552346" w:rsidRPr="00430C6E">
        <w:rPr>
          <w:rFonts w:asciiTheme="majorBidi" w:hAnsiTheme="majorBidi" w:cstheme="majorBidi"/>
          <w:sz w:val="26"/>
          <w:szCs w:val="26"/>
        </w:rPr>
        <w:t>57</w:t>
      </w:r>
      <w:r w:rsidRPr="00430C6E">
        <w:rPr>
          <w:rFonts w:asciiTheme="majorBidi" w:hAnsiTheme="majorBidi" w:cstheme="majorBidi"/>
          <w:sz w:val="26"/>
          <w:szCs w:val="26"/>
        </w:rPr>
        <w:t xml:space="preserve">% in Gaza Strip). 17% of the Palestinians in Palestine suffer from extreme poverty (6% in the West Bank and 34% in Gaza Strip). While extreme poverty among youth (18-29 years) was </w:t>
      </w:r>
      <w:r w:rsidR="00552346" w:rsidRPr="00430C6E">
        <w:rPr>
          <w:rFonts w:asciiTheme="majorBidi" w:hAnsiTheme="majorBidi" w:cstheme="majorBidi"/>
          <w:sz w:val="26"/>
          <w:szCs w:val="26"/>
        </w:rPr>
        <w:t>18</w:t>
      </w:r>
      <w:r w:rsidRPr="00430C6E">
        <w:rPr>
          <w:rFonts w:asciiTheme="majorBidi" w:hAnsiTheme="majorBidi" w:cstheme="majorBidi"/>
          <w:sz w:val="26"/>
          <w:szCs w:val="26"/>
        </w:rPr>
        <w:t xml:space="preserve">% in Palestine (6% in the West Bank and </w:t>
      </w:r>
      <w:r w:rsidR="00552346" w:rsidRPr="00430C6E">
        <w:rPr>
          <w:rFonts w:asciiTheme="majorBidi" w:hAnsiTheme="majorBidi" w:cstheme="majorBidi"/>
          <w:sz w:val="26"/>
          <w:szCs w:val="26"/>
        </w:rPr>
        <w:t>36</w:t>
      </w:r>
      <w:r w:rsidRPr="00430C6E">
        <w:rPr>
          <w:rFonts w:asciiTheme="majorBidi" w:hAnsiTheme="majorBidi" w:cstheme="majorBidi"/>
          <w:sz w:val="26"/>
          <w:szCs w:val="26"/>
        </w:rPr>
        <w:t>% in Gaza Strip).</w:t>
      </w:r>
    </w:p>
    <w:p w:rsidR="006522CA" w:rsidRPr="00203719" w:rsidRDefault="006522CA" w:rsidP="006522CA">
      <w:pPr>
        <w:bidi w:val="0"/>
        <w:rPr>
          <w:rFonts w:asciiTheme="majorBidi" w:hAnsiTheme="majorBidi" w:cstheme="majorBidi"/>
          <w:b/>
          <w:bCs/>
          <w:snapToGrid w:val="0"/>
          <w:sz w:val="26"/>
          <w:szCs w:val="26"/>
          <w:rtl/>
          <w:lang w:eastAsia="en-US"/>
        </w:rPr>
      </w:pPr>
    </w:p>
    <w:p w:rsidR="00210DF6" w:rsidRDefault="00210DF6" w:rsidP="00210DF6">
      <w:pPr>
        <w:bidi w:val="0"/>
        <w:rPr>
          <w:rFonts w:asciiTheme="majorBidi" w:hAnsiTheme="majorBidi" w:cstheme="majorBidi"/>
          <w:b/>
          <w:bCs/>
          <w:snapToGrid w:val="0"/>
          <w:sz w:val="26"/>
          <w:szCs w:val="26"/>
          <w:lang w:eastAsia="en-US"/>
        </w:rPr>
      </w:pPr>
    </w:p>
    <w:p w:rsidR="00585B1B" w:rsidRDefault="00585B1B" w:rsidP="00585B1B">
      <w:pPr>
        <w:bidi w:val="0"/>
        <w:rPr>
          <w:rFonts w:asciiTheme="majorBidi" w:hAnsiTheme="majorBidi" w:cstheme="majorBidi"/>
          <w:b/>
          <w:bCs/>
          <w:snapToGrid w:val="0"/>
          <w:sz w:val="26"/>
          <w:szCs w:val="26"/>
          <w:lang w:eastAsia="en-US"/>
        </w:rPr>
      </w:pPr>
    </w:p>
    <w:p w:rsidR="00585B1B" w:rsidRPr="00203719" w:rsidRDefault="00585B1B" w:rsidP="00585B1B">
      <w:pPr>
        <w:bidi w:val="0"/>
        <w:rPr>
          <w:sz w:val="20"/>
          <w:szCs w:val="20"/>
        </w:rPr>
      </w:pPr>
    </w:p>
    <w:p w:rsidR="001A1325" w:rsidRPr="00203719" w:rsidRDefault="001A1325" w:rsidP="00C1193D">
      <w:pPr>
        <w:bidi w:val="0"/>
        <w:rPr>
          <w:sz w:val="20"/>
          <w:szCs w:val="20"/>
          <w:rtl/>
        </w:rPr>
      </w:pPr>
    </w:p>
    <w:sectPr w:rsidR="001A1325" w:rsidRPr="00203719" w:rsidSect="00585B1B">
      <w:footerReference w:type="even" r:id="rId12"/>
      <w:footerReference w:type="default" r:id="rId13"/>
      <w:headerReference w:type="first" r:id="rId14"/>
      <w:pgSz w:w="11906" w:h="16838" w:code="9"/>
      <w:pgMar w:top="720" w:right="720" w:bottom="720" w:left="720" w:header="680" w:footer="68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C5C" w:rsidRDefault="00B32C5C">
      <w:r>
        <w:separator/>
      </w:r>
    </w:p>
  </w:endnote>
  <w:endnote w:type="continuationSeparator" w:id="0">
    <w:p w:rsidR="00B32C5C" w:rsidRDefault="00B32C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F1" w:rsidRDefault="009959A2">
    <w:pPr>
      <w:pStyle w:val="Footer"/>
      <w:framePr w:wrap="around" w:vAnchor="text" w:hAnchor="margin" w:xAlign="center" w:y="1"/>
      <w:rPr>
        <w:rStyle w:val="PageNumber"/>
        <w:rtl/>
        <w:lang w:eastAsia="en-US"/>
      </w:rPr>
    </w:pPr>
    <w:r>
      <w:rPr>
        <w:rStyle w:val="PageNumber"/>
        <w:rtl/>
      </w:rPr>
      <w:fldChar w:fldCharType="begin"/>
    </w:r>
    <w:r w:rsidR="00AD7AF1">
      <w:rPr>
        <w:rStyle w:val="PageNumber"/>
        <w:lang w:eastAsia="en-US"/>
      </w:rPr>
      <w:instrText xml:space="preserve">PAGE  </w:instrText>
    </w:r>
    <w:r>
      <w:rPr>
        <w:rStyle w:val="PageNumber"/>
        <w:rtl/>
      </w:rPr>
      <w:fldChar w:fldCharType="separate"/>
    </w:r>
    <w:r w:rsidR="00AD7AF1">
      <w:rPr>
        <w:rStyle w:val="PageNumber"/>
        <w:noProof/>
        <w:rtl/>
      </w:rPr>
      <w:t>2</w:t>
    </w:r>
    <w:r>
      <w:rPr>
        <w:rStyle w:val="PageNumber"/>
        <w:rtl/>
      </w:rPr>
      <w:fldChar w:fldCharType="end"/>
    </w:r>
  </w:p>
  <w:p w:rsidR="00AD7AF1" w:rsidRDefault="00AD7AF1">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AF1" w:rsidRDefault="009959A2">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AD7AF1">
      <w:rPr>
        <w:rStyle w:val="PageNumber"/>
        <w:sz w:val="20"/>
        <w:szCs w:val="20"/>
        <w:lang w:eastAsia="en-US"/>
      </w:rPr>
      <w:instrText xml:space="preserve">PAGE  </w:instrText>
    </w:r>
    <w:r>
      <w:rPr>
        <w:rStyle w:val="PageNumber"/>
        <w:sz w:val="20"/>
        <w:szCs w:val="20"/>
        <w:rtl/>
      </w:rPr>
      <w:fldChar w:fldCharType="separate"/>
    </w:r>
    <w:r w:rsidR="00585B1B">
      <w:rPr>
        <w:rStyle w:val="PageNumber"/>
        <w:noProof/>
        <w:sz w:val="20"/>
        <w:szCs w:val="20"/>
        <w:rtl/>
      </w:rPr>
      <w:t>1</w:t>
    </w:r>
    <w:r>
      <w:rPr>
        <w:rStyle w:val="PageNumber"/>
        <w:sz w:val="20"/>
        <w:szCs w:val="20"/>
        <w:rtl/>
      </w:rPr>
      <w:fldChar w:fldCharType="end"/>
    </w:r>
  </w:p>
  <w:p w:rsidR="00AD7AF1" w:rsidRDefault="00AD7AF1">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C5C" w:rsidRDefault="00B32C5C">
      <w:r>
        <w:separator/>
      </w:r>
    </w:p>
  </w:footnote>
  <w:footnote w:type="continuationSeparator" w:id="0">
    <w:p w:rsidR="00B32C5C" w:rsidRDefault="00B32C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AD7AF1" w:rsidTr="00B10EE0">
      <w:tc>
        <w:tcPr>
          <w:tcW w:w="3473" w:type="dxa"/>
          <w:vAlign w:val="center"/>
        </w:tcPr>
        <w:p w:rsidR="00AD7AF1" w:rsidRDefault="00AD7AF1" w:rsidP="00B10EE0">
          <w:pPr>
            <w:pStyle w:val="Header"/>
            <w:ind w:left="-1"/>
            <w:jc w:val="center"/>
            <w:rPr>
              <w:rFonts w:cs="Simplified Arabic"/>
              <w:b/>
              <w:bCs/>
              <w:sz w:val="28"/>
              <w:szCs w:val="28"/>
              <w:rtl/>
            </w:rPr>
          </w:pPr>
          <w:r>
            <w:rPr>
              <w:rFonts w:cs="Simplified Arabic" w:hint="cs"/>
              <w:b/>
              <w:bCs/>
              <w:sz w:val="28"/>
              <w:szCs w:val="28"/>
              <w:rtl/>
            </w:rPr>
            <w:t>فلسطين</w:t>
          </w:r>
        </w:p>
        <w:p w:rsidR="00AD7AF1" w:rsidRDefault="00AD7AF1"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AD7AF1" w:rsidRDefault="00AD7AF1" w:rsidP="00B10EE0">
          <w:pPr>
            <w:pStyle w:val="Header"/>
            <w:rPr>
              <w:rtl/>
            </w:rPr>
          </w:pPr>
          <w:r>
            <w:rPr>
              <w:noProof/>
              <w:snapToGrid/>
              <w:rtl/>
            </w:rPr>
            <w:drawing>
              <wp:anchor distT="0" distB="0" distL="114300" distR="114300" simplePos="0" relativeHeight="251657216"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AD7AF1" w:rsidRDefault="00AD7AF1" w:rsidP="00B10EE0">
          <w:pPr>
            <w:pStyle w:val="Header"/>
            <w:jc w:val="right"/>
            <w:rPr>
              <w:rFonts w:cs="Simplified Arabic"/>
              <w:sz w:val="22"/>
              <w:szCs w:val="22"/>
              <w:rtl/>
            </w:rPr>
          </w:pPr>
          <w:r>
            <w:rPr>
              <w:rFonts w:cs="Simplified Arabic" w:hint="cs"/>
              <w:sz w:val="22"/>
              <w:szCs w:val="22"/>
              <w:rtl/>
            </w:rPr>
            <w:t xml:space="preserve"> صدر </w:t>
          </w:r>
          <w:proofErr w:type="spellStart"/>
          <w:r>
            <w:rPr>
              <w:rFonts w:cs="Simplified Arabic" w:hint="cs"/>
              <w:sz w:val="22"/>
              <w:szCs w:val="22"/>
              <w:rtl/>
            </w:rPr>
            <w:t>بتاريخ:</w:t>
          </w:r>
          <w:proofErr w:type="spellEnd"/>
          <w:r>
            <w:rPr>
              <w:rFonts w:cs="Simplified Arabic" w:hint="cs"/>
              <w:sz w:val="22"/>
              <w:szCs w:val="22"/>
              <w:rtl/>
            </w:rPr>
            <w:t xml:space="preserve"> 19/06/2011</w:t>
          </w:r>
        </w:p>
      </w:tc>
    </w:tr>
  </w:tbl>
  <w:p w:rsidR="00AD7AF1" w:rsidRPr="00237AA1" w:rsidRDefault="00AD7AF1" w:rsidP="00237AA1">
    <w:pPr>
      <w:pStyle w:val="Heade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20"/>
  <w:displayHorizontalDrawingGridEvery w:val="2"/>
  <w:noPunctuationKerning/>
  <w:characterSpacingControl w:val="doNotCompress"/>
  <w:hdrShapeDefaults>
    <o:shapedefaults v:ext="edit" spidmax="96258"/>
  </w:hdrShapeDefaults>
  <w:footnotePr>
    <w:footnote w:id="-1"/>
    <w:footnote w:id="0"/>
  </w:footnotePr>
  <w:endnotePr>
    <w:endnote w:id="-1"/>
    <w:endnote w:id="0"/>
  </w:endnotePr>
  <w:compat/>
  <w:rsids>
    <w:rsidRoot w:val="003735DD"/>
    <w:rsid w:val="000009B3"/>
    <w:rsid w:val="0000153E"/>
    <w:rsid w:val="0000257C"/>
    <w:rsid w:val="0000334C"/>
    <w:rsid w:val="0001149F"/>
    <w:rsid w:val="00012A00"/>
    <w:rsid w:val="00012F0D"/>
    <w:rsid w:val="0001429C"/>
    <w:rsid w:val="000174A0"/>
    <w:rsid w:val="00020CD7"/>
    <w:rsid w:val="00022D3D"/>
    <w:rsid w:val="00024A21"/>
    <w:rsid w:val="00030B6E"/>
    <w:rsid w:val="0003105B"/>
    <w:rsid w:val="000359A5"/>
    <w:rsid w:val="00041F47"/>
    <w:rsid w:val="00047EB2"/>
    <w:rsid w:val="000512B5"/>
    <w:rsid w:val="0005134D"/>
    <w:rsid w:val="00052E4B"/>
    <w:rsid w:val="00053230"/>
    <w:rsid w:val="00053961"/>
    <w:rsid w:val="000539A9"/>
    <w:rsid w:val="00054720"/>
    <w:rsid w:val="00054AF2"/>
    <w:rsid w:val="0006001F"/>
    <w:rsid w:val="000611B5"/>
    <w:rsid w:val="000658EC"/>
    <w:rsid w:val="00070AC3"/>
    <w:rsid w:val="00071F67"/>
    <w:rsid w:val="00075028"/>
    <w:rsid w:val="000769A9"/>
    <w:rsid w:val="00077FEC"/>
    <w:rsid w:val="000830CD"/>
    <w:rsid w:val="00083A87"/>
    <w:rsid w:val="0009101D"/>
    <w:rsid w:val="000924BC"/>
    <w:rsid w:val="0009482D"/>
    <w:rsid w:val="00096777"/>
    <w:rsid w:val="00097678"/>
    <w:rsid w:val="000A1DA7"/>
    <w:rsid w:val="000A2143"/>
    <w:rsid w:val="000A4209"/>
    <w:rsid w:val="000A5501"/>
    <w:rsid w:val="000A6E08"/>
    <w:rsid w:val="000B0717"/>
    <w:rsid w:val="000B1418"/>
    <w:rsid w:val="000B2899"/>
    <w:rsid w:val="000B2EAA"/>
    <w:rsid w:val="000B42A6"/>
    <w:rsid w:val="000B5848"/>
    <w:rsid w:val="000B5EF4"/>
    <w:rsid w:val="000B6703"/>
    <w:rsid w:val="000C16D7"/>
    <w:rsid w:val="000C3642"/>
    <w:rsid w:val="000C36EA"/>
    <w:rsid w:val="000C3718"/>
    <w:rsid w:val="000C46F5"/>
    <w:rsid w:val="000C5943"/>
    <w:rsid w:val="000C5DCF"/>
    <w:rsid w:val="000C6A61"/>
    <w:rsid w:val="000D0612"/>
    <w:rsid w:val="000D0C52"/>
    <w:rsid w:val="000D20E6"/>
    <w:rsid w:val="000D20E7"/>
    <w:rsid w:val="000D2C0F"/>
    <w:rsid w:val="000D3A8F"/>
    <w:rsid w:val="000D4428"/>
    <w:rsid w:val="000D446E"/>
    <w:rsid w:val="000D4717"/>
    <w:rsid w:val="000D6887"/>
    <w:rsid w:val="000D68A9"/>
    <w:rsid w:val="000E22D0"/>
    <w:rsid w:val="000E2918"/>
    <w:rsid w:val="000E3DAD"/>
    <w:rsid w:val="000F1B7B"/>
    <w:rsid w:val="001018CA"/>
    <w:rsid w:val="00104363"/>
    <w:rsid w:val="00106296"/>
    <w:rsid w:val="00110AF6"/>
    <w:rsid w:val="001221FA"/>
    <w:rsid w:val="00123A17"/>
    <w:rsid w:val="001247CC"/>
    <w:rsid w:val="00127B2C"/>
    <w:rsid w:val="001310C4"/>
    <w:rsid w:val="00132472"/>
    <w:rsid w:val="00133447"/>
    <w:rsid w:val="00135829"/>
    <w:rsid w:val="001430B5"/>
    <w:rsid w:val="001446C1"/>
    <w:rsid w:val="00147043"/>
    <w:rsid w:val="00147470"/>
    <w:rsid w:val="0015641E"/>
    <w:rsid w:val="00160EFC"/>
    <w:rsid w:val="00163AD5"/>
    <w:rsid w:val="001658C6"/>
    <w:rsid w:val="00166A63"/>
    <w:rsid w:val="00167359"/>
    <w:rsid w:val="001701B0"/>
    <w:rsid w:val="001704AF"/>
    <w:rsid w:val="001742CB"/>
    <w:rsid w:val="00174633"/>
    <w:rsid w:val="00174BEA"/>
    <w:rsid w:val="00174F66"/>
    <w:rsid w:val="00180C3F"/>
    <w:rsid w:val="00185A58"/>
    <w:rsid w:val="0018682F"/>
    <w:rsid w:val="00190EA0"/>
    <w:rsid w:val="001972B1"/>
    <w:rsid w:val="001A1325"/>
    <w:rsid w:val="001A2E41"/>
    <w:rsid w:val="001A5276"/>
    <w:rsid w:val="001A68F6"/>
    <w:rsid w:val="001B4C61"/>
    <w:rsid w:val="001B5B7E"/>
    <w:rsid w:val="001C1918"/>
    <w:rsid w:val="001C209E"/>
    <w:rsid w:val="001C30E1"/>
    <w:rsid w:val="001C370E"/>
    <w:rsid w:val="001C47D5"/>
    <w:rsid w:val="001C4889"/>
    <w:rsid w:val="001C4E28"/>
    <w:rsid w:val="001C54F0"/>
    <w:rsid w:val="001C6240"/>
    <w:rsid w:val="001C71F7"/>
    <w:rsid w:val="001C7A05"/>
    <w:rsid w:val="001D138E"/>
    <w:rsid w:val="001D454C"/>
    <w:rsid w:val="001D6869"/>
    <w:rsid w:val="001D71E1"/>
    <w:rsid w:val="001D76B5"/>
    <w:rsid w:val="001E4C3A"/>
    <w:rsid w:val="001E51BB"/>
    <w:rsid w:val="001E5DFC"/>
    <w:rsid w:val="001E704A"/>
    <w:rsid w:val="001E731C"/>
    <w:rsid w:val="001F24F9"/>
    <w:rsid w:val="001F32D8"/>
    <w:rsid w:val="001F588D"/>
    <w:rsid w:val="001F6F08"/>
    <w:rsid w:val="001F78E5"/>
    <w:rsid w:val="0020267A"/>
    <w:rsid w:val="00203719"/>
    <w:rsid w:val="0020462A"/>
    <w:rsid w:val="00207ED7"/>
    <w:rsid w:val="00210006"/>
    <w:rsid w:val="00210322"/>
    <w:rsid w:val="00210DF6"/>
    <w:rsid w:val="002116CB"/>
    <w:rsid w:val="0021189E"/>
    <w:rsid w:val="00211969"/>
    <w:rsid w:val="00212DB7"/>
    <w:rsid w:val="002132AA"/>
    <w:rsid w:val="002145D4"/>
    <w:rsid w:val="002145D7"/>
    <w:rsid w:val="00214DD8"/>
    <w:rsid w:val="00223C24"/>
    <w:rsid w:val="00224350"/>
    <w:rsid w:val="00225959"/>
    <w:rsid w:val="0022767E"/>
    <w:rsid w:val="00232124"/>
    <w:rsid w:val="00237AA1"/>
    <w:rsid w:val="00240C43"/>
    <w:rsid w:val="00242416"/>
    <w:rsid w:val="002429D9"/>
    <w:rsid w:val="002441C5"/>
    <w:rsid w:val="00244600"/>
    <w:rsid w:val="00245CA2"/>
    <w:rsid w:val="00247C27"/>
    <w:rsid w:val="002529B4"/>
    <w:rsid w:val="00267642"/>
    <w:rsid w:val="0027282D"/>
    <w:rsid w:val="00273617"/>
    <w:rsid w:val="00281CD8"/>
    <w:rsid w:val="002857A8"/>
    <w:rsid w:val="0029259F"/>
    <w:rsid w:val="00293B18"/>
    <w:rsid w:val="00297FF0"/>
    <w:rsid w:val="002A0304"/>
    <w:rsid w:val="002A33D2"/>
    <w:rsid w:val="002A3556"/>
    <w:rsid w:val="002A6913"/>
    <w:rsid w:val="002B0141"/>
    <w:rsid w:val="002B0F59"/>
    <w:rsid w:val="002B1216"/>
    <w:rsid w:val="002B4E0F"/>
    <w:rsid w:val="002B561A"/>
    <w:rsid w:val="002C1311"/>
    <w:rsid w:val="002C35CC"/>
    <w:rsid w:val="002C4877"/>
    <w:rsid w:val="002D035F"/>
    <w:rsid w:val="002D2140"/>
    <w:rsid w:val="002D4421"/>
    <w:rsid w:val="002D6DCE"/>
    <w:rsid w:val="002D7F78"/>
    <w:rsid w:val="002E2366"/>
    <w:rsid w:val="002E3234"/>
    <w:rsid w:val="002E38E1"/>
    <w:rsid w:val="002E541B"/>
    <w:rsid w:val="002F120A"/>
    <w:rsid w:val="002F1A4E"/>
    <w:rsid w:val="002F2477"/>
    <w:rsid w:val="002F2700"/>
    <w:rsid w:val="002F30B6"/>
    <w:rsid w:val="003006F5"/>
    <w:rsid w:val="00300B1A"/>
    <w:rsid w:val="003013DA"/>
    <w:rsid w:val="003031AA"/>
    <w:rsid w:val="00305F30"/>
    <w:rsid w:val="00307591"/>
    <w:rsid w:val="003102A2"/>
    <w:rsid w:val="00312BC5"/>
    <w:rsid w:val="00312FAD"/>
    <w:rsid w:val="0031436D"/>
    <w:rsid w:val="00314595"/>
    <w:rsid w:val="003200AC"/>
    <w:rsid w:val="00322307"/>
    <w:rsid w:val="003223CE"/>
    <w:rsid w:val="00323A85"/>
    <w:rsid w:val="00325D6B"/>
    <w:rsid w:val="0033009A"/>
    <w:rsid w:val="00332512"/>
    <w:rsid w:val="003327A1"/>
    <w:rsid w:val="0033722B"/>
    <w:rsid w:val="003374CD"/>
    <w:rsid w:val="003405F9"/>
    <w:rsid w:val="00343B5A"/>
    <w:rsid w:val="0034649E"/>
    <w:rsid w:val="003472A5"/>
    <w:rsid w:val="00347F6E"/>
    <w:rsid w:val="00352341"/>
    <w:rsid w:val="00353677"/>
    <w:rsid w:val="00353F40"/>
    <w:rsid w:val="00356CE0"/>
    <w:rsid w:val="0036147F"/>
    <w:rsid w:val="00362247"/>
    <w:rsid w:val="00365949"/>
    <w:rsid w:val="003662FB"/>
    <w:rsid w:val="00371C92"/>
    <w:rsid w:val="0037256B"/>
    <w:rsid w:val="003726BA"/>
    <w:rsid w:val="003735DD"/>
    <w:rsid w:val="0037429F"/>
    <w:rsid w:val="003742D7"/>
    <w:rsid w:val="00375995"/>
    <w:rsid w:val="003766B2"/>
    <w:rsid w:val="003778D1"/>
    <w:rsid w:val="00380757"/>
    <w:rsid w:val="003811FA"/>
    <w:rsid w:val="003839A5"/>
    <w:rsid w:val="00384BE6"/>
    <w:rsid w:val="00385651"/>
    <w:rsid w:val="00387A83"/>
    <w:rsid w:val="00387AEF"/>
    <w:rsid w:val="00390C8F"/>
    <w:rsid w:val="0039107A"/>
    <w:rsid w:val="0039301F"/>
    <w:rsid w:val="00393171"/>
    <w:rsid w:val="00394FC7"/>
    <w:rsid w:val="00395ECD"/>
    <w:rsid w:val="00396255"/>
    <w:rsid w:val="00396EE3"/>
    <w:rsid w:val="003A04FA"/>
    <w:rsid w:val="003A0D23"/>
    <w:rsid w:val="003A12F0"/>
    <w:rsid w:val="003A20C9"/>
    <w:rsid w:val="003A307B"/>
    <w:rsid w:val="003A4127"/>
    <w:rsid w:val="003A55E1"/>
    <w:rsid w:val="003A6D57"/>
    <w:rsid w:val="003A79CF"/>
    <w:rsid w:val="003B0624"/>
    <w:rsid w:val="003B1D45"/>
    <w:rsid w:val="003B346B"/>
    <w:rsid w:val="003B654B"/>
    <w:rsid w:val="003C0496"/>
    <w:rsid w:val="003C1E3A"/>
    <w:rsid w:val="003C20D2"/>
    <w:rsid w:val="003C69C5"/>
    <w:rsid w:val="003D17D1"/>
    <w:rsid w:val="003D2F61"/>
    <w:rsid w:val="003D3207"/>
    <w:rsid w:val="003D32EB"/>
    <w:rsid w:val="003D41A9"/>
    <w:rsid w:val="003F0D90"/>
    <w:rsid w:val="003F4698"/>
    <w:rsid w:val="003F6A2D"/>
    <w:rsid w:val="00402DFA"/>
    <w:rsid w:val="00404652"/>
    <w:rsid w:val="00404812"/>
    <w:rsid w:val="00406DE7"/>
    <w:rsid w:val="00410898"/>
    <w:rsid w:val="00412FE8"/>
    <w:rsid w:val="00422ADA"/>
    <w:rsid w:val="00430C6E"/>
    <w:rsid w:val="004337ED"/>
    <w:rsid w:val="00446AAF"/>
    <w:rsid w:val="0044776C"/>
    <w:rsid w:val="00447C4D"/>
    <w:rsid w:val="00452186"/>
    <w:rsid w:val="004534DA"/>
    <w:rsid w:val="00457598"/>
    <w:rsid w:val="00460483"/>
    <w:rsid w:val="00462EDD"/>
    <w:rsid w:val="00463360"/>
    <w:rsid w:val="004646B7"/>
    <w:rsid w:val="00467DF6"/>
    <w:rsid w:val="00471326"/>
    <w:rsid w:val="004736D4"/>
    <w:rsid w:val="004800F3"/>
    <w:rsid w:val="004804A0"/>
    <w:rsid w:val="00481960"/>
    <w:rsid w:val="00482061"/>
    <w:rsid w:val="00485A39"/>
    <w:rsid w:val="00486E64"/>
    <w:rsid w:val="00492626"/>
    <w:rsid w:val="004930A8"/>
    <w:rsid w:val="004A1474"/>
    <w:rsid w:val="004A6ECB"/>
    <w:rsid w:val="004A74FD"/>
    <w:rsid w:val="004B13A9"/>
    <w:rsid w:val="004B2084"/>
    <w:rsid w:val="004B2D88"/>
    <w:rsid w:val="004C1FBE"/>
    <w:rsid w:val="004C2160"/>
    <w:rsid w:val="004C330A"/>
    <w:rsid w:val="004C3B8B"/>
    <w:rsid w:val="004C59E2"/>
    <w:rsid w:val="004D2571"/>
    <w:rsid w:val="004D2E3A"/>
    <w:rsid w:val="004D329D"/>
    <w:rsid w:val="004D4CE5"/>
    <w:rsid w:val="004D6725"/>
    <w:rsid w:val="004D6CAE"/>
    <w:rsid w:val="004E33BC"/>
    <w:rsid w:val="004E4C87"/>
    <w:rsid w:val="004E5E97"/>
    <w:rsid w:val="004E629A"/>
    <w:rsid w:val="004F1F39"/>
    <w:rsid w:val="004F23F8"/>
    <w:rsid w:val="004F3B65"/>
    <w:rsid w:val="004F5E2D"/>
    <w:rsid w:val="00500C1E"/>
    <w:rsid w:val="0050199A"/>
    <w:rsid w:val="00504B2C"/>
    <w:rsid w:val="00505832"/>
    <w:rsid w:val="00507367"/>
    <w:rsid w:val="0051090F"/>
    <w:rsid w:val="005117E9"/>
    <w:rsid w:val="00514B45"/>
    <w:rsid w:val="005177E5"/>
    <w:rsid w:val="005210E1"/>
    <w:rsid w:val="005219EC"/>
    <w:rsid w:val="00524514"/>
    <w:rsid w:val="00527D96"/>
    <w:rsid w:val="005338D4"/>
    <w:rsid w:val="005347AB"/>
    <w:rsid w:val="005368CC"/>
    <w:rsid w:val="00541370"/>
    <w:rsid w:val="00546089"/>
    <w:rsid w:val="0054613D"/>
    <w:rsid w:val="00546C9B"/>
    <w:rsid w:val="00546EC5"/>
    <w:rsid w:val="00547196"/>
    <w:rsid w:val="00547BE7"/>
    <w:rsid w:val="005516C5"/>
    <w:rsid w:val="00552346"/>
    <w:rsid w:val="0055261A"/>
    <w:rsid w:val="00556171"/>
    <w:rsid w:val="005579D0"/>
    <w:rsid w:val="00561952"/>
    <w:rsid w:val="00564554"/>
    <w:rsid w:val="00566337"/>
    <w:rsid w:val="00567333"/>
    <w:rsid w:val="00572DC9"/>
    <w:rsid w:val="00575D0F"/>
    <w:rsid w:val="00585B1B"/>
    <w:rsid w:val="00591418"/>
    <w:rsid w:val="00594A0A"/>
    <w:rsid w:val="00594FFC"/>
    <w:rsid w:val="00595CB4"/>
    <w:rsid w:val="005961C3"/>
    <w:rsid w:val="005A20D3"/>
    <w:rsid w:val="005A4668"/>
    <w:rsid w:val="005B12C1"/>
    <w:rsid w:val="005B1BBC"/>
    <w:rsid w:val="005B2C68"/>
    <w:rsid w:val="005B5FE5"/>
    <w:rsid w:val="005B7144"/>
    <w:rsid w:val="005C07AB"/>
    <w:rsid w:val="005C1EAA"/>
    <w:rsid w:val="005C479D"/>
    <w:rsid w:val="005C4B73"/>
    <w:rsid w:val="005C5E89"/>
    <w:rsid w:val="005C6690"/>
    <w:rsid w:val="005C70F2"/>
    <w:rsid w:val="005D5E26"/>
    <w:rsid w:val="005D7D16"/>
    <w:rsid w:val="005E06C9"/>
    <w:rsid w:val="005E1B8E"/>
    <w:rsid w:val="005E259C"/>
    <w:rsid w:val="005E27BD"/>
    <w:rsid w:val="005E4824"/>
    <w:rsid w:val="005E48D8"/>
    <w:rsid w:val="005E51C8"/>
    <w:rsid w:val="005E62C4"/>
    <w:rsid w:val="006019FF"/>
    <w:rsid w:val="00602ADF"/>
    <w:rsid w:val="00604901"/>
    <w:rsid w:val="00605EF0"/>
    <w:rsid w:val="006065EA"/>
    <w:rsid w:val="00606D31"/>
    <w:rsid w:val="00610279"/>
    <w:rsid w:val="00610E47"/>
    <w:rsid w:val="0061233C"/>
    <w:rsid w:val="00612CC0"/>
    <w:rsid w:val="00613CF9"/>
    <w:rsid w:val="00614CCC"/>
    <w:rsid w:val="006174E7"/>
    <w:rsid w:val="00617884"/>
    <w:rsid w:val="00624B51"/>
    <w:rsid w:val="00625609"/>
    <w:rsid w:val="00632E80"/>
    <w:rsid w:val="006375D1"/>
    <w:rsid w:val="006378DA"/>
    <w:rsid w:val="00643878"/>
    <w:rsid w:val="006463A0"/>
    <w:rsid w:val="00646DF8"/>
    <w:rsid w:val="006522CA"/>
    <w:rsid w:val="006572EC"/>
    <w:rsid w:val="00662ABA"/>
    <w:rsid w:val="00663251"/>
    <w:rsid w:val="00664706"/>
    <w:rsid w:val="00671D9E"/>
    <w:rsid w:val="0067334E"/>
    <w:rsid w:val="00673D8B"/>
    <w:rsid w:val="006741EF"/>
    <w:rsid w:val="006755AE"/>
    <w:rsid w:val="0067743C"/>
    <w:rsid w:val="00685DE6"/>
    <w:rsid w:val="00685E57"/>
    <w:rsid w:val="00686D13"/>
    <w:rsid w:val="00686FA6"/>
    <w:rsid w:val="00690B3D"/>
    <w:rsid w:val="006931EC"/>
    <w:rsid w:val="00697091"/>
    <w:rsid w:val="006A467B"/>
    <w:rsid w:val="006A59C3"/>
    <w:rsid w:val="006A7C20"/>
    <w:rsid w:val="006B28FD"/>
    <w:rsid w:val="006B42CB"/>
    <w:rsid w:val="006C020F"/>
    <w:rsid w:val="006C0D63"/>
    <w:rsid w:val="006C1A58"/>
    <w:rsid w:val="006C5A31"/>
    <w:rsid w:val="006D28C9"/>
    <w:rsid w:val="006D3840"/>
    <w:rsid w:val="006D3AD1"/>
    <w:rsid w:val="006D734A"/>
    <w:rsid w:val="006E0632"/>
    <w:rsid w:val="006E0C76"/>
    <w:rsid w:val="006E180C"/>
    <w:rsid w:val="006E3E08"/>
    <w:rsid w:val="006E5C56"/>
    <w:rsid w:val="006F2B36"/>
    <w:rsid w:val="006F737A"/>
    <w:rsid w:val="0070129F"/>
    <w:rsid w:val="00701EF5"/>
    <w:rsid w:val="00703A9F"/>
    <w:rsid w:val="00704119"/>
    <w:rsid w:val="00704D01"/>
    <w:rsid w:val="00711F84"/>
    <w:rsid w:val="0071253D"/>
    <w:rsid w:val="0071255D"/>
    <w:rsid w:val="00715D55"/>
    <w:rsid w:val="007161A4"/>
    <w:rsid w:val="00725099"/>
    <w:rsid w:val="00725B83"/>
    <w:rsid w:val="00727B4D"/>
    <w:rsid w:val="00732398"/>
    <w:rsid w:val="00734138"/>
    <w:rsid w:val="00737D9C"/>
    <w:rsid w:val="007443AC"/>
    <w:rsid w:val="00744BE6"/>
    <w:rsid w:val="007454D1"/>
    <w:rsid w:val="00746B86"/>
    <w:rsid w:val="00750810"/>
    <w:rsid w:val="0075540A"/>
    <w:rsid w:val="00755F9F"/>
    <w:rsid w:val="007562D5"/>
    <w:rsid w:val="00762415"/>
    <w:rsid w:val="00762913"/>
    <w:rsid w:val="00763CA7"/>
    <w:rsid w:val="00763D71"/>
    <w:rsid w:val="00765E1B"/>
    <w:rsid w:val="00766571"/>
    <w:rsid w:val="00766F5C"/>
    <w:rsid w:val="00770EFE"/>
    <w:rsid w:val="00771207"/>
    <w:rsid w:val="00772148"/>
    <w:rsid w:val="00773A75"/>
    <w:rsid w:val="0077449E"/>
    <w:rsid w:val="00774F8E"/>
    <w:rsid w:val="0077633D"/>
    <w:rsid w:val="00783533"/>
    <w:rsid w:val="00786282"/>
    <w:rsid w:val="007904B8"/>
    <w:rsid w:val="007906C2"/>
    <w:rsid w:val="00792CE9"/>
    <w:rsid w:val="007956CF"/>
    <w:rsid w:val="00795E1E"/>
    <w:rsid w:val="0079745E"/>
    <w:rsid w:val="007A2D9B"/>
    <w:rsid w:val="007A3758"/>
    <w:rsid w:val="007A4018"/>
    <w:rsid w:val="007A4A83"/>
    <w:rsid w:val="007B4A1E"/>
    <w:rsid w:val="007B4DAF"/>
    <w:rsid w:val="007C0440"/>
    <w:rsid w:val="007C2F48"/>
    <w:rsid w:val="007C3366"/>
    <w:rsid w:val="007D0000"/>
    <w:rsid w:val="007D20DF"/>
    <w:rsid w:val="007D23B2"/>
    <w:rsid w:val="007D2B1F"/>
    <w:rsid w:val="007D360A"/>
    <w:rsid w:val="007D7AD3"/>
    <w:rsid w:val="007D7EAC"/>
    <w:rsid w:val="007E0A37"/>
    <w:rsid w:val="007E5758"/>
    <w:rsid w:val="007E773A"/>
    <w:rsid w:val="007F0F9D"/>
    <w:rsid w:val="007F3456"/>
    <w:rsid w:val="007F5C50"/>
    <w:rsid w:val="007F6E11"/>
    <w:rsid w:val="00802613"/>
    <w:rsid w:val="00805222"/>
    <w:rsid w:val="00805CFD"/>
    <w:rsid w:val="00805E31"/>
    <w:rsid w:val="0080604B"/>
    <w:rsid w:val="008064C3"/>
    <w:rsid w:val="008069B8"/>
    <w:rsid w:val="00813722"/>
    <w:rsid w:val="0081532D"/>
    <w:rsid w:val="00816483"/>
    <w:rsid w:val="00817770"/>
    <w:rsid w:val="00817FE2"/>
    <w:rsid w:val="008228DA"/>
    <w:rsid w:val="0082503F"/>
    <w:rsid w:val="008266DC"/>
    <w:rsid w:val="00826B8C"/>
    <w:rsid w:val="00827678"/>
    <w:rsid w:val="00827BA8"/>
    <w:rsid w:val="00841682"/>
    <w:rsid w:val="00845B47"/>
    <w:rsid w:val="00851FCA"/>
    <w:rsid w:val="008558DA"/>
    <w:rsid w:val="00856DEA"/>
    <w:rsid w:val="008575CF"/>
    <w:rsid w:val="00866207"/>
    <w:rsid w:val="00866F60"/>
    <w:rsid w:val="008675B6"/>
    <w:rsid w:val="0087384A"/>
    <w:rsid w:val="00875163"/>
    <w:rsid w:val="008751AC"/>
    <w:rsid w:val="00876F54"/>
    <w:rsid w:val="00890A16"/>
    <w:rsid w:val="00891CB8"/>
    <w:rsid w:val="008959F6"/>
    <w:rsid w:val="00896C9C"/>
    <w:rsid w:val="008A1F73"/>
    <w:rsid w:val="008A2EDD"/>
    <w:rsid w:val="008A50C1"/>
    <w:rsid w:val="008A7F2D"/>
    <w:rsid w:val="008B19A8"/>
    <w:rsid w:val="008B262F"/>
    <w:rsid w:val="008B3888"/>
    <w:rsid w:val="008B5798"/>
    <w:rsid w:val="008B7ECB"/>
    <w:rsid w:val="008B7FC4"/>
    <w:rsid w:val="008C069D"/>
    <w:rsid w:val="008C1520"/>
    <w:rsid w:val="008C301A"/>
    <w:rsid w:val="008C571F"/>
    <w:rsid w:val="008C6648"/>
    <w:rsid w:val="008C6952"/>
    <w:rsid w:val="008D2772"/>
    <w:rsid w:val="008D6C41"/>
    <w:rsid w:val="008D7958"/>
    <w:rsid w:val="008E002A"/>
    <w:rsid w:val="008E33B9"/>
    <w:rsid w:val="008E4F53"/>
    <w:rsid w:val="008E6F77"/>
    <w:rsid w:val="008F0B43"/>
    <w:rsid w:val="008F1CE1"/>
    <w:rsid w:val="00902D10"/>
    <w:rsid w:val="00904B60"/>
    <w:rsid w:val="009050F1"/>
    <w:rsid w:val="00905A45"/>
    <w:rsid w:val="00907AAF"/>
    <w:rsid w:val="00910998"/>
    <w:rsid w:val="00911763"/>
    <w:rsid w:val="00916366"/>
    <w:rsid w:val="00916F4E"/>
    <w:rsid w:val="00917C50"/>
    <w:rsid w:val="0092022F"/>
    <w:rsid w:val="009202F0"/>
    <w:rsid w:val="00924789"/>
    <w:rsid w:val="00924FFA"/>
    <w:rsid w:val="00926DDA"/>
    <w:rsid w:val="00926EC4"/>
    <w:rsid w:val="0093049C"/>
    <w:rsid w:val="0093273F"/>
    <w:rsid w:val="009344B8"/>
    <w:rsid w:val="0093576B"/>
    <w:rsid w:val="00936185"/>
    <w:rsid w:val="00936DDE"/>
    <w:rsid w:val="009434F2"/>
    <w:rsid w:val="0094450D"/>
    <w:rsid w:val="0094609C"/>
    <w:rsid w:val="00947191"/>
    <w:rsid w:val="00950F5C"/>
    <w:rsid w:val="00951397"/>
    <w:rsid w:val="00951D19"/>
    <w:rsid w:val="00951FE9"/>
    <w:rsid w:val="0095354D"/>
    <w:rsid w:val="00953D9B"/>
    <w:rsid w:val="00956031"/>
    <w:rsid w:val="00961596"/>
    <w:rsid w:val="0096258C"/>
    <w:rsid w:val="009663F5"/>
    <w:rsid w:val="0097212D"/>
    <w:rsid w:val="009751D6"/>
    <w:rsid w:val="009757FC"/>
    <w:rsid w:val="009763E5"/>
    <w:rsid w:val="009764B5"/>
    <w:rsid w:val="009767D9"/>
    <w:rsid w:val="00983B76"/>
    <w:rsid w:val="009852C6"/>
    <w:rsid w:val="00990378"/>
    <w:rsid w:val="00995445"/>
    <w:rsid w:val="009959A2"/>
    <w:rsid w:val="0099735F"/>
    <w:rsid w:val="009A395A"/>
    <w:rsid w:val="009B15CA"/>
    <w:rsid w:val="009B1B69"/>
    <w:rsid w:val="009B53EF"/>
    <w:rsid w:val="009B66F9"/>
    <w:rsid w:val="009B67A6"/>
    <w:rsid w:val="009C39F1"/>
    <w:rsid w:val="009C6833"/>
    <w:rsid w:val="009D318C"/>
    <w:rsid w:val="009E0E9E"/>
    <w:rsid w:val="009E1E2A"/>
    <w:rsid w:val="009E26CB"/>
    <w:rsid w:val="009F0A33"/>
    <w:rsid w:val="009F2F9C"/>
    <w:rsid w:val="009F35A1"/>
    <w:rsid w:val="009F7B6A"/>
    <w:rsid w:val="00A00533"/>
    <w:rsid w:val="00A009DA"/>
    <w:rsid w:val="00A01093"/>
    <w:rsid w:val="00A018FB"/>
    <w:rsid w:val="00A063D6"/>
    <w:rsid w:val="00A07472"/>
    <w:rsid w:val="00A10AAE"/>
    <w:rsid w:val="00A117FE"/>
    <w:rsid w:val="00A12A52"/>
    <w:rsid w:val="00A1474C"/>
    <w:rsid w:val="00A16041"/>
    <w:rsid w:val="00A206FB"/>
    <w:rsid w:val="00A22464"/>
    <w:rsid w:val="00A24513"/>
    <w:rsid w:val="00A279EE"/>
    <w:rsid w:val="00A27E16"/>
    <w:rsid w:val="00A30B78"/>
    <w:rsid w:val="00A31306"/>
    <w:rsid w:val="00A31AA0"/>
    <w:rsid w:val="00A356D9"/>
    <w:rsid w:val="00A3722A"/>
    <w:rsid w:val="00A401BB"/>
    <w:rsid w:val="00A4024C"/>
    <w:rsid w:val="00A41702"/>
    <w:rsid w:val="00A41AAD"/>
    <w:rsid w:val="00A43382"/>
    <w:rsid w:val="00A43D15"/>
    <w:rsid w:val="00A43EA6"/>
    <w:rsid w:val="00A50748"/>
    <w:rsid w:val="00A50E3D"/>
    <w:rsid w:val="00A53E49"/>
    <w:rsid w:val="00A5404C"/>
    <w:rsid w:val="00A54B7B"/>
    <w:rsid w:val="00A55EB9"/>
    <w:rsid w:val="00A562C5"/>
    <w:rsid w:val="00A5782C"/>
    <w:rsid w:val="00A57B83"/>
    <w:rsid w:val="00A61BA4"/>
    <w:rsid w:val="00A65B1B"/>
    <w:rsid w:val="00A727E2"/>
    <w:rsid w:val="00A741FA"/>
    <w:rsid w:val="00A7501A"/>
    <w:rsid w:val="00A77606"/>
    <w:rsid w:val="00A7785E"/>
    <w:rsid w:val="00A82676"/>
    <w:rsid w:val="00A84126"/>
    <w:rsid w:val="00A84547"/>
    <w:rsid w:val="00A8572C"/>
    <w:rsid w:val="00A8610B"/>
    <w:rsid w:val="00A91D30"/>
    <w:rsid w:val="00A93963"/>
    <w:rsid w:val="00A942A1"/>
    <w:rsid w:val="00A94FC7"/>
    <w:rsid w:val="00A9547E"/>
    <w:rsid w:val="00A97732"/>
    <w:rsid w:val="00AA3576"/>
    <w:rsid w:val="00AA52B0"/>
    <w:rsid w:val="00AA5388"/>
    <w:rsid w:val="00AA621C"/>
    <w:rsid w:val="00AA6580"/>
    <w:rsid w:val="00AA6F27"/>
    <w:rsid w:val="00AB057C"/>
    <w:rsid w:val="00AB0B76"/>
    <w:rsid w:val="00AB28A4"/>
    <w:rsid w:val="00AB685A"/>
    <w:rsid w:val="00AB6869"/>
    <w:rsid w:val="00AB6F8B"/>
    <w:rsid w:val="00AB7080"/>
    <w:rsid w:val="00AB7FA4"/>
    <w:rsid w:val="00AC064B"/>
    <w:rsid w:val="00AC21ED"/>
    <w:rsid w:val="00AC7F09"/>
    <w:rsid w:val="00AD2F42"/>
    <w:rsid w:val="00AD6533"/>
    <w:rsid w:val="00AD7AF1"/>
    <w:rsid w:val="00AE2646"/>
    <w:rsid w:val="00AE47E0"/>
    <w:rsid w:val="00AE7250"/>
    <w:rsid w:val="00AF18DF"/>
    <w:rsid w:val="00AF344B"/>
    <w:rsid w:val="00AF4F37"/>
    <w:rsid w:val="00AF5DDC"/>
    <w:rsid w:val="00B0208F"/>
    <w:rsid w:val="00B10EE0"/>
    <w:rsid w:val="00B203FA"/>
    <w:rsid w:val="00B2247E"/>
    <w:rsid w:val="00B24D1D"/>
    <w:rsid w:val="00B26235"/>
    <w:rsid w:val="00B26E90"/>
    <w:rsid w:val="00B274FB"/>
    <w:rsid w:val="00B31828"/>
    <w:rsid w:val="00B3193A"/>
    <w:rsid w:val="00B31BE8"/>
    <w:rsid w:val="00B32904"/>
    <w:rsid w:val="00B32C5C"/>
    <w:rsid w:val="00B337A2"/>
    <w:rsid w:val="00B33928"/>
    <w:rsid w:val="00B34EE8"/>
    <w:rsid w:val="00B34F38"/>
    <w:rsid w:val="00B35C47"/>
    <w:rsid w:val="00B37C92"/>
    <w:rsid w:val="00B46DCB"/>
    <w:rsid w:val="00B51171"/>
    <w:rsid w:val="00B54CEE"/>
    <w:rsid w:val="00B54D19"/>
    <w:rsid w:val="00B552B4"/>
    <w:rsid w:val="00B57AA0"/>
    <w:rsid w:val="00B61806"/>
    <w:rsid w:val="00B61B87"/>
    <w:rsid w:val="00B6322A"/>
    <w:rsid w:val="00B70439"/>
    <w:rsid w:val="00B7131E"/>
    <w:rsid w:val="00B742C4"/>
    <w:rsid w:val="00B74C7A"/>
    <w:rsid w:val="00B74F39"/>
    <w:rsid w:val="00B74F43"/>
    <w:rsid w:val="00B754B7"/>
    <w:rsid w:val="00B75C08"/>
    <w:rsid w:val="00B822E1"/>
    <w:rsid w:val="00B865A1"/>
    <w:rsid w:val="00B9015A"/>
    <w:rsid w:val="00B949A4"/>
    <w:rsid w:val="00B958C4"/>
    <w:rsid w:val="00B967AB"/>
    <w:rsid w:val="00B97117"/>
    <w:rsid w:val="00B978BA"/>
    <w:rsid w:val="00BA2AB1"/>
    <w:rsid w:val="00BA2C2C"/>
    <w:rsid w:val="00BA60CB"/>
    <w:rsid w:val="00BA6CA1"/>
    <w:rsid w:val="00BB571E"/>
    <w:rsid w:val="00BB7B2B"/>
    <w:rsid w:val="00BC00C3"/>
    <w:rsid w:val="00BC4F31"/>
    <w:rsid w:val="00BD0658"/>
    <w:rsid w:val="00BD0F0B"/>
    <w:rsid w:val="00BD2D47"/>
    <w:rsid w:val="00BD4930"/>
    <w:rsid w:val="00BD5CD4"/>
    <w:rsid w:val="00BD6ABA"/>
    <w:rsid w:val="00BD6BEB"/>
    <w:rsid w:val="00BE2A8E"/>
    <w:rsid w:val="00BE4C1E"/>
    <w:rsid w:val="00BE5317"/>
    <w:rsid w:val="00BE63B1"/>
    <w:rsid w:val="00BF12D9"/>
    <w:rsid w:val="00BF3F43"/>
    <w:rsid w:val="00BF4F61"/>
    <w:rsid w:val="00BF5A6E"/>
    <w:rsid w:val="00C0059B"/>
    <w:rsid w:val="00C006F3"/>
    <w:rsid w:val="00C00B4D"/>
    <w:rsid w:val="00C00F4F"/>
    <w:rsid w:val="00C01581"/>
    <w:rsid w:val="00C04320"/>
    <w:rsid w:val="00C04C8D"/>
    <w:rsid w:val="00C05404"/>
    <w:rsid w:val="00C05CF9"/>
    <w:rsid w:val="00C06112"/>
    <w:rsid w:val="00C1193D"/>
    <w:rsid w:val="00C119B9"/>
    <w:rsid w:val="00C11A07"/>
    <w:rsid w:val="00C12F52"/>
    <w:rsid w:val="00C1493D"/>
    <w:rsid w:val="00C16C56"/>
    <w:rsid w:val="00C175A8"/>
    <w:rsid w:val="00C17FF6"/>
    <w:rsid w:val="00C217D0"/>
    <w:rsid w:val="00C328D8"/>
    <w:rsid w:val="00C33B0B"/>
    <w:rsid w:val="00C3519B"/>
    <w:rsid w:val="00C4087B"/>
    <w:rsid w:val="00C44F55"/>
    <w:rsid w:val="00C47EA4"/>
    <w:rsid w:val="00C501CB"/>
    <w:rsid w:val="00C54D7C"/>
    <w:rsid w:val="00C57299"/>
    <w:rsid w:val="00C6452F"/>
    <w:rsid w:val="00C66224"/>
    <w:rsid w:val="00C725A9"/>
    <w:rsid w:val="00C72CFC"/>
    <w:rsid w:val="00C8470A"/>
    <w:rsid w:val="00C86A0B"/>
    <w:rsid w:val="00C86B56"/>
    <w:rsid w:val="00C86FB0"/>
    <w:rsid w:val="00C874E5"/>
    <w:rsid w:val="00C90AAB"/>
    <w:rsid w:val="00C9247C"/>
    <w:rsid w:val="00C932E9"/>
    <w:rsid w:val="00C97460"/>
    <w:rsid w:val="00CA2870"/>
    <w:rsid w:val="00CB3FEF"/>
    <w:rsid w:val="00CB5067"/>
    <w:rsid w:val="00CC1F0B"/>
    <w:rsid w:val="00CC2485"/>
    <w:rsid w:val="00CC2EB7"/>
    <w:rsid w:val="00CC480B"/>
    <w:rsid w:val="00CC4EAB"/>
    <w:rsid w:val="00CC5242"/>
    <w:rsid w:val="00CC60A5"/>
    <w:rsid w:val="00CD38A7"/>
    <w:rsid w:val="00CD48AA"/>
    <w:rsid w:val="00CD7F81"/>
    <w:rsid w:val="00CE5A51"/>
    <w:rsid w:val="00CE5D54"/>
    <w:rsid w:val="00CE779B"/>
    <w:rsid w:val="00CF1D27"/>
    <w:rsid w:val="00CF215F"/>
    <w:rsid w:val="00CF38F7"/>
    <w:rsid w:val="00CF3E47"/>
    <w:rsid w:val="00CF5EEC"/>
    <w:rsid w:val="00CF785C"/>
    <w:rsid w:val="00D05561"/>
    <w:rsid w:val="00D065FF"/>
    <w:rsid w:val="00D06D22"/>
    <w:rsid w:val="00D072EB"/>
    <w:rsid w:val="00D13040"/>
    <w:rsid w:val="00D179F4"/>
    <w:rsid w:val="00D20B3A"/>
    <w:rsid w:val="00D22DEE"/>
    <w:rsid w:val="00D242DB"/>
    <w:rsid w:val="00D24CD1"/>
    <w:rsid w:val="00D304C8"/>
    <w:rsid w:val="00D310CA"/>
    <w:rsid w:val="00D317D7"/>
    <w:rsid w:val="00D36139"/>
    <w:rsid w:val="00D36254"/>
    <w:rsid w:val="00D379A6"/>
    <w:rsid w:val="00D40CA8"/>
    <w:rsid w:val="00D4303F"/>
    <w:rsid w:val="00D444DD"/>
    <w:rsid w:val="00D47B68"/>
    <w:rsid w:val="00D50023"/>
    <w:rsid w:val="00D5096B"/>
    <w:rsid w:val="00D52F19"/>
    <w:rsid w:val="00D5324C"/>
    <w:rsid w:val="00D60D96"/>
    <w:rsid w:val="00D6583C"/>
    <w:rsid w:val="00D658BC"/>
    <w:rsid w:val="00D67DB2"/>
    <w:rsid w:val="00D7068D"/>
    <w:rsid w:val="00D76579"/>
    <w:rsid w:val="00D80478"/>
    <w:rsid w:val="00D806D4"/>
    <w:rsid w:val="00D84D6F"/>
    <w:rsid w:val="00D86852"/>
    <w:rsid w:val="00D91B29"/>
    <w:rsid w:val="00D951FD"/>
    <w:rsid w:val="00D961E8"/>
    <w:rsid w:val="00DA31A7"/>
    <w:rsid w:val="00DA69F2"/>
    <w:rsid w:val="00DA70B8"/>
    <w:rsid w:val="00DA7207"/>
    <w:rsid w:val="00DB2870"/>
    <w:rsid w:val="00DB5407"/>
    <w:rsid w:val="00DB7D5D"/>
    <w:rsid w:val="00DC23E0"/>
    <w:rsid w:val="00DC5186"/>
    <w:rsid w:val="00DC5C5E"/>
    <w:rsid w:val="00DC79F7"/>
    <w:rsid w:val="00DD142F"/>
    <w:rsid w:val="00DE03AE"/>
    <w:rsid w:val="00DE0BC3"/>
    <w:rsid w:val="00DE2067"/>
    <w:rsid w:val="00DE2BF2"/>
    <w:rsid w:val="00DF13B3"/>
    <w:rsid w:val="00DF1815"/>
    <w:rsid w:val="00DF25E5"/>
    <w:rsid w:val="00DF2D59"/>
    <w:rsid w:val="00DF7312"/>
    <w:rsid w:val="00E0024B"/>
    <w:rsid w:val="00E018C1"/>
    <w:rsid w:val="00E01E7F"/>
    <w:rsid w:val="00E02295"/>
    <w:rsid w:val="00E031D6"/>
    <w:rsid w:val="00E03BFA"/>
    <w:rsid w:val="00E05B89"/>
    <w:rsid w:val="00E11C56"/>
    <w:rsid w:val="00E1282F"/>
    <w:rsid w:val="00E13456"/>
    <w:rsid w:val="00E22CC2"/>
    <w:rsid w:val="00E23B58"/>
    <w:rsid w:val="00E23E84"/>
    <w:rsid w:val="00E257DE"/>
    <w:rsid w:val="00E34616"/>
    <w:rsid w:val="00E356DD"/>
    <w:rsid w:val="00E36579"/>
    <w:rsid w:val="00E36719"/>
    <w:rsid w:val="00E4779E"/>
    <w:rsid w:val="00E47C9B"/>
    <w:rsid w:val="00E546BE"/>
    <w:rsid w:val="00E54FF5"/>
    <w:rsid w:val="00E635DE"/>
    <w:rsid w:val="00E63AF1"/>
    <w:rsid w:val="00E63C51"/>
    <w:rsid w:val="00E64543"/>
    <w:rsid w:val="00E64D21"/>
    <w:rsid w:val="00E70CA1"/>
    <w:rsid w:val="00E71DDA"/>
    <w:rsid w:val="00E729C9"/>
    <w:rsid w:val="00E738B5"/>
    <w:rsid w:val="00E740EE"/>
    <w:rsid w:val="00E755C1"/>
    <w:rsid w:val="00E768FB"/>
    <w:rsid w:val="00E80BF7"/>
    <w:rsid w:val="00E824D1"/>
    <w:rsid w:val="00E82E16"/>
    <w:rsid w:val="00E84B0F"/>
    <w:rsid w:val="00E86571"/>
    <w:rsid w:val="00E9019E"/>
    <w:rsid w:val="00E90498"/>
    <w:rsid w:val="00E913DF"/>
    <w:rsid w:val="00E92163"/>
    <w:rsid w:val="00E97781"/>
    <w:rsid w:val="00EA1372"/>
    <w:rsid w:val="00EA14F2"/>
    <w:rsid w:val="00EA59F1"/>
    <w:rsid w:val="00EB263C"/>
    <w:rsid w:val="00EB3A6C"/>
    <w:rsid w:val="00EB3C25"/>
    <w:rsid w:val="00EB5488"/>
    <w:rsid w:val="00EB71C3"/>
    <w:rsid w:val="00EC0BF0"/>
    <w:rsid w:val="00EC0DB5"/>
    <w:rsid w:val="00EC3156"/>
    <w:rsid w:val="00EC3172"/>
    <w:rsid w:val="00EC3C0A"/>
    <w:rsid w:val="00ED283D"/>
    <w:rsid w:val="00ED3A3B"/>
    <w:rsid w:val="00EE1774"/>
    <w:rsid w:val="00EE1E3F"/>
    <w:rsid w:val="00EE36BF"/>
    <w:rsid w:val="00EE3D69"/>
    <w:rsid w:val="00EE432B"/>
    <w:rsid w:val="00EE5C30"/>
    <w:rsid w:val="00EF3539"/>
    <w:rsid w:val="00EF4359"/>
    <w:rsid w:val="00F014D0"/>
    <w:rsid w:val="00F02835"/>
    <w:rsid w:val="00F10EAA"/>
    <w:rsid w:val="00F12296"/>
    <w:rsid w:val="00F129A7"/>
    <w:rsid w:val="00F12ACB"/>
    <w:rsid w:val="00F175F0"/>
    <w:rsid w:val="00F216FB"/>
    <w:rsid w:val="00F30C81"/>
    <w:rsid w:val="00F329D4"/>
    <w:rsid w:val="00F420AA"/>
    <w:rsid w:val="00F45E96"/>
    <w:rsid w:val="00F476B7"/>
    <w:rsid w:val="00F501A3"/>
    <w:rsid w:val="00F50E77"/>
    <w:rsid w:val="00F5533A"/>
    <w:rsid w:val="00F56F09"/>
    <w:rsid w:val="00F62ABE"/>
    <w:rsid w:val="00F669B6"/>
    <w:rsid w:val="00F7025B"/>
    <w:rsid w:val="00F70A91"/>
    <w:rsid w:val="00F72BA2"/>
    <w:rsid w:val="00F76C1B"/>
    <w:rsid w:val="00F77E8C"/>
    <w:rsid w:val="00F845C5"/>
    <w:rsid w:val="00F85F64"/>
    <w:rsid w:val="00F86CE3"/>
    <w:rsid w:val="00F87135"/>
    <w:rsid w:val="00F872A9"/>
    <w:rsid w:val="00F93933"/>
    <w:rsid w:val="00F965C9"/>
    <w:rsid w:val="00FA0786"/>
    <w:rsid w:val="00FA4248"/>
    <w:rsid w:val="00FA4C53"/>
    <w:rsid w:val="00FA57FA"/>
    <w:rsid w:val="00FA7405"/>
    <w:rsid w:val="00FA77A9"/>
    <w:rsid w:val="00FB0438"/>
    <w:rsid w:val="00FB4A82"/>
    <w:rsid w:val="00FB5C4B"/>
    <w:rsid w:val="00FB6AA8"/>
    <w:rsid w:val="00FB720E"/>
    <w:rsid w:val="00FC0372"/>
    <w:rsid w:val="00FC4468"/>
    <w:rsid w:val="00FD6F9E"/>
    <w:rsid w:val="00FE188C"/>
    <w:rsid w:val="00FE53CC"/>
    <w:rsid w:val="00FF0783"/>
    <w:rsid w:val="00FF0F8E"/>
    <w:rsid w:val="00FF156D"/>
    <w:rsid w:val="00FF257E"/>
    <w:rsid w:val="00FF4140"/>
    <w:rsid w:val="00FF568D"/>
    <w:rsid w:val="00FF6B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basedOn w:val="DefaultParagraphFont"/>
    <w:semiHidden/>
    <w:rsid w:val="00876F54"/>
    <w:rPr>
      <w:color w:val="0000FF"/>
      <w:u w:val="single"/>
    </w:rPr>
  </w:style>
  <w:style w:type="character" w:styleId="FollowedHyperlink">
    <w:name w:val="FollowedHyperlink"/>
    <w:basedOn w:val="DefaultParagraphFont"/>
    <w:semiHidden/>
    <w:rsid w:val="00876F54"/>
    <w:rPr>
      <w:color w:val="800080"/>
      <w:u w:val="single"/>
    </w:rPr>
  </w:style>
  <w:style w:type="paragraph" w:styleId="CommentText">
    <w:name w:val="annotation text"/>
    <w:basedOn w:val="Normal"/>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basedOn w:val="DefaultParagraphFont"/>
    <w:semiHidden/>
    <w:rsid w:val="00876F54"/>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basedOn w:val="DefaultParagraphFont"/>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basedOn w:val="DefaultParagraphFont"/>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basedOn w:val="DefaultParagraphFont"/>
    <w:link w:val="BalloonText"/>
    <w:rsid w:val="000B2EAA"/>
    <w:rPr>
      <w:rFonts w:ascii="Tahoma" w:hAnsi="Tahoma" w:cs="Tahoma"/>
      <w:sz w:val="16"/>
      <w:szCs w:val="16"/>
      <w:lang w:eastAsia="ar-SA"/>
    </w:rPr>
  </w:style>
  <w:style w:type="character" w:customStyle="1" w:styleId="Heading3Char">
    <w:name w:val="Heading 3 Char"/>
    <w:basedOn w:val="DefaultParagraphFont"/>
    <w:link w:val="Heading3"/>
    <w:rsid w:val="00C328D8"/>
    <w:rPr>
      <w:rFonts w:cs="Simplified Arabic"/>
      <w:b/>
      <w:bCs/>
      <w:sz w:val="22"/>
      <w:szCs w:val="22"/>
      <w:lang w:eastAsia="ar-SA"/>
    </w:rPr>
  </w:style>
  <w:style w:type="table" w:styleId="TableGrid">
    <w:name w:val="Table Grid"/>
    <w:basedOn w:val="TableNormal"/>
    <w:rsid w:val="002F3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E0024B"/>
    <w:rPr>
      <w:rFonts w:cs="Simplified Arabic"/>
      <w:snapToGrid w:val="0"/>
    </w:rPr>
  </w:style>
  <w:style w:type="character" w:customStyle="1" w:styleId="Heading1Char">
    <w:name w:val="Heading 1 Char"/>
    <w:basedOn w:val="DefaultParagraphFont"/>
    <w:link w:val="Heading1"/>
    <w:rsid w:val="00685E57"/>
    <w:rPr>
      <w:b/>
      <w:bCs/>
      <w:sz w:val="24"/>
      <w:szCs w:val="24"/>
      <w:lang w:eastAsia="ar-SA"/>
    </w:rPr>
  </w:style>
  <w:style w:type="character" w:customStyle="1" w:styleId="Heading4Char">
    <w:name w:val="Heading 4 Char"/>
    <w:basedOn w:val="DefaultParagraphFont"/>
    <w:link w:val="Heading4"/>
    <w:rsid w:val="0075540A"/>
    <w:rPr>
      <w:rFonts w:cs="Simplified Arabic"/>
      <w:b/>
      <w:bCs/>
      <w:sz w:val="24"/>
      <w:szCs w:val="24"/>
      <w:lang w:eastAsia="ar-SA"/>
    </w:rPr>
  </w:style>
  <w:style w:type="paragraph" w:styleId="ListParagraph">
    <w:name w:val="List Paragraph"/>
    <w:basedOn w:val="Normal"/>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Default">
    <w:name w:val="Default"/>
    <w:rsid w:val="00E356DD"/>
    <w:pPr>
      <w:widowControl w:val="0"/>
      <w:autoSpaceDE w:val="0"/>
      <w:autoSpaceDN w:val="0"/>
      <w:adjustRightInd w:val="0"/>
    </w:pPr>
    <w:rPr>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787089346">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duc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un.org/sustainabledevelopment/development-agenda/" TargetMode="External"/><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2.44536354171263E-2"/>
          <c:y val="5.8616770102677976E-2"/>
          <c:w val="0.92667235209314258"/>
          <c:h val="0.81164505846362389"/>
        </c:manualLayout>
      </c:layout>
      <c:lineChart>
        <c:grouping val="stacked"/>
        <c:ser>
          <c:idx val="0"/>
          <c:order val="0"/>
          <c:tx>
            <c:strRef>
              <c:f>Sheet1!$A$2</c:f>
              <c:strCache>
                <c:ptCount val="1"/>
                <c:pt idx="0">
                  <c:v>males youth</c:v>
                </c:pt>
              </c:strCache>
            </c:strRef>
          </c:tx>
          <c:dLbls>
            <c:dLbl>
              <c:idx val="0"/>
              <c:layout>
                <c:manualLayout>
                  <c:x val="-2.7777810364548416E-2"/>
                  <c:y val="6.3034188034188032E-2"/>
                </c:manualLayout>
              </c:layout>
              <c:showVal val="1"/>
            </c:dLbl>
            <c:dLbl>
              <c:idx val="1"/>
              <c:layout>
                <c:manualLayout>
                  <c:x val="-2.5462962962963236E-2"/>
                  <c:y val="7.1428571428571494E-2"/>
                </c:manualLayout>
              </c:layout>
              <c:showVal val="1"/>
            </c:dLbl>
            <c:showVal val="1"/>
          </c:dLbls>
          <c:cat>
            <c:strRef>
              <c:f>Sheet1!$B$1:$C$1</c:f>
              <c:strCache>
                <c:ptCount val="2"/>
                <c:pt idx="0">
                  <c:v>2007</c:v>
                </c:pt>
                <c:pt idx="1">
                  <c:v>2018</c:v>
                </c:pt>
              </c:strCache>
            </c:strRef>
          </c:cat>
          <c:val>
            <c:numRef>
              <c:f>Sheet1!$B$2:$C$2</c:f>
              <c:numCache>
                <c:formatCode>General</c:formatCode>
                <c:ptCount val="2"/>
                <c:pt idx="0">
                  <c:v>10.8</c:v>
                </c:pt>
                <c:pt idx="1">
                  <c:v>12.8</c:v>
                </c:pt>
              </c:numCache>
            </c:numRef>
          </c:val>
        </c:ser>
        <c:ser>
          <c:idx val="1"/>
          <c:order val="1"/>
          <c:tx>
            <c:strRef>
              <c:f>Sheet1!$A$3</c:f>
              <c:strCache>
                <c:ptCount val="1"/>
                <c:pt idx="0">
                  <c:v>females youth</c:v>
                </c:pt>
              </c:strCache>
            </c:strRef>
          </c:tx>
          <c:dLbls>
            <c:dLbl>
              <c:idx val="0"/>
              <c:layout>
                <c:manualLayout>
                  <c:x val="-2.5462962962963236E-2"/>
                  <c:y val="5.5555555555555455E-2"/>
                </c:manualLayout>
              </c:layout>
              <c:showVal val="1"/>
            </c:dLbl>
            <c:showVal val="1"/>
          </c:dLbls>
          <c:cat>
            <c:strRef>
              <c:f>Sheet1!$B$1:$C$1</c:f>
              <c:strCache>
                <c:ptCount val="2"/>
                <c:pt idx="0">
                  <c:v>2007</c:v>
                </c:pt>
                <c:pt idx="1">
                  <c:v>2018</c:v>
                </c:pt>
              </c:strCache>
            </c:strRef>
          </c:cat>
          <c:val>
            <c:numRef>
              <c:f>Sheet1!$B$3:$C$3</c:f>
              <c:numCache>
                <c:formatCode>0.0</c:formatCode>
                <c:ptCount val="2"/>
                <c:pt idx="0" formatCode="General">
                  <c:v>12.9</c:v>
                </c:pt>
                <c:pt idx="1">
                  <c:v>21.8</c:v>
                </c:pt>
              </c:numCache>
            </c:numRef>
          </c:val>
        </c:ser>
        <c:marker val="1"/>
        <c:axId val="51700864"/>
        <c:axId val="51702400"/>
      </c:lineChart>
      <c:catAx>
        <c:axId val="51700864"/>
        <c:scaling>
          <c:orientation val="minMax"/>
        </c:scaling>
        <c:axPos val="b"/>
        <c:tickLblPos val="nextTo"/>
        <c:crossAx val="51702400"/>
        <c:crosses val="autoZero"/>
        <c:auto val="1"/>
        <c:lblAlgn val="ctr"/>
        <c:lblOffset val="100"/>
      </c:catAx>
      <c:valAx>
        <c:axId val="51702400"/>
        <c:scaling>
          <c:orientation val="minMax"/>
        </c:scaling>
        <c:delete val="1"/>
        <c:axPos val="l"/>
        <c:numFmt formatCode="General" sourceLinked="1"/>
        <c:tickLblPos val="none"/>
        <c:crossAx val="51700864"/>
        <c:crosses val="autoZero"/>
        <c:crossBetween val="between"/>
      </c:valAx>
    </c:plotArea>
    <c:legend>
      <c:legendPos val="r"/>
      <c:layout>
        <c:manualLayout>
          <c:xMode val="edge"/>
          <c:yMode val="edge"/>
          <c:x val="0.23085527158764141"/>
          <c:y val="3.9798143480594059E-3"/>
          <c:w val="0.37121738844276031"/>
          <c:h val="0.19272035940429924"/>
        </c:manualLayout>
      </c:layout>
    </c:legend>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0889089384660262"/>
          <c:y val="5.4624943099824706E-2"/>
          <c:w val="0.80923581667676925"/>
          <c:h val="0.78556759740825155"/>
        </c:manualLayout>
      </c:layout>
      <c:barChart>
        <c:barDir val="col"/>
        <c:grouping val="clustered"/>
        <c:ser>
          <c:idx val="0"/>
          <c:order val="0"/>
          <c:tx>
            <c:strRef>
              <c:f>Sheet1!$B$1</c:f>
              <c:strCache>
                <c:ptCount val="1"/>
                <c:pt idx="0">
                  <c:v>Series 1</c:v>
                </c:pt>
              </c:strCache>
            </c:strRef>
          </c:tx>
          <c:dLbls>
            <c:dLbl>
              <c:idx val="0"/>
              <c:tx>
                <c:rich>
                  <a:bodyPr/>
                  <a:lstStyle/>
                  <a:p>
                    <a:r>
                      <a:rPr lang="en-US"/>
                      <a:t>3.2</a:t>
                    </a:r>
                  </a:p>
                </c:rich>
              </c:tx>
              <c:showVal val="1"/>
            </c:dLbl>
            <c:dLbl>
              <c:idx val="1"/>
              <c:tx>
                <c:rich>
                  <a:bodyPr/>
                  <a:lstStyle/>
                  <a:p>
                    <a:r>
                      <a:rPr lang="en-US"/>
                      <a:t>2.5</a:t>
                    </a:r>
                  </a:p>
                </c:rich>
              </c:tx>
              <c:showVal val="1"/>
            </c:dLbl>
            <c:dLbl>
              <c:idx val="2"/>
              <c:tx>
                <c:rich>
                  <a:bodyPr/>
                  <a:lstStyle/>
                  <a:p>
                    <a:r>
                      <a:rPr lang="en-US"/>
                      <a:t>4.2</a:t>
                    </a:r>
                  </a:p>
                </c:rich>
              </c:tx>
              <c:showVal val="1"/>
            </c:dLbl>
            <c:numFmt formatCode="#,##0.00" sourceLinked="0"/>
            <c:showVal val="1"/>
          </c:dLbls>
          <c:cat>
            <c:strRef>
              <c:f>Sheet1!$A$2:$A$4</c:f>
              <c:strCache>
                <c:ptCount val="3"/>
                <c:pt idx="0">
                  <c:v>Palestine </c:v>
                </c:pt>
                <c:pt idx="1">
                  <c:v>West Bank</c:v>
                </c:pt>
                <c:pt idx="2">
                  <c:v>Gaza Strip</c:v>
                </c:pt>
              </c:strCache>
            </c:strRef>
          </c:cat>
          <c:val>
            <c:numRef>
              <c:f>Sheet1!$B$2:$B$4</c:f>
              <c:numCache>
                <c:formatCode>0.0</c:formatCode>
                <c:ptCount val="3"/>
                <c:pt idx="0">
                  <c:v>3.1</c:v>
                </c:pt>
                <c:pt idx="1">
                  <c:v>2.5</c:v>
                </c:pt>
                <c:pt idx="2">
                  <c:v>4</c:v>
                </c:pt>
              </c:numCache>
            </c:numRef>
          </c:val>
        </c:ser>
        <c:axId val="51677440"/>
        <c:axId val="51851264"/>
      </c:barChart>
      <c:catAx>
        <c:axId val="51677440"/>
        <c:scaling>
          <c:orientation val="minMax"/>
        </c:scaling>
        <c:axPos val="b"/>
        <c:tickLblPos val="nextTo"/>
        <c:crossAx val="51851264"/>
        <c:crosses val="autoZero"/>
        <c:auto val="1"/>
        <c:lblAlgn val="ctr"/>
        <c:lblOffset val="100"/>
      </c:catAx>
      <c:valAx>
        <c:axId val="51851264"/>
        <c:scaling>
          <c:orientation val="minMax"/>
        </c:scaling>
        <c:delete val="1"/>
        <c:axPos val="l"/>
        <c:numFmt formatCode="0.0" sourceLinked="1"/>
        <c:tickLblPos val="none"/>
        <c:crossAx val="51677440"/>
        <c:crosses val="autoZero"/>
        <c:crossBetween val="between"/>
      </c:valAx>
      <c:spPr>
        <a:ln>
          <a:noFill/>
        </a:ln>
      </c:spPr>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53278-F9F1-45E7-BDC3-071C30C3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hbadran</cp:lastModifiedBy>
  <cp:revision>2</cp:revision>
  <cp:lastPrinted>2019-08-08T10:40:00Z</cp:lastPrinted>
  <dcterms:created xsi:type="dcterms:W3CDTF">2019-08-08T10:41:00Z</dcterms:created>
  <dcterms:modified xsi:type="dcterms:W3CDTF">2019-08-08T10:41:00Z</dcterms:modified>
</cp:coreProperties>
</file>