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AC" w:rsidRPr="00F149B2" w:rsidRDefault="006845AC" w:rsidP="006119AB">
      <w:pPr>
        <w:tabs>
          <w:tab w:val="left" w:pos="1315"/>
        </w:tabs>
        <w:jc w:val="both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6119AB" w:rsidRDefault="006119AB" w:rsidP="006119AB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6119AB" w:rsidRDefault="006119AB" w:rsidP="006119AB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4221C5" w:rsidRPr="006119AB" w:rsidRDefault="006119AB" w:rsidP="006119AB">
      <w:pPr>
        <w:bidi/>
        <w:jc w:val="center"/>
        <w:rPr>
          <w:rFonts w:asciiTheme="majorBidi" w:hAnsiTheme="majorBidi" w:cstheme="majorBidi"/>
          <w:b w:val="0"/>
          <w:bCs/>
          <w:sz w:val="16"/>
          <w:szCs w:val="16"/>
        </w:rPr>
      </w:pPr>
      <w:r>
        <w:rPr>
          <w:rFonts w:asciiTheme="majorBidi" w:hAnsiTheme="majorBidi" w:cstheme="majorBidi" w:hint="cs"/>
          <w:b w:val="0"/>
          <w:bCs/>
          <w:i w:val="0"/>
          <w:iCs/>
          <w:rtl/>
        </w:rPr>
        <w:t xml:space="preserve"> </w:t>
      </w:r>
    </w:p>
    <w:p w:rsidR="00DC292C" w:rsidRPr="006119AB" w:rsidRDefault="00DC292C" w:rsidP="006119AB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The Net Stock of the International Investment Position (IIP) amounted to USD </w:t>
      </w:r>
      <w:r w:rsidR="00327B47" w:rsidRPr="006119AB">
        <w:rPr>
          <w:rFonts w:asciiTheme="majorBidi" w:hAnsiTheme="majorBidi" w:cstheme="majorBidi"/>
          <w:i w:val="0"/>
          <w:iCs/>
          <w:sz w:val="28"/>
          <w:szCs w:val="28"/>
        </w:rPr>
        <w:t>3,</w:t>
      </w:r>
      <w:r w:rsidR="00D86AB4" w:rsidRPr="006119AB">
        <w:rPr>
          <w:rFonts w:asciiTheme="majorBidi" w:hAnsiTheme="majorBidi" w:cstheme="majorBidi"/>
          <w:i w:val="0"/>
          <w:iCs/>
          <w:sz w:val="28"/>
          <w:szCs w:val="28"/>
        </w:rPr>
        <w:t>360</w:t>
      </w: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million at the End of the </w:t>
      </w:r>
      <w:r w:rsidR="00D86AB4" w:rsidRPr="006119AB">
        <w:rPr>
          <w:rFonts w:asciiTheme="majorBidi" w:hAnsiTheme="majorBidi" w:cstheme="majorBidi"/>
          <w:i w:val="0"/>
          <w:iCs/>
          <w:sz w:val="28"/>
          <w:szCs w:val="28"/>
        </w:rPr>
        <w:t>T</w:t>
      </w:r>
      <w:bookmarkStart w:id="0" w:name="_GoBack"/>
      <w:bookmarkEnd w:id="0"/>
      <w:r w:rsidR="00D86AB4" w:rsidRPr="006119AB">
        <w:rPr>
          <w:rFonts w:asciiTheme="majorBidi" w:hAnsiTheme="majorBidi" w:cstheme="majorBidi"/>
          <w:i w:val="0"/>
          <w:iCs/>
          <w:sz w:val="28"/>
          <w:szCs w:val="28"/>
        </w:rPr>
        <w:t>hird</w:t>
      </w: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202</w:t>
      </w:r>
      <w:r w:rsidR="00160716" w:rsidRPr="006119AB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DB5004" w:rsidRPr="006119AB" w:rsidRDefault="00DB5004" w:rsidP="006119AB">
      <w:pPr>
        <w:pStyle w:val="BodyText3"/>
        <w:ind w:right="70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6B1CE8" w:rsidRDefault="00DB5004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Palestinian Central Bureau of Statistics</w:t>
      </w:r>
      <w:r w:rsidR="00C23EB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(PCBS) and the Palestine Monetary Authority (PMA)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announced the preliminary results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International Investment Position</w:t>
      </w:r>
      <w:r w:rsidR="00C23EB0" w:rsidRPr="006119AB">
        <w:rPr>
          <w:rStyle w:val="hps"/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(IIP), and External Debt statistics for Palestine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as of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end of</w:t>
      </w:r>
      <w:r w:rsidR="00E85A9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</w:t>
      </w:r>
      <w:r w:rsidR="00B51A43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D86AB4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third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quarter 20</w:t>
      </w:r>
      <w:r w:rsidR="00633411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="00160716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="006B1CE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</w:p>
    <w:p w:rsidR="006119AB" w:rsidRPr="006119AB" w:rsidRDefault="006119AB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119AB" w:rsidRDefault="00DB5004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total stocks of External Assets for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</w:t>
      </w:r>
      <w:r w:rsidR="00E85A9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ian economy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amounted to USD </w:t>
      </w:r>
      <w:r w:rsidR="00892B8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9</w:t>
      </w:r>
      <w:r w:rsidR="00CB31FA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450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million, </w:t>
      </w:r>
      <w:r w:rsidR="004B7C0D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he Foreign Direct Investment </w:t>
      </w:r>
      <w:r w:rsidR="006054EE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contributed to </w:t>
      </w:r>
      <w:r w:rsidR="00892B8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</w:t>
      </w:r>
      <w:r w:rsidR="007862A5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Portfolio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Investments abroad reached </w:t>
      </w:r>
      <w:r w:rsidR="00CB31FA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Other Foreign Investments </w:t>
      </w:r>
      <w:r w:rsidR="006054EE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69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and Reserve Assets amounted to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11</w:t>
      </w:r>
      <w:r w:rsidR="00EC505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0A515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 </w:t>
      </w:r>
    </w:p>
    <w:p w:rsidR="008615B9" w:rsidRPr="006119AB" w:rsidRDefault="008615B9" w:rsidP="006119AB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119AB" w:rsidRDefault="00D86AB4" w:rsidP="006119AB">
      <w:pPr>
        <w:pStyle w:val="BodyText3"/>
        <w:rPr>
          <w:rFonts w:asciiTheme="majorBidi" w:hAnsiTheme="majorBidi" w:cstheme="majorBidi"/>
          <w:i w:val="0"/>
          <w:iCs/>
          <w:sz w:val="28"/>
          <w:szCs w:val="28"/>
        </w:rPr>
      </w:pP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>49</w:t>
      </w:r>
      <w:r w:rsidR="008615B9" w:rsidRPr="006119AB">
        <w:rPr>
          <w:rFonts w:asciiTheme="majorBidi" w:hAnsiTheme="majorBidi" w:cstheme="majorBidi"/>
          <w:i w:val="0"/>
          <w:iCs/>
          <w:sz w:val="28"/>
          <w:szCs w:val="28"/>
        </w:rPr>
        <w:t>% of the total foreign liabilities on the Palestinian economy</w:t>
      </w:r>
      <w:r w:rsidR="002E3BDC"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at the End of the </w:t>
      </w:r>
      <w:r w:rsidRPr="006119AB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2E3BDC"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</w:t>
      </w:r>
      <w:r w:rsidR="00905A56" w:rsidRPr="006119AB">
        <w:rPr>
          <w:rFonts w:asciiTheme="majorBidi" w:hAnsiTheme="majorBidi" w:cstheme="majorBidi"/>
          <w:i w:val="0"/>
          <w:iCs/>
          <w:sz w:val="28"/>
          <w:szCs w:val="28"/>
        </w:rPr>
        <w:t>2022</w:t>
      </w:r>
      <w:r w:rsidR="008615B9"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 are </w:t>
      </w:r>
      <w:r w:rsidR="00C56B7B" w:rsidRPr="006119AB">
        <w:rPr>
          <w:rFonts w:asciiTheme="majorBidi" w:hAnsiTheme="majorBidi" w:cstheme="majorBidi"/>
          <w:i w:val="0"/>
          <w:iCs/>
          <w:sz w:val="28"/>
          <w:szCs w:val="28"/>
        </w:rPr>
        <w:t xml:space="preserve">a </w:t>
      </w:r>
      <w:r w:rsidR="008615B9" w:rsidRPr="006119AB">
        <w:rPr>
          <w:rFonts w:asciiTheme="majorBidi" w:hAnsiTheme="majorBidi" w:cstheme="majorBidi"/>
          <w:i w:val="0"/>
          <w:iCs/>
          <w:sz w:val="28"/>
          <w:szCs w:val="28"/>
        </w:rPr>
        <w:t>foreign direct investment</w:t>
      </w:r>
    </w:p>
    <w:p w:rsidR="00064A5C" w:rsidRPr="006119AB" w:rsidRDefault="00DB5004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total stocks of For</w:t>
      </w:r>
      <w:r w:rsidR="00B902A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eign Liabilities in Palestine (</w:t>
      </w:r>
      <w:r w:rsidR="003D2935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Balances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of non-residents invested in Palestine) amounted to USD </w:t>
      </w:r>
      <w:r w:rsidR="00892B8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090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million, </w:t>
      </w:r>
      <w:r w:rsidR="009D1202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where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Foreign Direct Investment in Palestine contributed to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49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Portfolio Investments in Palestine reached </w:t>
      </w:r>
      <w:r w:rsidR="00D24B73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892B8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</w:t>
      </w:r>
      <w:r w:rsidR="003265DF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="00C87C9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O</w:t>
      </w:r>
      <w:r w:rsidR="00C23EB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ther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Investments in Palestine (mainly loans and deposits from abroad) amounted to </w:t>
      </w:r>
      <w:r w:rsidR="000C387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="00DD6071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D13DDD" w:rsidRPr="006119AB">
        <w:rPr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 </w:t>
      </w:r>
      <w:r w:rsidR="00064A5C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</w:t>
      </w:r>
      <w:r w:rsidR="000E5A0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sectoral level, foreign investments in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 contributed a major value in the foreign liabilities, represented by </w:t>
      </w:r>
      <w:r w:rsidR="002219A2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of the total value of foreign liabilities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Palestinian economy.</w:t>
      </w:r>
    </w:p>
    <w:p w:rsidR="004221C5" w:rsidRPr="006119AB" w:rsidRDefault="004221C5" w:rsidP="006119AB">
      <w:pPr>
        <w:pStyle w:val="BodyText3"/>
        <w:spacing w:after="0"/>
        <w:rPr>
          <w:b w:val="0"/>
          <w:bCs/>
        </w:rPr>
      </w:pPr>
    </w:p>
    <w:p w:rsidR="00DB5004" w:rsidRPr="006119AB" w:rsidRDefault="009D1202" w:rsidP="006119AB">
      <w:pPr>
        <w:pStyle w:val="HTMLPreformatted"/>
        <w:shd w:val="clear" w:color="auto" w:fill="FFFFFF"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6119AB">
        <w:rPr>
          <w:rFonts w:asciiTheme="majorBidi" w:hAnsiTheme="majorBidi" w:cstheme="majorBidi"/>
          <w:b/>
          <w:iCs/>
          <w:sz w:val="28"/>
          <w:szCs w:val="28"/>
        </w:rPr>
        <w:t>A</w:t>
      </w:r>
      <w:r w:rsidR="0007197F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="00496138" w:rsidRPr="006119AB">
        <w:rPr>
          <w:rFonts w:asciiTheme="majorBidi" w:hAnsiTheme="majorBidi" w:cstheme="majorBidi"/>
          <w:b/>
          <w:iCs/>
          <w:sz w:val="28"/>
          <w:szCs w:val="28"/>
        </w:rPr>
        <w:t>de</w:t>
      </w:r>
      <w:r w:rsidR="008615B9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crease </w:t>
      </w:r>
      <w:r w:rsidR="00C56B7B" w:rsidRPr="006119AB">
        <w:rPr>
          <w:rFonts w:asciiTheme="majorBidi" w:hAnsiTheme="majorBidi" w:cstheme="majorBidi"/>
          <w:b/>
          <w:iCs/>
          <w:sz w:val="28"/>
          <w:szCs w:val="28"/>
        </w:rPr>
        <w:t>in</w:t>
      </w:r>
      <w:r w:rsidR="008615B9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="00805979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Stock of </w:t>
      </w:r>
      <w:r w:rsidR="00DD103D" w:rsidRPr="006119AB">
        <w:rPr>
          <w:rFonts w:asciiTheme="majorBidi" w:hAnsiTheme="majorBidi" w:cstheme="majorBidi"/>
          <w:b/>
          <w:iCs/>
          <w:sz w:val="28"/>
          <w:szCs w:val="28"/>
        </w:rPr>
        <w:t>e</w:t>
      </w:r>
      <w:r w:rsidR="00041F63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xternal government </w:t>
      </w:r>
      <w:r w:rsidR="00805979" w:rsidRPr="006119AB">
        <w:rPr>
          <w:rFonts w:asciiTheme="majorBidi" w:hAnsiTheme="majorBidi" w:cstheme="majorBidi"/>
          <w:b/>
          <w:iCs/>
          <w:sz w:val="28"/>
          <w:szCs w:val="28"/>
        </w:rPr>
        <w:t>d</w:t>
      </w:r>
      <w:r w:rsidR="00064A5C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ebt </w:t>
      </w:r>
      <w:r w:rsidR="008615B9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by </w:t>
      </w:r>
      <w:r w:rsidR="00D86AB4" w:rsidRPr="006119AB">
        <w:rPr>
          <w:rFonts w:asciiTheme="majorBidi" w:hAnsiTheme="majorBidi" w:cstheme="majorBidi"/>
          <w:b/>
          <w:iCs/>
          <w:sz w:val="28"/>
          <w:szCs w:val="28"/>
        </w:rPr>
        <w:t>2</w:t>
      </w:r>
      <w:r w:rsidR="008615B9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%, </w:t>
      </w:r>
      <w:r w:rsidR="0007197F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to reach </w:t>
      </w:r>
      <w:r w:rsidR="00041F63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about </w:t>
      </w:r>
      <w:r w:rsidR="003E3D66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USD </w:t>
      </w:r>
      <w:r w:rsidR="000148EC" w:rsidRPr="006119AB">
        <w:rPr>
          <w:rFonts w:asciiTheme="majorBidi" w:hAnsiTheme="majorBidi" w:cstheme="majorBidi" w:hint="cs"/>
          <w:bCs/>
          <w:i/>
          <w:sz w:val="28"/>
          <w:szCs w:val="28"/>
          <w:rtl/>
        </w:rPr>
        <w:t>1.</w:t>
      </w:r>
      <w:r w:rsidR="00D86AB4" w:rsidRPr="006119AB">
        <w:rPr>
          <w:rFonts w:asciiTheme="majorBidi" w:hAnsiTheme="majorBidi" w:cstheme="majorBidi" w:hint="cs"/>
          <w:bCs/>
          <w:i/>
          <w:sz w:val="28"/>
          <w:szCs w:val="28"/>
          <w:rtl/>
        </w:rPr>
        <w:t>2</w:t>
      </w:r>
      <w:r w:rsidR="00D13DDD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="00041F63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billion at the end of the </w:t>
      </w:r>
      <w:r w:rsidR="00020807" w:rsidRPr="006119AB">
        <w:rPr>
          <w:rFonts w:asciiTheme="majorBidi" w:hAnsiTheme="majorBidi" w:cstheme="majorBidi"/>
          <w:b/>
          <w:iCs/>
          <w:sz w:val="28"/>
          <w:szCs w:val="28"/>
        </w:rPr>
        <w:t>t</w:t>
      </w:r>
      <w:r w:rsidR="00D86AB4" w:rsidRPr="006119AB">
        <w:rPr>
          <w:rFonts w:asciiTheme="majorBidi" w:hAnsiTheme="majorBidi" w:cstheme="majorBidi"/>
          <w:b/>
          <w:iCs/>
          <w:sz w:val="28"/>
          <w:szCs w:val="28"/>
        </w:rPr>
        <w:t>hird</w:t>
      </w:r>
      <w:r w:rsidR="00041F63" w:rsidRPr="006119AB">
        <w:rPr>
          <w:rFonts w:asciiTheme="majorBidi" w:hAnsiTheme="majorBidi" w:cstheme="majorBidi"/>
          <w:b/>
          <w:iCs/>
          <w:sz w:val="28"/>
          <w:szCs w:val="28"/>
        </w:rPr>
        <w:t xml:space="preserve"> quarter 20</w:t>
      </w:r>
      <w:r w:rsidR="00741D4C" w:rsidRPr="006119AB">
        <w:rPr>
          <w:rFonts w:asciiTheme="majorBidi" w:hAnsiTheme="majorBidi" w:cstheme="majorBidi"/>
          <w:b/>
          <w:iCs/>
          <w:sz w:val="28"/>
          <w:szCs w:val="28"/>
        </w:rPr>
        <w:t>2</w:t>
      </w:r>
      <w:r w:rsidR="00160716" w:rsidRPr="006119AB">
        <w:rPr>
          <w:rFonts w:asciiTheme="majorBidi" w:hAnsiTheme="majorBidi" w:cstheme="majorBidi"/>
          <w:b/>
          <w:iCs/>
          <w:sz w:val="28"/>
          <w:szCs w:val="28"/>
        </w:rPr>
        <w:t>2</w:t>
      </w:r>
    </w:p>
    <w:p w:rsidR="00DB5004" w:rsidRPr="006119AB" w:rsidRDefault="00DB5004" w:rsidP="006119AB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Gross External Debt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Palestinian econom</w:t>
      </w:r>
      <w:r w:rsidR="00F3301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ic sectors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USD </w:t>
      </w:r>
      <w:r w:rsidR="001336A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215</w:t>
      </w:r>
      <w:r w:rsidR="00D13DDD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million</w:t>
      </w:r>
      <w:r w:rsidR="002E060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</w:t>
      </w:r>
      <w:r w:rsidR="002E060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creased by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4</w:t>
      </w:r>
      <w:r w:rsidR="002E060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compared with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="002E060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previous quarter</w:t>
      </w:r>
      <w:r w:rsidR="004E48F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  <w:r w:rsidR="00B51A43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E48F0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D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ebt on 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 sector represented</w:t>
      </w:r>
      <w:r w:rsidR="00D13DDD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57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debt on </w:t>
      </w:r>
      <w:r w:rsidR="00BB2CD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banking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</w:t>
      </w:r>
      <w:r w:rsidR="00CA384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(deposits of non-residents in banks operating in Palestine)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reached </w:t>
      </w:r>
      <w:r w:rsidR="00A83B3E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D86AB4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 and debt on other sectors (</w:t>
      </w:r>
      <w:r w:rsidR="00B902A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n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="00D13DDD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-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F8785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financial </w:t>
      </w:r>
      <w:r w:rsidR="00F87856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institutions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non-financial</w:t>
      </w:r>
      <w:r w:rsidR="00B51A43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corporations, NGOs</w:t>
      </w:r>
      <w:r w:rsidR="00C56B7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household sector) amounted to</w:t>
      </w:r>
      <w:r w:rsidR="00D13DDD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9613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</w:t>
      </w:r>
      <w:r w:rsidR="009D1202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8C3935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lending between affiliated companies</w:t>
      </w:r>
      <w:r w:rsidR="00B51A43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Fonts w:ascii="Times New Roman" w:hAnsi="Times New Roman"/>
          <w:b w:val="0"/>
          <w:bCs/>
          <w:i w:val="0"/>
          <w:iCs/>
          <w:sz w:val="26"/>
          <w:szCs w:val="26"/>
        </w:rPr>
        <w:t>reached</w:t>
      </w:r>
      <w:r w:rsidR="00B51A43" w:rsidRPr="006119AB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496138" w:rsidRPr="006119AB">
        <w:rPr>
          <w:rFonts w:ascii="Times New Roman" w:hAnsi="Times New Roman"/>
          <w:b w:val="0"/>
          <w:bCs/>
          <w:i w:val="0"/>
          <w:iCs/>
          <w:sz w:val="26"/>
          <w:szCs w:val="26"/>
        </w:rPr>
        <w:t>2</w:t>
      </w:r>
      <w:r w:rsidRPr="006119AB">
        <w:rPr>
          <w:rFonts w:ascii="Times New Roman" w:hAnsi="Times New Roman"/>
          <w:b w:val="0"/>
          <w:bCs/>
          <w:i w:val="0"/>
          <w:iCs/>
          <w:sz w:val="26"/>
          <w:szCs w:val="26"/>
        </w:rPr>
        <w:t>%.</w:t>
      </w:r>
    </w:p>
    <w:p w:rsidR="006119AB" w:rsidRPr="006119AB" w:rsidRDefault="006119AB" w:rsidP="006119AB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</w:rPr>
      </w:pPr>
    </w:p>
    <w:p w:rsidR="00DB5004" w:rsidRPr="006119AB" w:rsidRDefault="00DB5004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International Investment Position</w:t>
      </w:r>
      <w:r w:rsidR="00C23EB0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 is </w:t>
      </w:r>
      <w:r w:rsidR="009D1202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 statistical record </w:t>
      </w:r>
      <w:r w:rsidR="005B0FBB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9D1202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investments stocks for the residents in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Palestine (individuals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rest of the world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(abroad)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 the name of</w:t>
      </w:r>
      <w:r w:rsidR="00C23EB0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(assets)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compare</w:t>
      </w:r>
      <w:r w:rsidR="009D1202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d with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investments stocks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owned by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residents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outside Palestine (individuals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Palestine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name of (liabilities).</w:t>
      </w:r>
    </w:p>
    <w:p w:rsidR="00DB5004" w:rsidRDefault="00DB5004" w:rsidP="006119A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119AB" w:rsidRDefault="00DB5004" w:rsidP="006119AB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The Balance of Payments Manual - fifth edition, issued by the International Monetary Fund in 1993, divides the assets and liabilities into direct investment (investment by 10% and more in the non-resident capital)</w:t>
      </w:r>
      <w:r w:rsidR="004A5A58"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. P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ortfolio investment (investment less than 10% in the non-resident capital as well as investment in bonds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), and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other investments</w:t>
      </w:r>
      <w:r w:rsidR="009D1202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(includes 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stocks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 trade credit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loans, currency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deposits</w:t>
      </w:r>
      <w:r w:rsidR="005B0FBB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any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other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assets or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liabilities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)</w:t>
      </w:r>
      <w:r w:rsidR="009D1202"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A5A58"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addition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the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Reserve Assets</w:t>
      </w:r>
      <w:r w:rsidRPr="006119AB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i.e.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Stocks</w:t>
      </w:r>
      <w:r w:rsidR="00C23EB0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held by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Central </w:t>
      </w:r>
      <w:r w:rsidR="00DC1F91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anks/ Monetary Authorities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address the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imbalances</w:t>
      </w:r>
      <w:r w:rsidR="00B51A43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balance of</w:t>
      </w:r>
      <w:r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payments</w:t>
      </w:r>
      <w:r w:rsidR="004A5A58" w:rsidRPr="006119AB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 I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 is worth mentioning that the reserve assets are only included </w:t>
      </w:r>
      <w:r w:rsidR="00F87856"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Pr="006119AB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asset side. </w:t>
      </w:r>
    </w:p>
    <w:p w:rsidR="006119AB" w:rsidRPr="006119AB" w:rsidRDefault="006119AB" w:rsidP="006119AB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 w:val="16"/>
          <w:szCs w:val="16"/>
        </w:rPr>
      </w:pPr>
    </w:p>
    <w:p w:rsidR="00DB5004" w:rsidRPr="006119AB" w:rsidRDefault="00DB5004" w:rsidP="006119AB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26"/>
          <w:szCs w:val="26"/>
        </w:rPr>
      </w:pPr>
      <w:r w:rsidRPr="006119AB">
        <w:rPr>
          <w:rStyle w:val="hps"/>
          <w:rFonts w:asciiTheme="majorBidi" w:hAnsiTheme="majorBidi" w:cstheme="majorBidi"/>
          <w:bCs/>
          <w:iCs/>
          <w:sz w:val="26"/>
          <w:szCs w:val="26"/>
        </w:rPr>
        <w:lastRenderedPageBreak/>
        <w:t xml:space="preserve">The External Debt is </w:t>
      </w:r>
      <w:r w:rsidR="004A5A58" w:rsidRPr="006119AB">
        <w:rPr>
          <w:rStyle w:val="hps"/>
          <w:rFonts w:asciiTheme="majorBidi" w:hAnsiTheme="majorBidi" w:cstheme="majorBidi"/>
          <w:sz w:val="26"/>
          <w:szCs w:val="26"/>
        </w:rPr>
        <w:t>a statistical record</w:t>
      </w:r>
      <w:r w:rsidR="004A5A58" w:rsidRPr="006119AB">
        <w:rPr>
          <w:rStyle w:val="hps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5B0FBB" w:rsidRPr="006119AB">
        <w:rPr>
          <w:rStyle w:val="hps"/>
          <w:rFonts w:asciiTheme="majorBidi" w:hAnsiTheme="majorBidi" w:cstheme="majorBidi"/>
          <w:sz w:val="26"/>
          <w:szCs w:val="26"/>
        </w:rPr>
        <w:t>of</w:t>
      </w:r>
      <w:r w:rsidR="004A5A58" w:rsidRPr="006119AB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>the debt stocks on Palestinian economic sectors due to non-residents.</w:t>
      </w:r>
      <w:r w:rsidR="00B51A43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These include (loans from non-residents, </w:t>
      </w:r>
      <w:r w:rsidR="00DC1F91" w:rsidRPr="006119AB">
        <w:rPr>
          <w:rFonts w:asciiTheme="majorBidi" w:hAnsiTheme="majorBidi" w:cstheme="majorBidi"/>
          <w:bCs/>
          <w:iCs/>
          <w:sz w:val="26"/>
          <w:szCs w:val="26"/>
        </w:rPr>
        <w:t>deposit</w:t>
      </w:r>
      <w:r w:rsidR="00260883" w:rsidRPr="006119AB">
        <w:rPr>
          <w:rFonts w:asciiTheme="majorBidi" w:hAnsiTheme="majorBidi" w:cstheme="majorBidi"/>
          <w:bCs/>
          <w:iCs/>
          <w:sz w:val="26"/>
          <w:szCs w:val="26"/>
        </w:rPr>
        <w:t>s</w:t>
      </w:r>
      <w:r w:rsidR="00DC1F91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of</w:t>
      </w:r>
      <w:r w:rsidR="00B51A43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non-residents deposited in the banks </w:t>
      </w:r>
      <w:r w:rsidR="00BB2CD8" w:rsidRPr="006119AB">
        <w:rPr>
          <w:rFonts w:asciiTheme="majorBidi" w:hAnsiTheme="majorBidi" w:cstheme="majorBidi"/>
          <w:bCs/>
          <w:iCs/>
          <w:sz w:val="26"/>
          <w:szCs w:val="26"/>
        </w:rPr>
        <w:t>operating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in Palestine, the Palestinian bonds purchased by non-residents, </w:t>
      </w:r>
      <w:r w:rsidR="005B0FBB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and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debt transactions between the non-resident enterprises and fellow enterprises in Palestine. They encompass as well any other liabilities </w:t>
      </w:r>
      <w:r w:rsidR="00F87856" w:rsidRPr="006119AB">
        <w:rPr>
          <w:rFonts w:asciiTheme="majorBidi" w:hAnsiTheme="majorBidi" w:cstheme="majorBidi"/>
          <w:bCs/>
          <w:iCs/>
          <w:sz w:val="26"/>
          <w:szCs w:val="26"/>
        </w:rPr>
        <w:t>in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5B0FBB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Palestinian economy) the data of external debt have been extracted from the liabilities side in the international investment position matrix (debt items). </w:t>
      </w:r>
      <w:r w:rsidR="004A5A58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Compiling and disseminating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>the data based on (</w:t>
      </w:r>
      <w:r w:rsidR="005B0FBB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External Debt Statistics Manual) issued by IMF in 2003, </w:t>
      </w:r>
      <w:r w:rsidR="004A5A58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which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is harmonized with </w:t>
      </w:r>
      <w:r w:rsidR="00E85A96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="00AF576D" w:rsidRPr="006119AB">
        <w:rPr>
          <w:rFonts w:asciiTheme="majorBidi" w:hAnsiTheme="majorBidi" w:cstheme="majorBidi"/>
          <w:bCs/>
          <w:iCs/>
          <w:sz w:val="26"/>
          <w:szCs w:val="26"/>
        </w:rPr>
        <w:t>fifth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 edition of </w:t>
      </w:r>
      <w:r w:rsidR="005B0FBB" w:rsidRPr="006119AB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119AB">
        <w:rPr>
          <w:rFonts w:asciiTheme="majorBidi" w:hAnsiTheme="majorBidi" w:cstheme="majorBidi"/>
          <w:bCs/>
          <w:iCs/>
          <w:sz w:val="26"/>
          <w:szCs w:val="26"/>
        </w:rPr>
        <w:t>Balance of Payments Manual</w:t>
      </w:r>
      <w:r w:rsidR="00E85A96" w:rsidRPr="006119AB">
        <w:rPr>
          <w:rFonts w:asciiTheme="majorBidi" w:hAnsiTheme="majorBidi" w:cstheme="majorBidi"/>
          <w:bCs/>
          <w:iCs/>
          <w:sz w:val="26"/>
          <w:szCs w:val="26"/>
        </w:rPr>
        <w:t>.</w:t>
      </w:r>
    </w:p>
    <w:p w:rsidR="00DB5004" w:rsidRDefault="00DB5004" w:rsidP="006119AB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6119AB" w:rsidRDefault="006119AB" w:rsidP="006119AB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F01436" w:rsidRDefault="00F01436" w:rsidP="006119AB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AC415E" w:rsidRPr="00AC415E" w:rsidRDefault="00DB5004" w:rsidP="006119AB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Table 1: International Investment Position (IIP) </w:t>
      </w:r>
      <w:r w:rsidR="006D61E4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>by Economic Sectors</w:t>
      </w:r>
    </w:p>
    <w:p w:rsidR="00DB5004" w:rsidRPr="00AC415E" w:rsidRDefault="00DB5004" w:rsidP="006119AB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6D61E4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Palestine, at the </w:t>
      </w:r>
      <w:r w:rsidR="00112F30" w:rsidRPr="00AC415E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F84D01" w:rsidRPr="00AC415E">
        <w:rPr>
          <w:rFonts w:asciiTheme="majorBidi" w:hAnsiTheme="majorBidi" w:cstheme="majorBidi"/>
          <w:i w:val="0"/>
          <w:iCs/>
          <w:sz w:val="26"/>
          <w:szCs w:val="26"/>
        </w:rPr>
        <w:t>Third</w:t>
      </w:r>
      <w:r w:rsidR="00CB0325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AC415E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="00CB0325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>20</w:t>
      </w:r>
      <w:r w:rsidR="00C50347" w:rsidRPr="00AC415E">
        <w:rPr>
          <w:rFonts w:asciiTheme="majorBidi" w:hAnsiTheme="majorBidi" w:cstheme="majorBidi"/>
          <w:i w:val="0"/>
          <w:iCs/>
          <w:sz w:val="26"/>
          <w:szCs w:val="26"/>
        </w:rPr>
        <w:t>2</w:t>
      </w:r>
      <w:r w:rsidR="00160716" w:rsidRPr="00AC415E">
        <w:rPr>
          <w:rFonts w:asciiTheme="majorBidi" w:hAnsiTheme="majorBidi" w:cstheme="majorBidi"/>
          <w:i w:val="0"/>
          <w:iCs/>
          <w:sz w:val="26"/>
          <w:szCs w:val="26"/>
        </w:rPr>
        <w:t>2</w:t>
      </w:r>
    </w:p>
    <w:p w:rsidR="00DB5004" w:rsidRPr="00F149B2" w:rsidRDefault="00DB5004" w:rsidP="006119AB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AC415E" w:rsidRDefault="00B51A43" w:rsidP="00AC415E">
      <w:pPr>
        <w:ind w:left="-426" w:right="3631"/>
        <w:contextualSpacing/>
        <w:rPr>
          <w:rFonts w:asciiTheme="majorBidi" w:hAnsiTheme="majorBidi" w:cstheme="majorBidi"/>
          <w:i w:val="0"/>
          <w:iCs/>
        </w:rPr>
      </w:pPr>
      <w:r w:rsidRPr="00AC415E">
        <w:rPr>
          <w:rFonts w:asciiTheme="majorBidi" w:hAnsiTheme="majorBidi" w:cstheme="majorBidi"/>
          <w:i w:val="0"/>
          <w:iCs/>
        </w:rPr>
        <w:t xml:space="preserve">   </w:t>
      </w:r>
      <w:r w:rsidR="00DB5004" w:rsidRPr="00AC415E">
        <w:rPr>
          <w:rFonts w:asciiTheme="majorBidi" w:hAnsiTheme="majorBidi" w:cstheme="majorBidi"/>
          <w:i w:val="0"/>
          <w:iCs/>
        </w:rPr>
        <w:t>Value in million USD</w:t>
      </w:r>
    </w:p>
    <w:tbl>
      <w:tblPr>
        <w:bidiVisual/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130"/>
        <w:gridCol w:w="1700"/>
        <w:gridCol w:w="993"/>
        <w:gridCol w:w="1563"/>
        <w:gridCol w:w="1413"/>
        <w:gridCol w:w="3259"/>
      </w:tblGrid>
      <w:tr w:rsidR="00AC415E" w:rsidRPr="00AC415E" w:rsidTr="00AC415E">
        <w:trPr>
          <w:trHeight w:val="284"/>
          <w:jc w:val="center"/>
        </w:trPr>
        <w:tc>
          <w:tcPr>
            <w:tcW w:w="451" w:type="pct"/>
            <w:vMerge w:val="restar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280" w:type="pct"/>
            <w:gridSpan w:val="2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449" w:type="pct"/>
            <w:vMerge w:val="restar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707" w:type="pct"/>
            <w:vMerge w:val="restar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639" w:type="pct"/>
            <w:vMerge w:val="restar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474" w:type="pct"/>
            <w:vMerge w:val="restart"/>
          </w:tcPr>
          <w:p w:rsidR="00DB5004" w:rsidRPr="00AC415E" w:rsidRDefault="004B6F4B" w:rsidP="006119AB">
            <w:pPr>
              <w:ind w:left="720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</w:t>
            </w:r>
            <w:r w:rsidR="00DB5004"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Economic Sector</w:t>
            </w:r>
          </w:p>
          <w:p w:rsidR="00DB5004" w:rsidRPr="00AC415E" w:rsidRDefault="00DB5004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AC415E" w:rsidRDefault="00DB5004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AC415E" w:rsidRDefault="00DB5004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AC415E" w:rsidRDefault="00DB5004" w:rsidP="006119AB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  <w:p w:rsidR="00DB5004" w:rsidRPr="00AC415E" w:rsidRDefault="00DB5004" w:rsidP="006119AB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</w:p>
          <w:p w:rsidR="00DB5004" w:rsidRPr="00AC415E" w:rsidRDefault="00DB5004" w:rsidP="006119AB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Investments Stocks by</w:t>
            </w:r>
          </w:p>
          <w:p w:rsidR="00DB5004" w:rsidRPr="00AC415E" w:rsidRDefault="00DB5004" w:rsidP="006119AB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AC415E" w:rsidRPr="00AC415E" w:rsidTr="00AC415E">
        <w:trPr>
          <w:trHeight w:val="1492"/>
          <w:jc w:val="center"/>
        </w:trPr>
        <w:tc>
          <w:tcPr>
            <w:tcW w:w="451" w:type="pct"/>
            <w:vMerge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</w:p>
        </w:tc>
        <w:tc>
          <w:tcPr>
            <w:tcW w:w="511" w:type="pc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769" w:type="pct"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</w:t>
            </w:r>
            <w:r w:rsidR="00D13DDD"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-</w:t>
            </w: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 Financial Corporations, Non-Financial Corporations, and NGOs Sector</w:t>
            </w:r>
          </w:p>
        </w:tc>
        <w:tc>
          <w:tcPr>
            <w:tcW w:w="449" w:type="pct"/>
            <w:vMerge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707" w:type="pct"/>
            <w:vMerge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639" w:type="pct"/>
            <w:vMerge/>
            <w:vAlign w:val="center"/>
          </w:tcPr>
          <w:p w:rsidR="00DB5004" w:rsidRPr="00AC415E" w:rsidRDefault="00DB5004" w:rsidP="006119AB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1474" w:type="pct"/>
            <w:vMerge/>
          </w:tcPr>
          <w:p w:rsidR="00DB5004" w:rsidRPr="00AC415E" w:rsidRDefault="00DB5004" w:rsidP="006119AB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3,360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1,014-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665-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4,332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717-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1,424</w:t>
            </w:r>
          </w:p>
        </w:tc>
        <w:tc>
          <w:tcPr>
            <w:tcW w:w="1474" w:type="pct"/>
            <w:vAlign w:val="center"/>
          </w:tcPr>
          <w:p w:rsidR="00F84D01" w:rsidRPr="00AC415E" w:rsidRDefault="00AC415E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-1372235</wp:posOffset>
                      </wp:positionV>
                      <wp:extent cx="2057400" cy="135255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135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E72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5.9pt;margin-top:-108.05pt;width:162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naIw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"/>
                  </w:pict>
                </mc:Fallback>
              </mc:AlternateContent>
            </w:r>
            <w:r w:rsidR="00F84D01"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9,450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6,552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1,424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Foreign Direct Investment Abroad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1,580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504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Portfolio Investments Abroad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6,548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5,637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561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Other Investments Abroad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5,905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5,610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 Of which: currency and deposits**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1,004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1,004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Reserve Assets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6,090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1,073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1,519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2,220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2,997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1,073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859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1,065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Foreign Direct Investment in Palestine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Foreign Portfolio Investments in Palestine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  Foreign Other Investments in Palestine: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1,487</w:t>
            </w:r>
          </w:p>
        </w:tc>
        <w:tc>
          <w:tcPr>
            <w:tcW w:w="511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07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1,278</w:t>
            </w:r>
          </w:p>
        </w:tc>
        <w:tc>
          <w:tcPr>
            <w:tcW w:w="639" w:type="pct"/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 Of which: loans from abroad</w:t>
            </w:r>
          </w:p>
        </w:tc>
      </w:tr>
      <w:tr w:rsidR="00AC415E" w:rsidRPr="00AC415E" w:rsidTr="00AC415E">
        <w:trPr>
          <w:trHeight w:val="284"/>
          <w:jc w:val="center"/>
        </w:trPr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687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F84D01" w:rsidRPr="00AC415E" w:rsidRDefault="00F84D01" w:rsidP="00AC415E">
            <w:pPr>
              <w:bidi/>
              <w:ind w:firstLineChars="100" w:firstLine="22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4" w:type="pct"/>
            <w:tcBorders>
              <w:bottom w:val="single" w:sz="4" w:space="0" w:color="auto"/>
            </w:tcBorders>
            <w:vAlign w:val="center"/>
          </w:tcPr>
          <w:p w:rsidR="00F84D01" w:rsidRPr="00AC415E" w:rsidRDefault="00F84D01" w:rsidP="006119AB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 Of which: currency and deposits***</w:t>
            </w:r>
          </w:p>
        </w:tc>
      </w:tr>
    </w:tbl>
    <w:p w:rsidR="00DB5004" w:rsidRPr="00F149B2" w:rsidRDefault="00DB5004" w:rsidP="006119AB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F01436" w:rsidRDefault="00DB5004" w:rsidP="00AC415E">
      <w:pPr>
        <w:spacing w:after="120"/>
        <w:ind w:left="-567"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F01436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: </w:t>
      </w:r>
    </w:p>
    <w:p w:rsidR="00DB5004" w:rsidRPr="00F01436" w:rsidRDefault="00DB5004" w:rsidP="00AC415E">
      <w:pPr>
        <w:pStyle w:val="ListParagraph"/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F01436" w:rsidRDefault="00DB5004" w:rsidP="00AC415E">
      <w:pPr>
        <w:pStyle w:val="ListParagraph"/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F01436" w:rsidRDefault="00DB5004" w:rsidP="00AC415E">
      <w:pPr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F01436" w:rsidRDefault="00DB5004" w:rsidP="00AC415E">
      <w:pPr>
        <w:spacing w:after="120"/>
        <w:ind w:left="-567" w:right="-45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</w:t>
      </w:r>
      <w:r w:rsidR="00840C31"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</w:t>
      </w:r>
      <w:r w:rsidR="004B6F4B"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</w:t>
      </w:r>
      <w:r w:rsidR="00112F30"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the </w:t>
      </w:r>
      <w:proofErr w:type="gramStart"/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residents</w:t>
      </w:r>
      <w:proofErr w:type="gramEnd"/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deposits in banks abroad, in addition to foreign </w:t>
      </w:r>
      <w:r w:rsidR="00AF576D"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="00112F30"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</w:t>
      </w: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economy.</w:t>
      </w:r>
    </w:p>
    <w:p w:rsidR="00DB5004" w:rsidRPr="00F01436" w:rsidRDefault="00DB5004" w:rsidP="00AC415E">
      <w:pPr>
        <w:spacing w:after="120"/>
        <w:ind w:left="-567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F01436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DB5004" w:rsidRPr="00F149B2" w:rsidRDefault="00DB5004" w:rsidP="006119AB">
      <w:pPr>
        <w:spacing w:before="120" w:after="120"/>
        <w:jc w:val="right"/>
        <w:rPr>
          <w:rFonts w:asciiTheme="majorBidi" w:hAnsiTheme="majorBidi" w:cstheme="majorBidi"/>
          <w:b w:val="0"/>
          <w:bCs/>
          <w:i w:val="0"/>
          <w:iCs/>
        </w:rPr>
      </w:pPr>
      <w:r w:rsidRPr="00F149B2">
        <w:rPr>
          <w:rFonts w:asciiTheme="majorBidi" w:hAnsiTheme="majorBidi" w:cstheme="majorBidi"/>
          <w:bCs/>
          <w:iCs/>
        </w:rPr>
        <w:br w:type="page"/>
      </w:r>
    </w:p>
    <w:p w:rsidR="00DB5004" w:rsidRPr="00AC415E" w:rsidRDefault="00DB5004" w:rsidP="006119AB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lastRenderedPageBreak/>
        <w:t xml:space="preserve">Table 2: Gross External Debt </w:t>
      </w:r>
      <w:r w:rsidR="00B6004F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AC415E" w:rsidRDefault="00EF12BA" w:rsidP="006119AB">
      <w:pPr>
        <w:ind w:left="1440" w:hanging="1440"/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>Second</w:t>
      </w:r>
      <w:r w:rsidR="004B6F4B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AC415E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D34D3F" w:rsidRPr="00AC415E">
        <w:rPr>
          <w:rFonts w:asciiTheme="majorBidi" w:hAnsiTheme="majorBidi" w:cstheme="majorBidi"/>
          <w:i w:val="0"/>
          <w:iCs/>
          <w:sz w:val="26"/>
          <w:szCs w:val="26"/>
        </w:rPr>
        <w:t>, 20</w:t>
      </w:r>
      <w:r w:rsidR="004968BA" w:rsidRPr="00AC415E">
        <w:rPr>
          <w:rFonts w:asciiTheme="majorBidi" w:hAnsiTheme="majorBidi" w:cstheme="majorBidi"/>
          <w:i w:val="0"/>
          <w:iCs/>
          <w:sz w:val="26"/>
          <w:szCs w:val="26"/>
        </w:rPr>
        <w:t>2</w:t>
      </w:r>
      <w:r w:rsidR="00160716" w:rsidRPr="00AC415E">
        <w:rPr>
          <w:rFonts w:asciiTheme="majorBidi" w:hAnsiTheme="majorBidi" w:cstheme="majorBidi"/>
          <w:i w:val="0"/>
          <w:iCs/>
          <w:sz w:val="26"/>
          <w:szCs w:val="26"/>
        </w:rPr>
        <w:t>2</w:t>
      </w:r>
      <w:r w:rsidR="00C50347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and </w:t>
      </w:r>
      <w:r w:rsidRPr="00AC415E">
        <w:rPr>
          <w:rFonts w:asciiTheme="majorBidi" w:hAnsiTheme="majorBidi" w:cstheme="majorBidi"/>
          <w:i w:val="0"/>
          <w:iCs/>
          <w:sz w:val="26"/>
          <w:szCs w:val="26"/>
        </w:rPr>
        <w:t>Third</w:t>
      </w:r>
      <w:r w:rsidR="00C87C90" w:rsidRPr="00AC415E">
        <w:rPr>
          <w:rFonts w:asciiTheme="majorBidi" w:hAnsiTheme="majorBidi" w:cstheme="majorBidi"/>
          <w:i w:val="0"/>
          <w:iCs/>
          <w:sz w:val="26"/>
          <w:szCs w:val="26"/>
        </w:rPr>
        <w:t xml:space="preserve"> Quarter</w:t>
      </w:r>
      <w:r w:rsidR="00C50347" w:rsidRPr="00AC415E">
        <w:rPr>
          <w:rFonts w:asciiTheme="majorBidi" w:hAnsiTheme="majorBidi" w:cstheme="majorBidi"/>
          <w:i w:val="0"/>
          <w:iCs/>
          <w:sz w:val="26"/>
          <w:szCs w:val="26"/>
        </w:rPr>
        <w:t>, 202</w:t>
      </w:r>
      <w:r w:rsidR="00160716" w:rsidRPr="00AC415E">
        <w:rPr>
          <w:rFonts w:asciiTheme="majorBidi" w:hAnsiTheme="majorBidi" w:cstheme="majorBidi"/>
          <w:i w:val="0"/>
          <w:iCs/>
          <w:sz w:val="26"/>
          <w:szCs w:val="26"/>
        </w:rPr>
        <w:t>2</w:t>
      </w:r>
    </w:p>
    <w:p w:rsidR="00DB5004" w:rsidRPr="00F149B2" w:rsidRDefault="00DB5004" w:rsidP="006119AB">
      <w:pPr>
        <w:contextualSpacing/>
        <w:rPr>
          <w:rFonts w:ascii="Arial" w:hAnsi="Arial"/>
          <w:i w:val="0"/>
          <w:iCs/>
          <w:sz w:val="22"/>
          <w:szCs w:val="22"/>
        </w:rPr>
      </w:pPr>
    </w:p>
    <w:p w:rsidR="00DB5004" w:rsidRPr="00AC415E" w:rsidRDefault="008E4CA4" w:rsidP="006119AB">
      <w:pPr>
        <w:ind w:left="-284" w:right="3967" w:firstLine="284"/>
        <w:contextualSpacing/>
        <w:rPr>
          <w:rFonts w:asciiTheme="majorBidi" w:hAnsiTheme="majorBidi" w:cstheme="majorBidi"/>
          <w:i w:val="0"/>
          <w:iCs/>
        </w:rPr>
      </w:pPr>
      <w:r w:rsidRPr="00AC415E">
        <w:rPr>
          <w:rFonts w:asciiTheme="majorBidi" w:hAnsiTheme="majorBidi" w:cstheme="majorBidi"/>
          <w:i w:val="0"/>
          <w:iCs/>
        </w:rPr>
        <w:t xml:space="preserve">     </w:t>
      </w:r>
      <w:r w:rsidR="00DB5004" w:rsidRPr="00AC415E">
        <w:rPr>
          <w:rFonts w:asciiTheme="majorBidi" w:hAnsiTheme="majorBidi" w:cstheme="majorBidi"/>
          <w:i w:val="0"/>
          <w:iCs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408"/>
        <w:gridCol w:w="4952"/>
      </w:tblGrid>
      <w:tr w:rsidR="00AC415E" w:rsidRPr="00AC415E" w:rsidTr="00AC415E">
        <w:trPr>
          <w:trHeight w:val="609"/>
        </w:trPr>
        <w:tc>
          <w:tcPr>
            <w:tcW w:w="1219" w:type="pct"/>
            <w:vAlign w:val="center"/>
          </w:tcPr>
          <w:p w:rsidR="00E741B1" w:rsidRPr="00AC415E" w:rsidRDefault="00E741B1" w:rsidP="00AC415E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Stock at the end of the</w:t>
            </w:r>
            <w:r w:rsidR="004968BA" w:rsidRPr="00AC415E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4E0A56" w:rsidRPr="00AC415E">
              <w:rPr>
                <w:rFonts w:asciiTheme="majorBidi" w:hAnsiTheme="majorBidi" w:cstheme="majorBidi"/>
                <w:i w:val="0"/>
                <w:iCs/>
              </w:rPr>
              <w:t>Third</w:t>
            </w:r>
            <w:r w:rsidR="004B6F4B" w:rsidRPr="00AC415E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AC415E">
              <w:rPr>
                <w:rFonts w:asciiTheme="majorBidi" w:hAnsiTheme="majorBidi" w:cstheme="majorBidi"/>
                <w:i w:val="0"/>
                <w:iCs/>
              </w:rPr>
              <w:t>Quarter 202</w:t>
            </w:r>
            <w:r w:rsidR="00160716" w:rsidRPr="00AC415E">
              <w:rPr>
                <w:rFonts w:asciiTheme="majorBidi" w:hAnsiTheme="majorBidi" w:cstheme="majorBidi"/>
                <w:i w:val="0"/>
                <w:iCs/>
              </w:rPr>
              <w:t>2</w:t>
            </w:r>
          </w:p>
        </w:tc>
        <w:tc>
          <w:tcPr>
            <w:tcW w:w="1237" w:type="pct"/>
            <w:vAlign w:val="center"/>
          </w:tcPr>
          <w:p w:rsidR="00E741B1" w:rsidRPr="00AC415E" w:rsidRDefault="00AC415E" w:rsidP="00AC415E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t>Stock at the end of the</w:t>
            </w:r>
            <w:r w:rsidR="00EF12BA" w:rsidRPr="00AC415E">
              <w:rPr>
                <w:rFonts w:asciiTheme="majorBidi" w:hAnsiTheme="majorBidi" w:cstheme="majorBidi"/>
              </w:rPr>
              <w:t xml:space="preserve"> </w:t>
            </w:r>
            <w:r w:rsidR="00EF12BA" w:rsidRPr="00AC415E">
              <w:rPr>
                <w:rFonts w:asciiTheme="majorBidi" w:hAnsiTheme="majorBidi" w:cstheme="majorBidi"/>
                <w:i w:val="0"/>
                <w:iCs/>
              </w:rPr>
              <w:t xml:space="preserve">Second </w:t>
            </w:r>
            <w:r w:rsidR="00AA4359" w:rsidRPr="00AC415E">
              <w:rPr>
                <w:rFonts w:asciiTheme="majorBidi" w:hAnsiTheme="majorBidi" w:cstheme="majorBidi"/>
                <w:i w:val="0"/>
                <w:iCs/>
              </w:rPr>
              <w:t xml:space="preserve"> Quarter 202</w:t>
            </w:r>
            <w:r w:rsidR="00160716" w:rsidRPr="00AC415E">
              <w:rPr>
                <w:rFonts w:asciiTheme="majorBidi" w:hAnsiTheme="majorBidi" w:cstheme="majorBidi"/>
                <w:i w:val="0"/>
                <w:iCs/>
              </w:rPr>
              <w:t>2</w:t>
            </w:r>
          </w:p>
        </w:tc>
        <w:tc>
          <w:tcPr>
            <w:tcW w:w="2544" w:type="pct"/>
            <w:vAlign w:val="center"/>
          </w:tcPr>
          <w:p w:rsidR="00E741B1" w:rsidRPr="00AC415E" w:rsidRDefault="00E741B1" w:rsidP="006119AB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1,278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1,305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197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188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1,081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1,117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0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792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679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308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309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484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104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104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104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104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41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41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affiliated companies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41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41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direct investors</w:t>
            </w:r>
          </w:p>
        </w:tc>
      </w:tr>
      <w:tr w:rsidR="00AC415E" w:rsidRPr="00AC415E" w:rsidTr="00AC415E">
        <w:trPr>
          <w:trHeight w:val="326"/>
        </w:trPr>
        <w:tc>
          <w:tcPr>
            <w:tcW w:w="1219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2,215</w:t>
            </w:r>
          </w:p>
        </w:tc>
        <w:tc>
          <w:tcPr>
            <w:tcW w:w="1237" w:type="pct"/>
            <w:vAlign w:val="bottom"/>
          </w:tcPr>
          <w:p w:rsidR="00EF12BA" w:rsidRPr="00AC415E" w:rsidRDefault="00EF12BA" w:rsidP="00AC415E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2,129</w:t>
            </w:r>
          </w:p>
        </w:tc>
        <w:tc>
          <w:tcPr>
            <w:tcW w:w="2544" w:type="pct"/>
            <w:vAlign w:val="bottom"/>
          </w:tcPr>
          <w:p w:rsidR="00EF12BA" w:rsidRPr="00AC415E" w:rsidRDefault="00EF12BA" w:rsidP="006119AB">
            <w:pPr>
              <w:rPr>
                <w:rFonts w:asciiTheme="majorBidi" w:hAnsiTheme="majorBidi" w:cstheme="majorBidi"/>
                <w:i w:val="0"/>
                <w:iCs/>
              </w:rPr>
            </w:pPr>
            <w:r w:rsidRPr="00AC415E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F149B2" w:rsidRDefault="00CB0325" w:rsidP="006119AB">
      <w:pPr>
        <w:tabs>
          <w:tab w:val="left" w:pos="8018"/>
        </w:tabs>
        <w:contextualSpacing/>
        <w:rPr>
          <w:rFonts w:ascii="Arial" w:hAnsi="Arial"/>
          <w:i w:val="0"/>
          <w:iCs/>
          <w:sz w:val="22"/>
          <w:szCs w:val="22"/>
          <w:rtl/>
        </w:rPr>
      </w:pPr>
      <w:r w:rsidRPr="00F149B2">
        <w:rPr>
          <w:rFonts w:ascii="Arial" w:hAnsi="Arial"/>
          <w:i w:val="0"/>
          <w:iCs/>
          <w:sz w:val="22"/>
          <w:szCs w:val="22"/>
        </w:rPr>
        <w:tab/>
      </w:r>
    </w:p>
    <w:p w:rsidR="00DB5004" w:rsidRPr="00F149B2" w:rsidRDefault="00DB5004" w:rsidP="006119AB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F149B2" w:rsidRDefault="00DB5004" w:rsidP="006119AB">
      <w:pPr>
        <w:spacing w:before="120" w:after="120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149B2" w:rsidRDefault="00F2693C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p w:rsidR="006B1CE8" w:rsidRPr="00F149B2" w:rsidRDefault="006B1CE8" w:rsidP="006119AB">
      <w:pPr>
        <w:bidi/>
        <w:jc w:val="center"/>
        <w:rPr>
          <w:rFonts w:asciiTheme="majorBidi" w:hAnsiTheme="majorBidi" w:cstheme="majorBidi"/>
        </w:rPr>
      </w:pPr>
    </w:p>
    <w:sectPr w:rsidR="006B1CE8" w:rsidRPr="00F149B2" w:rsidSect="00F01436">
      <w:footerReference w:type="default" r:id="rId9"/>
      <w:pgSz w:w="11907" w:h="16839" w:code="9"/>
      <w:pgMar w:top="1134" w:right="1134" w:bottom="1134" w:left="1134" w:header="284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09" w:rsidRDefault="00F43809" w:rsidP="00885BEC">
      <w:r>
        <w:separator/>
      </w:r>
    </w:p>
  </w:endnote>
  <w:endnote w:type="continuationSeparator" w:id="0">
    <w:p w:rsidR="00F43809" w:rsidRDefault="00F43809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7B" w:rsidRDefault="00F43809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EndPr/>
      <w:sdtContent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F01436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09" w:rsidRDefault="00F43809" w:rsidP="00885BEC">
      <w:r>
        <w:separator/>
      </w:r>
    </w:p>
  </w:footnote>
  <w:footnote w:type="continuationSeparator" w:id="0">
    <w:p w:rsidR="00F43809" w:rsidRDefault="00F43809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15F8"/>
    <w:rsid w:val="0001231A"/>
    <w:rsid w:val="000124A7"/>
    <w:rsid w:val="00013A84"/>
    <w:rsid w:val="000148EC"/>
    <w:rsid w:val="00014C69"/>
    <w:rsid w:val="00020807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197F"/>
    <w:rsid w:val="00072644"/>
    <w:rsid w:val="000726B5"/>
    <w:rsid w:val="00077AA7"/>
    <w:rsid w:val="00080709"/>
    <w:rsid w:val="00080765"/>
    <w:rsid w:val="00081BE1"/>
    <w:rsid w:val="00084741"/>
    <w:rsid w:val="00085209"/>
    <w:rsid w:val="00090534"/>
    <w:rsid w:val="00090697"/>
    <w:rsid w:val="00090A98"/>
    <w:rsid w:val="00091661"/>
    <w:rsid w:val="00092663"/>
    <w:rsid w:val="00093458"/>
    <w:rsid w:val="000934AF"/>
    <w:rsid w:val="00093B55"/>
    <w:rsid w:val="0009408F"/>
    <w:rsid w:val="000944C5"/>
    <w:rsid w:val="0009567F"/>
    <w:rsid w:val="0009774E"/>
    <w:rsid w:val="000A0089"/>
    <w:rsid w:val="000A23B0"/>
    <w:rsid w:val="000A2842"/>
    <w:rsid w:val="000A3B64"/>
    <w:rsid w:val="000A3D5C"/>
    <w:rsid w:val="000A5151"/>
    <w:rsid w:val="000A5E40"/>
    <w:rsid w:val="000B09BC"/>
    <w:rsid w:val="000B19A1"/>
    <w:rsid w:val="000B2406"/>
    <w:rsid w:val="000B304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24E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16CB6"/>
    <w:rsid w:val="00122B0F"/>
    <w:rsid w:val="001243F4"/>
    <w:rsid w:val="001253D2"/>
    <w:rsid w:val="00126E34"/>
    <w:rsid w:val="00130495"/>
    <w:rsid w:val="00131018"/>
    <w:rsid w:val="00132B71"/>
    <w:rsid w:val="001336A8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716"/>
    <w:rsid w:val="001609E2"/>
    <w:rsid w:val="00161954"/>
    <w:rsid w:val="001627FC"/>
    <w:rsid w:val="00162E38"/>
    <w:rsid w:val="001646F7"/>
    <w:rsid w:val="00170276"/>
    <w:rsid w:val="00171363"/>
    <w:rsid w:val="00181A2B"/>
    <w:rsid w:val="001823A8"/>
    <w:rsid w:val="001844CA"/>
    <w:rsid w:val="0018465B"/>
    <w:rsid w:val="001861B2"/>
    <w:rsid w:val="001862D7"/>
    <w:rsid w:val="00190B3C"/>
    <w:rsid w:val="00191CB7"/>
    <w:rsid w:val="001933C3"/>
    <w:rsid w:val="001951A5"/>
    <w:rsid w:val="0019579D"/>
    <w:rsid w:val="00196708"/>
    <w:rsid w:val="001A0774"/>
    <w:rsid w:val="001A3990"/>
    <w:rsid w:val="001A4D2C"/>
    <w:rsid w:val="001A75AC"/>
    <w:rsid w:val="001B0FB0"/>
    <w:rsid w:val="001B1110"/>
    <w:rsid w:val="001B2151"/>
    <w:rsid w:val="001B22C7"/>
    <w:rsid w:val="001B2404"/>
    <w:rsid w:val="001B35EB"/>
    <w:rsid w:val="001B4D6A"/>
    <w:rsid w:val="001B6CC5"/>
    <w:rsid w:val="001B7265"/>
    <w:rsid w:val="001C1307"/>
    <w:rsid w:val="001C161B"/>
    <w:rsid w:val="001C2180"/>
    <w:rsid w:val="001C2247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4C1"/>
    <w:rsid w:val="002106D8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2546"/>
    <w:rsid w:val="00244E71"/>
    <w:rsid w:val="00246BC1"/>
    <w:rsid w:val="00250FBE"/>
    <w:rsid w:val="00251A59"/>
    <w:rsid w:val="0025216F"/>
    <w:rsid w:val="002523D4"/>
    <w:rsid w:val="002528CB"/>
    <w:rsid w:val="00254AB5"/>
    <w:rsid w:val="00254E95"/>
    <w:rsid w:val="00254FB5"/>
    <w:rsid w:val="00255BC3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39D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2328"/>
    <w:rsid w:val="002D3D1B"/>
    <w:rsid w:val="002D40C1"/>
    <w:rsid w:val="002D429D"/>
    <w:rsid w:val="002D5FC8"/>
    <w:rsid w:val="002D7608"/>
    <w:rsid w:val="002E060B"/>
    <w:rsid w:val="002E0670"/>
    <w:rsid w:val="002E20F7"/>
    <w:rsid w:val="002E22CA"/>
    <w:rsid w:val="002E241A"/>
    <w:rsid w:val="002E3BDC"/>
    <w:rsid w:val="002E5E97"/>
    <w:rsid w:val="002E6591"/>
    <w:rsid w:val="002E710B"/>
    <w:rsid w:val="002F1E39"/>
    <w:rsid w:val="002F51DB"/>
    <w:rsid w:val="002F6F48"/>
    <w:rsid w:val="00300B52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27B47"/>
    <w:rsid w:val="003312A1"/>
    <w:rsid w:val="00334D86"/>
    <w:rsid w:val="00334E32"/>
    <w:rsid w:val="0033623F"/>
    <w:rsid w:val="0033635F"/>
    <w:rsid w:val="0034096B"/>
    <w:rsid w:val="0034163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2C4"/>
    <w:rsid w:val="00360975"/>
    <w:rsid w:val="003623FA"/>
    <w:rsid w:val="00363DE2"/>
    <w:rsid w:val="00364DE2"/>
    <w:rsid w:val="003650EA"/>
    <w:rsid w:val="003713EE"/>
    <w:rsid w:val="00371BAA"/>
    <w:rsid w:val="003742D1"/>
    <w:rsid w:val="00376039"/>
    <w:rsid w:val="00376277"/>
    <w:rsid w:val="00376DA0"/>
    <w:rsid w:val="00377817"/>
    <w:rsid w:val="0038255A"/>
    <w:rsid w:val="00382E41"/>
    <w:rsid w:val="003838AD"/>
    <w:rsid w:val="0038458B"/>
    <w:rsid w:val="00385033"/>
    <w:rsid w:val="003857CD"/>
    <w:rsid w:val="00385B91"/>
    <w:rsid w:val="00387A29"/>
    <w:rsid w:val="00390435"/>
    <w:rsid w:val="003916ED"/>
    <w:rsid w:val="00391B60"/>
    <w:rsid w:val="00394B30"/>
    <w:rsid w:val="00397CC6"/>
    <w:rsid w:val="003A1748"/>
    <w:rsid w:val="003A3E2C"/>
    <w:rsid w:val="003A41BC"/>
    <w:rsid w:val="003A441E"/>
    <w:rsid w:val="003A7091"/>
    <w:rsid w:val="003B0C69"/>
    <w:rsid w:val="003B2285"/>
    <w:rsid w:val="003B4EFD"/>
    <w:rsid w:val="003B56C9"/>
    <w:rsid w:val="003C00B9"/>
    <w:rsid w:val="003C22E0"/>
    <w:rsid w:val="003C4844"/>
    <w:rsid w:val="003C5966"/>
    <w:rsid w:val="003C64EA"/>
    <w:rsid w:val="003D005D"/>
    <w:rsid w:val="003D1AD0"/>
    <w:rsid w:val="003D2935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31E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21C5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75B38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138"/>
    <w:rsid w:val="004968BA"/>
    <w:rsid w:val="00496B15"/>
    <w:rsid w:val="004A5A58"/>
    <w:rsid w:val="004A6FCF"/>
    <w:rsid w:val="004B46C3"/>
    <w:rsid w:val="004B5431"/>
    <w:rsid w:val="004B6088"/>
    <w:rsid w:val="004B65A3"/>
    <w:rsid w:val="004B6F4B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D5B74"/>
    <w:rsid w:val="004E0A56"/>
    <w:rsid w:val="004E120D"/>
    <w:rsid w:val="004E2CDA"/>
    <w:rsid w:val="004E3896"/>
    <w:rsid w:val="004E48F0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3C49"/>
    <w:rsid w:val="00544D08"/>
    <w:rsid w:val="00545118"/>
    <w:rsid w:val="00545C08"/>
    <w:rsid w:val="005506A6"/>
    <w:rsid w:val="00550FEB"/>
    <w:rsid w:val="00552DE8"/>
    <w:rsid w:val="00553325"/>
    <w:rsid w:val="005540CE"/>
    <w:rsid w:val="00554D40"/>
    <w:rsid w:val="00557B46"/>
    <w:rsid w:val="005606A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065"/>
    <w:rsid w:val="00587861"/>
    <w:rsid w:val="00590575"/>
    <w:rsid w:val="0059372F"/>
    <w:rsid w:val="00594133"/>
    <w:rsid w:val="00595820"/>
    <w:rsid w:val="005A0581"/>
    <w:rsid w:val="005A05C8"/>
    <w:rsid w:val="005A2675"/>
    <w:rsid w:val="005A4E76"/>
    <w:rsid w:val="005A622B"/>
    <w:rsid w:val="005B0FB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292F"/>
    <w:rsid w:val="005D32C1"/>
    <w:rsid w:val="005D60B4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06EC4"/>
    <w:rsid w:val="006101E4"/>
    <w:rsid w:val="006119AB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6664C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1CE8"/>
    <w:rsid w:val="006B5EE1"/>
    <w:rsid w:val="006B61A0"/>
    <w:rsid w:val="006C0330"/>
    <w:rsid w:val="006C3E2A"/>
    <w:rsid w:val="006C46B3"/>
    <w:rsid w:val="006C4F86"/>
    <w:rsid w:val="006C5842"/>
    <w:rsid w:val="006C5ED3"/>
    <w:rsid w:val="006D24EE"/>
    <w:rsid w:val="006D2BD6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0589"/>
    <w:rsid w:val="007115CF"/>
    <w:rsid w:val="007117F4"/>
    <w:rsid w:val="00713756"/>
    <w:rsid w:val="00720A7F"/>
    <w:rsid w:val="00725408"/>
    <w:rsid w:val="00727151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1E99"/>
    <w:rsid w:val="0076206A"/>
    <w:rsid w:val="007634C9"/>
    <w:rsid w:val="0076521B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2A5"/>
    <w:rsid w:val="00786E33"/>
    <w:rsid w:val="00795FD1"/>
    <w:rsid w:val="00796D97"/>
    <w:rsid w:val="00796DF9"/>
    <w:rsid w:val="007971E6"/>
    <w:rsid w:val="007A0A4E"/>
    <w:rsid w:val="007A0E58"/>
    <w:rsid w:val="007A1768"/>
    <w:rsid w:val="007A67ED"/>
    <w:rsid w:val="007A705B"/>
    <w:rsid w:val="007B0F66"/>
    <w:rsid w:val="007B1CC5"/>
    <w:rsid w:val="007B438C"/>
    <w:rsid w:val="007C159F"/>
    <w:rsid w:val="007C3F47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56A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168"/>
    <w:rsid w:val="00812AC2"/>
    <w:rsid w:val="00813699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5B9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4C1C"/>
    <w:rsid w:val="00885814"/>
    <w:rsid w:val="00885BEC"/>
    <w:rsid w:val="00887793"/>
    <w:rsid w:val="00887DDA"/>
    <w:rsid w:val="00892B81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145"/>
    <w:rsid w:val="008C3935"/>
    <w:rsid w:val="008C6098"/>
    <w:rsid w:val="008C7DA5"/>
    <w:rsid w:val="008D3918"/>
    <w:rsid w:val="008D3B4F"/>
    <w:rsid w:val="008D58D0"/>
    <w:rsid w:val="008D6DAC"/>
    <w:rsid w:val="008E4CA4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5A56"/>
    <w:rsid w:val="00906711"/>
    <w:rsid w:val="00906D73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12ED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4ED1"/>
    <w:rsid w:val="009A5052"/>
    <w:rsid w:val="009A62CC"/>
    <w:rsid w:val="009A7592"/>
    <w:rsid w:val="009A7BFB"/>
    <w:rsid w:val="009B2698"/>
    <w:rsid w:val="009B2A2B"/>
    <w:rsid w:val="009B4EDA"/>
    <w:rsid w:val="009C33E4"/>
    <w:rsid w:val="009D0085"/>
    <w:rsid w:val="009D1130"/>
    <w:rsid w:val="009D1202"/>
    <w:rsid w:val="009D1D31"/>
    <w:rsid w:val="009D3211"/>
    <w:rsid w:val="009D3B48"/>
    <w:rsid w:val="009D486A"/>
    <w:rsid w:val="009D4935"/>
    <w:rsid w:val="009D4B49"/>
    <w:rsid w:val="009D56B2"/>
    <w:rsid w:val="009D5850"/>
    <w:rsid w:val="009D6BA3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143"/>
    <w:rsid w:val="009F6862"/>
    <w:rsid w:val="00A0261D"/>
    <w:rsid w:val="00A05211"/>
    <w:rsid w:val="00A071CF"/>
    <w:rsid w:val="00A11EF4"/>
    <w:rsid w:val="00A13EA4"/>
    <w:rsid w:val="00A14C59"/>
    <w:rsid w:val="00A17436"/>
    <w:rsid w:val="00A211F1"/>
    <w:rsid w:val="00A21E60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64E89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64A1"/>
    <w:rsid w:val="00A87406"/>
    <w:rsid w:val="00A92509"/>
    <w:rsid w:val="00A93623"/>
    <w:rsid w:val="00A959EE"/>
    <w:rsid w:val="00A96BFE"/>
    <w:rsid w:val="00AA021F"/>
    <w:rsid w:val="00AA1DB3"/>
    <w:rsid w:val="00AA3270"/>
    <w:rsid w:val="00AA4359"/>
    <w:rsid w:val="00AA48AF"/>
    <w:rsid w:val="00AB0CE8"/>
    <w:rsid w:val="00AB1319"/>
    <w:rsid w:val="00AB1D58"/>
    <w:rsid w:val="00AB4D46"/>
    <w:rsid w:val="00AB66A4"/>
    <w:rsid w:val="00AC415E"/>
    <w:rsid w:val="00AC76F7"/>
    <w:rsid w:val="00AC7CA6"/>
    <w:rsid w:val="00AC7D5A"/>
    <w:rsid w:val="00AD2395"/>
    <w:rsid w:val="00AD280C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3F23"/>
    <w:rsid w:val="00B0409D"/>
    <w:rsid w:val="00B04FC6"/>
    <w:rsid w:val="00B05E68"/>
    <w:rsid w:val="00B06256"/>
    <w:rsid w:val="00B13D84"/>
    <w:rsid w:val="00B15440"/>
    <w:rsid w:val="00B16062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1A43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1AC6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06B9"/>
    <w:rsid w:val="00BB2CD8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1F99"/>
    <w:rsid w:val="00BE39B9"/>
    <w:rsid w:val="00BE39E1"/>
    <w:rsid w:val="00BE785D"/>
    <w:rsid w:val="00BE7AFD"/>
    <w:rsid w:val="00BF0CB8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1CA5"/>
    <w:rsid w:val="00C23EB0"/>
    <w:rsid w:val="00C24535"/>
    <w:rsid w:val="00C256DB"/>
    <w:rsid w:val="00C33D58"/>
    <w:rsid w:val="00C36857"/>
    <w:rsid w:val="00C36978"/>
    <w:rsid w:val="00C41CBB"/>
    <w:rsid w:val="00C443A9"/>
    <w:rsid w:val="00C46578"/>
    <w:rsid w:val="00C46679"/>
    <w:rsid w:val="00C46856"/>
    <w:rsid w:val="00C50347"/>
    <w:rsid w:val="00C51098"/>
    <w:rsid w:val="00C51EDB"/>
    <w:rsid w:val="00C51EE7"/>
    <w:rsid w:val="00C52220"/>
    <w:rsid w:val="00C5265D"/>
    <w:rsid w:val="00C5482B"/>
    <w:rsid w:val="00C56B7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04C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90"/>
    <w:rsid w:val="00C87CE8"/>
    <w:rsid w:val="00C92770"/>
    <w:rsid w:val="00C935F5"/>
    <w:rsid w:val="00C9485F"/>
    <w:rsid w:val="00C95AD7"/>
    <w:rsid w:val="00C95F13"/>
    <w:rsid w:val="00CA21A4"/>
    <w:rsid w:val="00CA323C"/>
    <w:rsid w:val="00CA332B"/>
    <w:rsid w:val="00CA3332"/>
    <w:rsid w:val="00CA3846"/>
    <w:rsid w:val="00CA3918"/>
    <w:rsid w:val="00CA3989"/>
    <w:rsid w:val="00CA3E44"/>
    <w:rsid w:val="00CA74CE"/>
    <w:rsid w:val="00CB0325"/>
    <w:rsid w:val="00CB1059"/>
    <w:rsid w:val="00CB31FA"/>
    <w:rsid w:val="00CB377E"/>
    <w:rsid w:val="00CB3F93"/>
    <w:rsid w:val="00CB4298"/>
    <w:rsid w:val="00CB51E9"/>
    <w:rsid w:val="00CB69DF"/>
    <w:rsid w:val="00CB721E"/>
    <w:rsid w:val="00CB7601"/>
    <w:rsid w:val="00CC1D43"/>
    <w:rsid w:val="00CC2528"/>
    <w:rsid w:val="00CC3528"/>
    <w:rsid w:val="00CC3DA4"/>
    <w:rsid w:val="00CC4912"/>
    <w:rsid w:val="00CC53C1"/>
    <w:rsid w:val="00CD132E"/>
    <w:rsid w:val="00CE0208"/>
    <w:rsid w:val="00CE0DC1"/>
    <w:rsid w:val="00CE1143"/>
    <w:rsid w:val="00CE3CDD"/>
    <w:rsid w:val="00CE5EB9"/>
    <w:rsid w:val="00CE6041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3DDD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4949"/>
    <w:rsid w:val="00D55E68"/>
    <w:rsid w:val="00D56E3B"/>
    <w:rsid w:val="00D57892"/>
    <w:rsid w:val="00D63164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6AB4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B786B"/>
    <w:rsid w:val="00DC196A"/>
    <w:rsid w:val="00DC1F91"/>
    <w:rsid w:val="00DC292C"/>
    <w:rsid w:val="00DC2E42"/>
    <w:rsid w:val="00DC5DC2"/>
    <w:rsid w:val="00DC64E4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E77BE"/>
    <w:rsid w:val="00DF39A7"/>
    <w:rsid w:val="00DF3ABA"/>
    <w:rsid w:val="00DF4813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1A81"/>
    <w:rsid w:val="00E12C55"/>
    <w:rsid w:val="00E16B47"/>
    <w:rsid w:val="00E16D3D"/>
    <w:rsid w:val="00E16D50"/>
    <w:rsid w:val="00E17FE9"/>
    <w:rsid w:val="00E30EFE"/>
    <w:rsid w:val="00E337E2"/>
    <w:rsid w:val="00E34380"/>
    <w:rsid w:val="00E34BA6"/>
    <w:rsid w:val="00E355BA"/>
    <w:rsid w:val="00E35DA1"/>
    <w:rsid w:val="00E36FA8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28D7"/>
    <w:rsid w:val="00EC3390"/>
    <w:rsid w:val="00EC418E"/>
    <w:rsid w:val="00EC5050"/>
    <w:rsid w:val="00EC580C"/>
    <w:rsid w:val="00EC6E9B"/>
    <w:rsid w:val="00EC7F16"/>
    <w:rsid w:val="00ED028B"/>
    <w:rsid w:val="00ED0711"/>
    <w:rsid w:val="00ED3FCC"/>
    <w:rsid w:val="00ED46C4"/>
    <w:rsid w:val="00ED7C5C"/>
    <w:rsid w:val="00EE02A9"/>
    <w:rsid w:val="00EE0E4C"/>
    <w:rsid w:val="00EE2376"/>
    <w:rsid w:val="00EE3932"/>
    <w:rsid w:val="00EE5E0F"/>
    <w:rsid w:val="00EF0235"/>
    <w:rsid w:val="00EF0669"/>
    <w:rsid w:val="00EF12BA"/>
    <w:rsid w:val="00EF13BF"/>
    <w:rsid w:val="00EF1536"/>
    <w:rsid w:val="00EF7518"/>
    <w:rsid w:val="00F00306"/>
    <w:rsid w:val="00F00BF5"/>
    <w:rsid w:val="00F01344"/>
    <w:rsid w:val="00F01436"/>
    <w:rsid w:val="00F03889"/>
    <w:rsid w:val="00F03B37"/>
    <w:rsid w:val="00F04D52"/>
    <w:rsid w:val="00F05F1C"/>
    <w:rsid w:val="00F108D7"/>
    <w:rsid w:val="00F111F6"/>
    <w:rsid w:val="00F12823"/>
    <w:rsid w:val="00F13F43"/>
    <w:rsid w:val="00F149B2"/>
    <w:rsid w:val="00F16F88"/>
    <w:rsid w:val="00F21843"/>
    <w:rsid w:val="00F21DBA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3809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0587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3778"/>
    <w:rsid w:val="00F84672"/>
    <w:rsid w:val="00F84D01"/>
    <w:rsid w:val="00F86A73"/>
    <w:rsid w:val="00F87856"/>
    <w:rsid w:val="00F90043"/>
    <w:rsid w:val="00F91DCF"/>
    <w:rsid w:val="00F92240"/>
    <w:rsid w:val="00F932AC"/>
    <w:rsid w:val="00F9532D"/>
    <w:rsid w:val="00F957FD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C791E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437C"/>
    <w:rsid w:val="00FE5702"/>
    <w:rsid w:val="00FE5EE0"/>
    <w:rsid w:val="00FE6056"/>
    <w:rsid w:val="00FE6EDE"/>
    <w:rsid w:val="00FE733F"/>
    <w:rsid w:val="00FF2333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945B6F"/>
  <w15:docId w15:val="{41113B86-279F-4F8E-8300-D443A4D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9D1-2640-4C24-A7BB-4B60145617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69745A-CB2D-4D29-A488-BBC714EB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Saed Khalil</dc:creator>
  <cp:keywords>PUBLIC - عام</cp:keywords>
  <cp:lastModifiedBy>Hadeel Badran</cp:lastModifiedBy>
  <cp:revision>3</cp:revision>
  <cp:lastPrinted>2022-09-21T10:06:00Z</cp:lastPrinted>
  <dcterms:created xsi:type="dcterms:W3CDTF">2022-12-19T09:40:00Z</dcterms:created>
  <dcterms:modified xsi:type="dcterms:W3CDTF">2022-12-19T09:44:00Z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977b04bd-0273-47ce-829a-9bd2329d0cd6</vt:lpwstr>
  </property>
  <property fmtid="{D5CDD505-2E9C-101B-9397-08002B2CF9AE}" pid="5" name="bjSaver">
    <vt:lpwstr>MGlve4BmAq75WNicJRBf1B5O43smf+Ic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7" name="bjDocumentLabelXML-0">
    <vt:lpwstr>ames.com/2008/01/sie/internal/label"&gt;&lt;element uid="89d3b76a-033d-441b-8672-393549e2b1c3" value="" /&gt;&lt;/sisl&gt;</vt:lpwstr>
  </property>
  <property fmtid="{D5CDD505-2E9C-101B-9397-08002B2CF9AE}" pid="8" name="bjDocumentSecurityLabel">
    <vt:lpwstr>PUBLIC - عام</vt:lpwstr>
  </property>
</Properties>
</file>