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A439A" w14:textId="77777777" w:rsidR="000C7E47" w:rsidRDefault="000C7E47" w:rsidP="00AB60DF">
      <w:pPr>
        <w:pStyle w:val="BodyText"/>
        <w:bidi w:val="0"/>
        <w:spacing w:after="0"/>
        <w:jc w:val="center"/>
        <w:rPr>
          <w:b/>
          <w:bCs/>
          <w:color w:val="000000" w:themeColor="text1"/>
          <w:sz w:val="32"/>
          <w:szCs w:val="32"/>
          <w:rtl/>
        </w:rPr>
      </w:pPr>
    </w:p>
    <w:p w14:paraId="630AEF00" w14:textId="213F80BB" w:rsidR="00AB60DF" w:rsidRPr="000C7E47" w:rsidRDefault="00783787" w:rsidP="000C7E47">
      <w:pPr>
        <w:pStyle w:val="BodyText"/>
        <w:bidi w:val="0"/>
        <w:spacing w:after="0"/>
        <w:jc w:val="center"/>
        <w:rPr>
          <w:b/>
          <w:bCs/>
          <w:color w:val="000000" w:themeColor="text1"/>
          <w:sz w:val="32"/>
          <w:szCs w:val="32"/>
        </w:rPr>
      </w:pPr>
      <w:r w:rsidRPr="000C7E47">
        <w:rPr>
          <w:b/>
          <w:bCs/>
          <w:color w:val="000000" w:themeColor="text1"/>
          <w:sz w:val="32"/>
          <w:szCs w:val="32"/>
        </w:rPr>
        <w:t xml:space="preserve">The </w:t>
      </w:r>
      <w:r w:rsidR="004D3C25" w:rsidRPr="000C7E47">
        <w:rPr>
          <w:b/>
          <w:bCs/>
          <w:color w:val="000000" w:themeColor="text1"/>
          <w:sz w:val="32"/>
          <w:szCs w:val="32"/>
        </w:rPr>
        <w:t xml:space="preserve">Palestinian Central Bureau of Statistics (PCBS) </w:t>
      </w:r>
      <w:r w:rsidRPr="000C7E47">
        <w:rPr>
          <w:b/>
          <w:bCs/>
          <w:color w:val="000000" w:themeColor="text1"/>
          <w:sz w:val="32"/>
          <w:szCs w:val="32"/>
        </w:rPr>
        <w:t xml:space="preserve">issues a press release </w:t>
      </w:r>
      <w:r w:rsidR="004D3C25" w:rsidRPr="000C7E47">
        <w:rPr>
          <w:b/>
          <w:bCs/>
          <w:color w:val="000000" w:themeColor="text1"/>
          <w:sz w:val="32"/>
          <w:szCs w:val="32"/>
        </w:rPr>
        <w:t xml:space="preserve">on the </w:t>
      </w:r>
      <w:r w:rsidR="00A26AAC" w:rsidRPr="000C7E47">
        <w:rPr>
          <w:b/>
          <w:bCs/>
          <w:color w:val="000000" w:themeColor="text1"/>
          <w:sz w:val="32"/>
          <w:szCs w:val="32"/>
        </w:rPr>
        <w:t xml:space="preserve">Fiftieth </w:t>
      </w:r>
      <w:r w:rsidR="004D3C25" w:rsidRPr="000C7E47">
        <w:rPr>
          <w:b/>
          <w:bCs/>
          <w:color w:val="000000" w:themeColor="text1"/>
          <w:sz w:val="32"/>
          <w:szCs w:val="32"/>
        </w:rPr>
        <w:t>Annual Commemoration of Land Day</w:t>
      </w:r>
      <w:r w:rsidR="00AF2BDD" w:rsidRPr="000C7E47">
        <w:rPr>
          <w:b/>
          <w:bCs/>
          <w:color w:val="000000" w:themeColor="text1"/>
          <w:sz w:val="32"/>
          <w:szCs w:val="32"/>
        </w:rPr>
        <w:t xml:space="preserve"> </w:t>
      </w:r>
    </w:p>
    <w:p w14:paraId="180ACE86" w14:textId="1987E66C" w:rsidR="004D54B7" w:rsidRDefault="00AF2BDD" w:rsidP="00AB60DF">
      <w:pPr>
        <w:pStyle w:val="BodyText"/>
        <w:bidi w:val="0"/>
        <w:spacing w:after="0"/>
        <w:jc w:val="center"/>
        <w:rPr>
          <w:b/>
          <w:bCs/>
          <w:color w:val="000000" w:themeColor="text1"/>
          <w:sz w:val="32"/>
          <w:szCs w:val="32"/>
          <w:rtl/>
        </w:rPr>
      </w:pPr>
      <w:proofErr w:type="gramStart"/>
      <w:r w:rsidRPr="000C7E47">
        <w:rPr>
          <w:b/>
          <w:bCs/>
          <w:color w:val="000000" w:themeColor="text1"/>
          <w:sz w:val="32"/>
          <w:szCs w:val="32"/>
        </w:rPr>
        <w:t>on</w:t>
      </w:r>
      <w:proofErr w:type="gramEnd"/>
      <w:r w:rsidRPr="000C7E47">
        <w:rPr>
          <w:b/>
          <w:bCs/>
          <w:color w:val="000000" w:themeColor="text1"/>
          <w:sz w:val="32"/>
          <w:szCs w:val="32"/>
        </w:rPr>
        <w:t xml:space="preserve"> </w:t>
      </w:r>
      <w:r w:rsidR="004D3C25" w:rsidRPr="000C7E47">
        <w:rPr>
          <w:b/>
          <w:bCs/>
          <w:color w:val="000000" w:themeColor="text1"/>
          <w:sz w:val="32"/>
          <w:szCs w:val="32"/>
        </w:rPr>
        <w:t xml:space="preserve">March </w:t>
      </w:r>
      <w:r w:rsidR="00443400" w:rsidRPr="000C7E47">
        <w:rPr>
          <w:b/>
          <w:bCs/>
          <w:color w:val="000000" w:themeColor="text1"/>
          <w:sz w:val="32"/>
          <w:szCs w:val="32"/>
        </w:rPr>
        <w:t>30</w:t>
      </w:r>
      <w:r w:rsidRPr="000C7E47">
        <w:rPr>
          <w:b/>
          <w:bCs/>
          <w:color w:val="000000" w:themeColor="text1"/>
          <w:sz w:val="32"/>
          <w:szCs w:val="32"/>
          <w:vertAlign w:val="superscript"/>
        </w:rPr>
        <w:t>th</w:t>
      </w:r>
      <w:r w:rsidR="00443400" w:rsidRPr="000C7E47">
        <w:rPr>
          <w:b/>
          <w:bCs/>
          <w:color w:val="000000" w:themeColor="text1"/>
          <w:sz w:val="32"/>
          <w:szCs w:val="32"/>
        </w:rPr>
        <w:t xml:space="preserve">, </w:t>
      </w:r>
      <w:r w:rsidR="00F73204" w:rsidRPr="000C7E47">
        <w:rPr>
          <w:rFonts w:hint="cs"/>
          <w:b/>
          <w:bCs/>
          <w:color w:val="000000" w:themeColor="text1"/>
          <w:sz w:val="32"/>
          <w:szCs w:val="32"/>
          <w:rtl/>
        </w:rPr>
        <w:t>202</w:t>
      </w:r>
      <w:r w:rsidR="00A26AAC" w:rsidRPr="000C7E47">
        <w:rPr>
          <w:b/>
          <w:bCs/>
          <w:color w:val="000000" w:themeColor="text1"/>
          <w:sz w:val="32"/>
          <w:szCs w:val="32"/>
        </w:rPr>
        <w:t>6</w:t>
      </w:r>
    </w:p>
    <w:p w14:paraId="0D9F6FD0" w14:textId="77777777" w:rsidR="000C7E47" w:rsidRPr="000C7E47" w:rsidRDefault="000C7E47" w:rsidP="000C7E47">
      <w:pPr>
        <w:pStyle w:val="BodyText"/>
        <w:bidi w:val="0"/>
        <w:spacing w:after="0"/>
        <w:jc w:val="center"/>
        <w:rPr>
          <w:b/>
          <w:bCs/>
          <w:color w:val="000000" w:themeColor="text1"/>
          <w:sz w:val="32"/>
          <w:szCs w:val="32"/>
        </w:rPr>
      </w:pPr>
    </w:p>
    <w:p w14:paraId="3FF58391" w14:textId="77777777" w:rsidR="000313E9" w:rsidRPr="001C3F14" w:rsidRDefault="000313E9" w:rsidP="000313E9">
      <w:pPr>
        <w:pStyle w:val="BodyText"/>
        <w:bidi w:val="0"/>
        <w:spacing w:after="0"/>
        <w:jc w:val="center"/>
        <w:rPr>
          <w:b/>
          <w:bCs/>
          <w:color w:val="000000" w:themeColor="text1"/>
          <w:sz w:val="22"/>
          <w:szCs w:val="22"/>
        </w:rPr>
      </w:pPr>
    </w:p>
    <w:p w14:paraId="71A1B109" w14:textId="6E8BAF2B" w:rsidR="00CA7B00" w:rsidRDefault="00CA7B00" w:rsidP="001742A5">
      <w:pPr>
        <w:pStyle w:val="BodyTextIndent"/>
        <w:ind w:left="0"/>
        <w:rPr>
          <w:color w:val="000000" w:themeColor="text1"/>
          <w:sz w:val="26"/>
          <w:szCs w:val="26"/>
          <w:rtl/>
        </w:rPr>
      </w:pPr>
      <w:r w:rsidRPr="000C7E47">
        <w:rPr>
          <w:color w:val="000000" w:themeColor="text1"/>
          <w:sz w:val="26"/>
          <w:szCs w:val="26"/>
        </w:rPr>
        <w:t>The Palestinian people remember the Annual Commemoration of Land Day</w:t>
      </w:r>
      <w:r w:rsidR="008A33DC" w:rsidRPr="000C7E47">
        <w:rPr>
          <w:color w:val="000000" w:themeColor="text1"/>
          <w:sz w:val="26"/>
          <w:szCs w:val="26"/>
        </w:rPr>
        <w:t xml:space="preserve">, </w:t>
      </w:r>
      <w:r w:rsidR="001742A5" w:rsidRPr="000C7E47">
        <w:rPr>
          <w:color w:val="000000" w:themeColor="text1"/>
          <w:sz w:val="26"/>
          <w:szCs w:val="26"/>
        </w:rPr>
        <w:t xml:space="preserve">on </w:t>
      </w:r>
      <w:r w:rsidR="008A33DC" w:rsidRPr="000C7E47">
        <w:rPr>
          <w:color w:val="000000" w:themeColor="text1"/>
          <w:sz w:val="26"/>
          <w:szCs w:val="26"/>
        </w:rPr>
        <w:t>which six Palestinian</w:t>
      </w:r>
      <w:r w:rsidR="00C6171E" w:rsidRPr="000C7E47">
        <w:rPr>
          <w:color w:val="000000" w:themeColor="text1"/>
          <w:sz w:val="26"/>
          <w:szCs w:val="26"/>
        </w:rPr>
        <w:t>s</w:t>
      </w:r>
      <w:r w:rsidR="005B01AC" w:rsidRPr="000C7E47">
        <w:rPr>
          <w:color w:val="000000" w:themeColor="text1"/>
          <w:sz w:val="26"/>
          <w:szCs w:val="26"/>
        </w:rPr>
        <w:t xml:space="preserve"> </w:t>
      </w:r>
      <w:proofErr w:type="gramStart"/>
      <w:r w:rsidR="005B01AC" w:rsidRPr="000C7E47">
        <w:rPr>
          <w:color w:val="000000" w:themeColor="text1"/>
          <w:sz w:val="26"/>
          <w:szCs w:val="26"/>
        </w:rPr>
        <w:t>were</w:t>
      </w:r>
      <w:r w:rsidR="008A33DC" w:rsidRPr="000C7E47">
        <w:rPr>
          <w:color w:val="000000" w:themeColor="text1"/>
          <w:sz w:val="26"/>
          <w:szCs w:val="26"/>
        </w:rPr>
        <w:t xml:space="preserve"> </w:t>
      </w:r>
      <w:r w:rsidR="005E0A20" w:rsidRPr="000C7E47">
        <w:rPr>
          <w:color w:val="000000" w:themeColor="text1"/>
          <w:sz w:val="26"/>
          <w:szCs w:val="26"/>
        </w:rPr>
        <w:t>martyred</w:t>
      </w:r>
      <w:proofErr w:type="gramEnd"/>
      <w:r w:rsidR="008A33DC" w:rsidRPr="000C7E47">
        <w:rPr>
          <w:color w:val="000000" w:themeColor="text1"/>
          <w:sz w:val="26"/>
          <w:szCs w:val="26"/>
        </w:rPr>
        <w:t xml:space="preserve"> by the Israeli occupation</w:t>
      </w:r>
      <w:r w:rsidR="009F2385" w:rsidRPr="000C7E47">
        <w:rPr>
          <w:color w:val="000000" w:themeColor="text1"/>
          <w:sz w:val="26"/>
          <w:szCs w:val="26"/>
        </w:rPr>
        <w:t xml:space="preserve">. </w:t>
      </w:r>
      <w:r w:rsidR="00AF2BDD" w:rsidRPr="000C7E47">
        <w:rPr>
          <w:color w:val="000000" w:themeColor="text1"/>
          <w:sz w:val="26"/>
          <w:szCs w:val="26"/>
        </w:rPr>
        <w:t xml:space="preserve">It is the </w:t>
      </w:r>
      <w:r w:rsidRPr="000C7E47">
        <w:rPr>
          <w:color w:val="000000" w:themeColor="text1"/>
          <w:sz w:val="26"/>
          <w:szCs w:val="26"/>
        </w:rPr>
        <w:t xml:space="preserve">day </w:t>
      </w:r>
      <w:r w:rsidR="001742A5" w:rsidRPr="000C7E47">
        <w:rPr>
          <w:color w:val="000000" w:themeColor="text1"/>
          <w:sz w:val="26"/>
          <w:szCs w:val="26"/>
        </w:rPr>
        <w:t xml:space="preserve">on </w:t>
      </w:r>
      <w:r w:rsidRPr="000C7E47">
        <w:rPr>
          <w:color w:val="000000" w:themeColor="text1"/>
          <w:sz w:val="26"/>
          <w:szCs w:val="26"/>
        </w:rPr>
        <w:t>which the</w:t>
      </w:r>
      <w:r w:rsidR="00AF2BDD" w:rsidRPr="000C7E47">
        <w:rPr>
          <w:color w:val="000000" w:themeColor="text1"/>
          <w:sz w:val="26"/>
          <w:szCs w:val="26"/>
        </w:rPr>
        <w:t xml:space="preserve"> </w:t>
      </w:r>
      <w:r w:rsidRPr="000C7E47">
        <w:rPr>
          <w:color w:val="000000" w:themeColor="text1"/>
          <w:sz w:val="26"/>
          <w:szCs w:val="26"/>
        </w:rPr>
        <w:t xml:space="preserve">Israeli occupation laid </w:t>
      </w:r>
      <w:r w:rsidR="001742A5" w:rsidRPr="000C7E47">
        <w:rPr>
          <w:color w:val="000000" w:themeColor="text1"/>
          <w:sz w:val="26"/>
          <w:szCs w:val="26"/>
        </w:rPr>
        <w:t xml:space="preserve">its </w:t>
      </w:r>
      <w:r w:rsidRPr="000C7E47">
        <w:rPr>
          <w:color w:val="000000" w:themeColor="text1"/>
          <w:sz w:val="26"/>
          <w:szCs w:val="26"/>
        </w:rPr>
        <w:t>hand over and</w:t>
      </w:r>
      <w:r w:rsidR="00AF2BDD" w:rsidRPr="000C7E47">
        <w:rPr>
          <w:color w:val="000000" w:themeColor="text1"/>
          <w:sz w:val="26"/>
          <w:szCs w:val="26"/>
        </w:rPr>
        <w:t xml:space="preserve"> </w:t>
      </w:r>
      <w:r w:rsidRPr="000C7E47">
        <w:rPr>
          <w:color w:val="000000" w:themeColor="text1"/>
          <w:sz w:val="26"/>
          <w:szCs w:val="26"/>
        </w:rPr>
        <w:t>confiscated 21 thousand dunums of land in Al-</w:t>
      </w:r>
      <w:proofErr w:type="spellStart"/>
      <w:r w:rsidRPr="000C7E47">
        <w:rPr>
          <w:color w:val="000000" w:themeColor="text1"/>
          <w:sz w:val="26"/>
          <w:szCs w:val="26"/>
        </w:rPr>
        <w:t>Jalil</w:t>
      </w:r>
      <w:proofErr w:type="spellEnd"/>
      <w:r w:rsidRPr="000C7E47">
        <w:rPr>
          <w:color w:val="000000" w:themeColor="text1"/>
          <w:sz w:val="26"/>
          <w:szCs w:val="26"/>
        </w:rPr>
        <w:t>, Al-</w:t>
      </w:r>
      <w:proofErr w:type="spellStart"/>
      <w:r w:rsidRPr="000C7E47">
        <w:rPr>
          <w:color w:val="000000" w:themeColor="text1"/>
          <w:sz w:val="26"/>
          <w:szCs w:val="26"/>
        </w:rPr>
        <w:t>Muthalath</w:t>
      </w:r>
      <w:proofErr w:type="spellEnd"/>
      <w:r w:rsidR="00210AC6" w:rsidRPr="000C7E47">
        <w:rPr>
          <w:color w:val="000000" w:themeColor="text1"/>
          <w:sz w:val="26"/>
          <w:szCs w:val="26"/>
        </w:rPr>
        <w:t>,</w:t>
      </w:r>
      <w:r w:rsidRPr="000C7E47">
        <w:rPr>
          <w:color w:val="000000" w:themeColor="text1"/>
          <w:sz w:val="26"/>
          <w:szCs w:val="26"/>
        </w:rPr>
        <w:t xml:space="preserve"> and Al-</w:t>
      </w:r>
      <w:proofErr w:type="spellStart"/>
      <w:r w:rsidRPr="000C7E47">
        <w:rPr>
          <w:color w:val="000000" w:themeColor="text1"/>
          <w:sz w:val="26"/>
          <w:szCs w:val="26"/>
        </w:rPr>
        <w:t>Naqab</w:t>
      </w:r>
      <w:proofErr w:type="spellEnd"/>
      <w:r w:rsidRPr="000C7E47">
        <w:rPr>
          <w:color w:val="000000" w:themeColor="text1"/>
          <w:sz w:val="26"/>
          <w:szCs w:val="26"/>
        </w:rPr>
        <w:t xml:space="preserve"> on March </w:t>
      </w:r>
      <w:proofErr w:type="gramStart"/>
      <w:r w:rsidR="005A0FB5" w:rsidRPr="000C7E47">
        <w:rPr>
          <w:color w:val="000000" w:themeColor="text1"/>
          <w:sz w:val="26"/>
          <w:szCs w:val="26"/>
        </w:rPr>
        <w:t>30</w:t>
      </w:r>
      <w:r w:rsidR="005A0FB5" w:rsidRPr="000C7E47">
        <w:rPr>
          <w:color w:val="000000" w:themeColor="text1"/>
          <w:sz w:val="26"/>
          <w:szCs w:val="26"/>
          <w:vertAlign w:val="superscript"/>
        </w:rPr>
        <w:t>th</w:t>
      </w:r>
      <w:proofErr w:type="gramEnd"/>
      <w:r w:rsidR="005A0FB5" w:rsidRPr="000C7E47">
        <w:rPr>
          <w:color w:val="000000" w:themeColor="text1"/>
          <w:sz w:val="26"/>
          <w:szCs w:val="26"/>
        </w:rPr>
        <w:t>,</w:t>
      </w:r>
      <w:r w:rsidR="0098386C" w:rsidRPr="000C7E47">
        <w:rPr>
          <w:color w:val="000000" w:themeColor="text1"/>
          <w:sz w:val="26"/>
          <w:szCs w:val="26"/>
        </w:rPr>
        <w:t xml:space="preserve"> </w:t>
      </w:r>
      <w:r w:rsidRPr="000C7E47">
        <w:rPr>
          <w:color w:val="000000" w:themeColor="text1"/>
          <w:sz w:val="26"/>
          <w:szCs w:val="26"/>
        </w:rPr>
        <w:t>1976. Accordingly, this day has become a commemoration to embody the belonging of the Palestinian people to their homeland and to commemorate</w:t>
      </w:r>
      <w:r w:rsidR="006D4037" w:rsidRPr="000C7E47">
        <w:rPr>
          <w:rFonts w:hint="cs"/>
          <w:color w:val="000000" w:themeColor="text1"/>
          <w:sz w:val="26"/>
          <w:szCs w:val="26"/>
          <w:rtl/>
        </w:rPr>
        <w:t xml:space="preserve"> </w:t>
      </w:r>
      <w:r w:rsidRPr="000C7E47">
        <w:rPr>
          <w:color w:val="000000" w:themeColor="text1"/>
          <w:sz w:val="26"/>
          <w:szCs w:val="26"/>
        </w:rPr>
        <w:t>those young martyrs.</w:t>
      </w:r>
    </w:p>
    <w:p w14:paraId="7FCBFD54" w14:textId="77777777" w:rsidR="000C7E47" w:rsidRPr="000C7E47" w:rsidRDefault="000C7E47" w:rsidP="001742A5">
      <w:pPr>
        <w:pStyle w:val="BodyTextIndent"/>
        <w:ind w:left="0"/>
        <w:rPr>
          <w:color w:val="000000" w:themeColor="text1"/>
          <w:sz w:val="26"/>
          <w:szCs w:val="26"/>
        </w:rPr>
      </w:pPr>
    </w:p>
    <w:p w14:paraId="6311959C" w14:textId="77777777" w:rsidR="00CA7B00" w:rsidRPr="000C7E47" w:rsidRDefault="00CA7B00" w:rsidP="00CA7B00">
      <w:pPr>
        <w:pStyle w:val="BodyTextIndent"/>
        <w:ind w:left="0"/>
        <w:rPr>
          <w:color w:val="000000" w:themeColor="text1"/>
          <w:sz w:val="26"/>
          <w:szCs w:val="26"/>
        </w:rPr>
      </w:pPr>
    </w:p>
    <w:p w14:paraId="34A57EE1" w14:textId="51F3254D" w:rsidR="006C64E8" w:rsidRPr="000C7E47" w:rsidRDefault="00D50B5F" w:rsidP="00084A7F">
      <w:pPr>
        <w:jc w:val="center"/>
        <w:rPr>
          <w:b/>
          <w:bCs/>
          <w:color w:val="000000" w:themeColor="text1"/>
          <w:sz w:val="28"/>
          <w:szCs w:val="28"/>
          <w:rtl/>
        </w:rPr>
      </w:pPr>
      <w:r w:rsidRPr="000C7E47">
        <w:rPr>
          <w:b/>
          <w:bCs/>
          <w:color w:val="000000" w:themeColor="text1"/>
          <w:sz w:val="28"/>
          <w:szCs w:val="28"/>
        </w:rPr>
        <w:t xml:space="preserve">The </w:t>
      </w:r>
      <w:r w:rsidR="006C64E8" w:rsidRPr="000C7E47">
        <w:rPr>
          <w:b/>
          <w:bCs/>
          <w:color w:val="000000" w:themeColor="text1"/>
          <w:sz w:val="28"/>
          <w:szCs w:val="28"/>
        </w:rPr>
        <w:t xml:space="preserve">Israeli occupation controls more than 85% of the land </w:t>
      </w:r>
    </w:p>
    <w:p w14:paraId="32933CDE" w14:textId="007A26BD" w:rsidR="006C64E8" w:rsidRPr="000C7E47" w:rsidRDefault="00B05D15" w:rsidP="00C076E7">
      <w:pPr>
        <w:pStyle w:val="BodyTextIndent"/>
        <w:ind w:left="0"/>
        <w:rPr>
          <w:color w:val="000000" w:themeColor="text1"/>
          <w:sz w:val="26"/>
          <w:szCs w:val="26"/>
        </w:rPr>
      </w:pPr>
      <w:r w:rsidRPr="000C7E47">
        <w:rPr>
          <w:color w:val="000000" w:themeColor="text1"/>
          <w:sz w:val="26"/>
          <w:szCs w:val="26"/>
        </w:rPr>
        <w:t>The</w:t>
      </w:r>
      <w:r w:rsidR="006C64E8" w:rsidRPr="000C7E47">
        <w:rPr>
          <w:color w:val="000000" w:themeColor="text1"/>
          <w:sz w:val="26"/>
          <w:szCs w:val="26"/>
        </w:rPr>
        <w:t xml:space="preserve"> Israeli occupation exploits more than 85% of the total land in historic</w:t>
      </w:r>
      <w:r w:rsidR="00C10D03" w:rsidRPr="000C7E47">
        <w:rPr>
          <w:color w:val="000000" w:themeColor="text1"/>
          <w:sz w:val="26"/>
          <w:szCs w:val="26"/>
        </w:rPr>
        <w:t>al</w:t>
      </w:r>
      <w:r w:rsidR="006C64E8" w:rsidRPr="000C7E47">
        <w:rPr>
          <w:color w:val="000000" w:themeColor="text1"/>
          <w:sz w:val="26"/>
          <w:szCs w:val="26"/>
        </w:rPr>
        <w:t xml:space="preserve"> Palestine, knowing that </w:t>
      </w:r>
      <w:r w:rsidR="00025F9E" w:rsidRPr="000C7E47">
        <w:rPr>
          <w:color w:val="000000" w:themeColor="text1"/>
          <w:sz w:val="26"/>
          <w:szCs w:val="26"/>
        </w:rPr>
        <w:t xml:space="preserve">the </w:t>
      </w:r>
      <w:r w:rsidR="00C076E7" w:rsidRPr="000C7E47">
        <w:rPr>
          <w:color w:val="000000" w:themeColor="text1"/>
          <w:sz w:val="26"/>
          <w:szCs w:val="26"/>
        </w:rPr>
        <w:t>Israelis</w:t>
      </w:r>
      <w:r w:rsidR="000F269E" w:rsidRPr="000C7E47">
        <w:rPr>
          <w:color w:val="000000" w:themeColor="text1"/>
          <w:sz w:val="26"/>
          <w:szCs w:val="26"/>
        </w:rPr>
        <w:t>,</w:t>
      </w:r>
      <w:r w:rsidR="006C64E8" w:rsidRPr="000C7E47">
        <w:rPr>
          <w:color w:val="000000" w:themeColor="text1"/>
          <w:sz w:val="26"/>
          <w:szCs w:val="26"/>
        </w:rPr>
        <w:t xml:space="preserve"> during the era of the British Mandate until 1947</w:t>
      </w:r>
      <w:r w:rsidR="000F269E" w:rsidRPr="000C7E47">
        <w:rPr>
          <w:color w:val="000000" w:themeColor="text1"/>
          <w:sz w:val="26"/>
          <w:szCs w:val="26"/>
        </w:rPr>
        <w:t>,</w:t>
      </w:r>
      <w:r w:rsidR="006C64E8" w:rsidRPr="000C7E47">
        <w:rPr>
          <w:color w:val="000000" w:themeColor="text1"/>
          <w:sz w:val="26"/>
          <w:szCs w:val="26"/>
        </w:rPr>
        <w:t xml:space="preserve"> exploited only 1,682 km</w:t>
      </w:r>
      <w:r w:rsidR="006C64E8" w:rsidRPr="000C7E47">
        <w:rPr>
          <w:color w:val="000000" w:themeColor="text1"/>
          <w:sz w:val="26"/>
          <w:szCs w:val="26"/>
          <w:vertAlign w:val="superscript"/>
        </w:rPr>
        <w:t>2</w:t>
      </w:r>
      <w:r w:rsidR="006C64E8" w:rsidRPr="000C7E47">
        <w:rPr>
          <w:color w:val="000000" w:themeColor="text1"/>
          <w:sz w:val="26"/>
          <w:szCs w:val="26"/>
        </w:rPr>
        <w:t>, which constituted 6.2% of the land of historical Palestine.</w:t>
      </w:r>
    </w:p>
    <w:p w14:paraId="5592CFD0" w14:textId="77777777" w:rsidR="00E439A1" w:rsidRPr="000C7E47" w:rsidRDefault="00E439A1" w:rsidP="00E439A1">
      <w:pPr>
        <w:pStyle w:val="BodyTextIndent"/>
        <w:ind w:left="0"/>
        <w:rPr>
          <w:color w:val="000000" w:themeColor="text1"/>
          <w:sz w:val="26"/>
          <w:szCs w:val="26"/>
          <w:rtl/>
        </w:rPr>
      </w:pPr>
    </w:p>
    <w:p w14:paraId="30B648C8" w14:textId="014E591B" w:rsidR="00B05D15" w:rsidRPr="000C7E47" w:rsidRDefault="00B05D15" w:rsidP="00C10D03">
      <w:pPr>
        <w:pStyle w:val="BodyTextIndent"/>
        <w:ind w:left="0"/>
        <w:rPr>
          <w:color w:val="000000" w:themeColor="text1"/>
          <w:sz w:val="26"/>
          <w:szCs w:val="26"/>
        </w:rPr>
      </w:pPr>
      <w:r w:rsidRPr="000C7E47">
        <w:rPr>
          <w:color w:val="000000" w:themeColor="text1"/>
          <w:sz w:val="26"/>
          <w:szCs w:val="26"/>
        </w:rPr>
        <w:t>The Israeli occupation is still imposing its control over more Palestinian lands in the West Bank under various pretexts and names, as the confiscated areas during 202</w:t>
      </w:r>
      <w:r w:rsidR="00A26AAC" w:rsidRPr="000C7E47">
        <w:rPr>
          <w:color w:val="000000" w:themeColor="text1"/>
          <w:sz w:val="26"/>
          <w:szCs w:val="26"/>
        </w:rPr>
        <w:t>5</w:t>
      </w:r>
      <w:r w:rsidRPr="000C7E47">
        <w:rPr>
          <w:color w:val="000000" w:themeColor="text1"/>
          <w:sz w:val="26"/>
          <w:szCs w:val="26"/>
        </w:rPr>
        <w:t xml:space="preserve"> </w:t>
      </w:r>
      <w:r w:rsidR="00C10D03" w:rsidRPr="000C7E47">
        <w:rPr>
          <w:color w:val="000000" w:themeColor="text1"/>
          <w:sz w:val="26"/>
          <w:szCs w:val="26"/>
        </w:rPr>
        <w:t xml:space="preserve">were </w:t>
      </w:r>
      <w:r w:rsidRPr="000C7E47">
        <w:rPr>
          <w:color w:val="000000" w:themeColor="text1"/>
          <w:sz w:val="26"/>
          <w:szCs w:val="26"/>
        </w:rPr>
        <w:t xml:space="preserve">more than </w:t>
      </w:r>
      <w:r w:rsidR="00A26AAC" w:rsidRPr="000C7E47">
        <w:rPr>
          <w:color w:val="000000" w:themeColor="text1"/>
          <w:sz w:val="26"/>
          <w:szCs w:val="26"/>
        </w:rPr>
        <w:t>5,571</w:t>
      </w:r>
      <w:r w:rsidRPr="000C7E47">
        <w:rPr>
          <w:color w:val="000000" w:themeColor="text1"/>
          <w:sz w:val="26"/>
          <w:szCs w:val="26"/>
        </w:rPr>
        <w:t xml:space="preserve"> </w:t>
      </w:r>
      <w:proofErr w:type="spellStart"/>
      <w:r w:rsidRPr="000C7E47">
        <w:rPr>
          <w:color w:val="000000" w:themeColor="text1"/>
          <w:sz w:val="26"/>
          <w:szCs w:val="26"/>
        </w:rPr>
        <w:t>dunums</w:t>
      </w:r>
      <w:proofErr w:type="spellEnd"/>
      <w:r w:rsidR="00D50B5F" w:rsidRPr="000C7E47">
        <w:rPr>
          <w:color w:val="000000" w:themeColor="text1"/>
          <w:sz w:val="26"/>
          <w:szCs w:val="26"/>
        </w:rPr>
        <w:t>.</w:t>
      </w:r>
      <w:r w:rsidRPr="000C7E47">
        <w:rPr>
          <w:color w:val="000000" w:themeColor="text1"/>
          <w:sz w:val="26"/>
          <w:szCs w:val="26"/>
        </w:rPr>
        <w:t xml:space="preserve"> During 202</w:t>
      </w:r>
      <w:r w:rsidR="00A26AAC" w:rsidRPr="000C7E47">
        <w:rPr>
          <w:color w:val="000000" w:themeColor="text1"/>
          <w:sz w:val="26"/>
          <w:szCs w:val="26"/>
        </w:rPr>
        <w:t>5</w:t>
      </w:r>
      <w:r w:rsidRPr="000C7E47">
        <w:rPr>
          <w:color w:val="000000" w:themeColor="text1"/>
          <w:sz w:val="26"/>
          <w:szCs w:val="26"/>
        </w:rPr>
        <w:t xml:space="preserve">, </w:t>
      </w:r>
      <w:r w:rsidR="00A26AAC" w:rsidRPr="000C7E47">
        <w:rPr>
          <w:color w:val="000000" w:themeColor="text1"/>
          <w:sz w:val="26"/>
          <w:szCs w:val="26"/>
        </w:rPr>
        <w:t>94</w:t>
      </w:r>
      <w:r w:rsidRPr="000C7E47">
        <w:rPr>
          <w:color w:val="000000" w:themeColor="text1"/>
          <w:sz w:val="26"/>
          <w:szCs w:val="26"/>
        </w:rPr>
        <w:t xml:space="preserve"> sequestration orders </w:t>
      </w:r>
      <w:proofErr w:type="gramStart"/>
      <w:r w:rsidRPr="000C7E47">
        <w:rPr>
          <w:color w:val="000000" w:themeColor="text1"/>
          <w:sz w:val="26"/>
          <w:szCs w:val="26"/>
        </w:rPr>
        <w:t>were issued</w:t>
      </w:r>
      <w:proofErr w:type="gramEnd"/>
      <w:r w:rsidRPr="000C7E47">
        <w:rPr>
          <w:color w:val="000000" w:themeColor="text1"/>
          <w:sz w:val="26"/>
          <w:szCs w:val="26"/>
        </w:rPr>
        <w:t xml:space="preserve"> regarding about </w:t>
      </w:r>
      <w:r w:rsidR="00A26AAC" w:rsidRPr="000C7E47">
        <w:rPr>
          <w:color w:val="000000" w:themeColor="text1"/>
          <w:sz w:val="26"/>
          <w:szCs w:val="26"/>
        </w:rPr>
        <w:t>2,609</w:t>
      </w:r>
      <w:r w:rsidRPr="000C7E47">
        <w:rPr>
          <w:color w:val="000000" w:themeColor="text1"/>
          <w:sz w:val="26"/>
          <w:szCs w:val="26"/>
        </w:rPr>
        <w:t xml:space="preserve"> dunums, </w:t>
      </w:r>
      <w:r w:rsidR="00A26AAC" w:rsidRPr="000C7E47">
        <w:rPr>
          <w:color w:val="000000" w:themeColor="text1"/>
          <w:sz w:val="26"/>
          <w:szCs w:val="26"/>
        </w:rPr>
        <w:t>3</w:t>
      </w:r>
      <w:r w:rsidR="00E84152" w:rsidRPr="000C7E47">
        <w:rPr>
          <w:color w:val="000000" w:themeColor="text1"/>
          <w:sz w:val="26"/>
          <w:szCs w:val="26"/>
        </w:rPr>
        <w:t xml:space="preserve"> </w:t>
      </w:r>
      <w:r w:rsidRPr="000C7E47">
        <w:rPr>
          <w:color w:val="000000" w:themeColor="text1"/>
          <w:sz w:val="26"/>
          <w:szCs w:val="26"/>
        </w:rPr>
        <w:t xml:space="preserve">expropriation orders for approximately </w:t>
      </w:r>
      <w:r w:rsidR="00A26AAC" w:rsidRPr="000C7E47">
        <w:rPr>
          <w:color w:val="000000" w:themeColor="text1"/>
          <w:sz w:val="26"/>
          <w:szCs w:val="26"/>
        </w:rPr>
        <w:t>1,731</w:t>
      </w:r>
      <w:r w:rsidRPr="000C7E47">
        <w:rPr>
          <w:color w:val="000000" w:themeColor="text1"/>
          <w:sz w:val="26"/>
          <w:szCs w:val="26"/>
        </w:rPr>
        <w:t xml:space="preserve"> dunums, </w:t>
      </w:r>
      <w:r w:rsidR="00C10D03" w:rsidRPr="000C7E47">
        <w:rPr>
          <w:color w:val="000000" w:themeColor="text1"/>
          <w:sz w:val="26"/>
          <w:szCs w:val="26"/>
        </w:rPr>
        <w:t xml:space="preserve">and </w:t>
      </w:r>
      <w:r w:rsidR="00A26AAC" w:rsidRPr="000C7E47">
        <w:rPr>
          <w:color w:val="000000" w:themeColor="text1"/>
          <w:sz w:val="26"/>
          <w:szCs w:val="26"/>
        </w:rPr>
        <w:t>3</w:t>
      </w:r>
      <w:r w:rsidR="00E84152" w:rsidRPr="000C7E47">
        <w:rPr>
          <w:color w:val="000000" w:themeColor="text1"/>
          <w:sz w:val="26"/>
          <w:szCs w:val="26"/>
        </w:rPr>
        <w:t xml:space="preserve"> </w:t>
      </w:r>
      <w:r w:rsidRPr="000C7E47">
        <w:rPr>
          <w:color w:val="000000" w:themeColor="text1"/>
          <w:sz w:val="26"/>
          <w:szCs w:val="26"/>
        </w:rPr>
        <w:t xml:space="preserve">orders declaring state land for approximately </w:t>
      </w:r>
      <w:r w:rsidR="00A26AAC" w:rsidRPr="000C7E47">
        <w:rPr>
          <w:color w:val="000000" w:themeColor="text1"/>
          <w:sz w:val="26"/>
          <w:szCs w:val="26"/>
        </w:rPr>
        <w:t>1,231 dunums</w:t>
      </w:r>
      <w:r w:rsidRPr="000C7E47">
        <w:rPr>
          <w:color w:val="000000" w:themeColor="text1"/>
          <w:sz w:val="26"/>
          <w:szCs w:val="26"/>
        </w:rPr>
        <w:t xml:space="preserve">. All of </w:t>
      </w:r>
      <w:r w:rsidR="00C10D03" w:rsidRPr="000C7E47">
        <w:rPr>
          <w:color w:val="000000" w:themeColor="text1"/>
          <w:sz w:val="26"/>
          <w:szCs w:val="26"/>
        </w:rPr>
        <w:t>these orders</w:t>
      </w:r>
      <w:r w:rsidRPr="000C7E47">
        <w:rPr>
          <w:color w:val="000000" w:themeColor="text1"/>
          <w:sz w:val="26"/>
          <w:szCs w:val="26"/>
        </w:rPr>
        <w:t xml:space="preserve"> were part of the systematic and ongoing policy to control all Palestinian lands and deprive </w:t>
      </w:r>
      <w:r w:rsidR="00C10D03" w:rsidRPr="000C7E47">
        <w:rPr>
          <w:color w:val="000000" w:themeColor="text1"/>
          <w:sz w:val="26"/>
          <w:szCs w:val="26"/>
        </w:rPr>
        <w:t xml:space="preserve">Palestinians </w:t>
      </w:r>
      <w:r w:rsidRPr="000C7E47">
        <w:rPr>
          <w:color w:val="000000" w:themeColor="text1"/>
          <w:sz w:val="26"/>
          <w:szCs w:val="26"/>
        </w:rPr>
        <w:t>from exploiting their natural resources within the annexation policy pursued by the Israeli occupation authorities in the West Bank.</w:t>
      </w:r>
    </w:p>
    <w:p w14:paraId="2F1397AC" w14:textId="02E62AFC" w:rsidR="005D7771" w:rsidRPr="000C7E47" w:rsidRDefault="005D7771" w:rsidP="000C7E47">
      <w:pPr>
        <w:pStyle w:val="BodyTextIndent"/>
        <w:ind w:left="0"/>
        <w:jc w:val="left"/>
        <w:rPr>
          <w:b/>
          <w:bCs/>
          <w:color w:val="000000" w:themeColor="text1"/>
          <w:sz w:val="26"/>
          <w:szCs w:val="26"/>
        </w:rPr>
      </w:pPr>
    </w:p>
    <w:p w14:paraId="1AABE788" w14:textId="255A002D" w:rsidR="00843E34" w:rsidRPr="000C7E47" w:rsidRDefault="003F2EC6" w:rsidP="006E1AD5">
      <w:pPr>
        <w:pStyle w:val="BodyTextIndent"/>
        <w:ind w:left="0"/>
        <w:jc w:val="both"/>
        <w:rPr>
          <w:color w:val="000000" w:themeColor="text1"/>
          <w:sz w:val="26"/>
          <w:szCs w:val="26"/>
          <w:rtl/>
        </w:rPr>
      </w:pPr>
      <w:r w:rsidRPr="000C7E47">
        <w:rPr>
          <w:color w:val="000000" w:themeColor="text1"/>
          <w:sz w:val="26"/>
          <w:szCs w:val="26"/>
        </w:rPr>
        <w:t xml:space="preserve">The number of martyrs in Palestine since the start of the </w:t>
      </w:r>
      <w:r w:rsidR="00CE39B2" w:rsidRPr="000C7E47">
        <w:rPr>
          <w:color w:val="000000" w:themeColor="text1"/>
          <w:sz w:val="26"/>
          <w:szCs w:val="26"/>
        </w:rPr>
        <w:t xml:space="preserve">Israeli occupation aggression </w:t>
      </w:r>
      <w:r w:rsidRPr="000C7E47">
        <w:rPr>
          <w:color w:val="000000" w:themeColor="text1"/>
          <w:sz w:val="26"/>
          <w:szCs w:val="26"/>
        </w:rPr>
        <w:t xml:space="preserve">on </w:t>
      </w:r>
      <w:r w:rsidR="00CE39B2" w:rsidRPr="000C7E47">
        <w:rPr>
          <w:color w:val="000000" w:themeColor="text1"/>
          <w:sz w:val="26"/>
          <w:szCs w:val="26"/>
        </w:rPr>
        <w:t xml:space="preserve">October </w:t>
      </w:r>
      <w:proofErr w:type="gramStart"/>
      <w:r w:rsidR="00CE39B2" w:rsidRPr="000C7E47">
        <w:rPr>
          <w:color w:val="000000" w:themeColor="text1"/>
          <w:sz w:val="26"/>
          <w:szCs w:val="26"/>
        </w:rPr>
        <w:t>7</w:t>
      </w:r>
      <w:r w:rsidR="00CE39B2" w:rsidRPr="000C7E47">
        <w:rPr>
          <w:color w:val="000000" w:themeColor="text1"/>
          <w:sz w:val="26"/>
          <w:szCs w:val="26"/>
          <w:vertAlign w:val="superscript"/>
        </w:rPr>
        <w:t>th</w:t>
      </w:r>
      <w:proofErr w:type="gramEnd"/>
      <w:r w:rsidRPr="000C7E47">
        <w:rPr>
          <w:color w:val="000000" w:themeColor="text1"/>
          <w:sz w:val="26"/>
          <w:szCs w:val="26"/>
        </w:rPr>
        <w:t>, 2023</w:t>
      </w:r>
      <w:r w:rsidR="00C10D03" w:rsidRPr="000C7E47">
        <w:rPr>
          <w:color w:val="000000" w:themeColor="text1"/>
          <w:sz w:val="26"/>
          <w:szCs w:val="26"/>
        </w:rPr>
        <w:t>,</w:t>
      </w:r>
      <w:r w:rsidRPr="000C7E47">
        <w:rPr>
          <w:color w:val="000000" w:themeColor="text1"/>
          <w:sz w:val="26"/>
          <w:szCs w:val="26"/>
        </w:rPr>
        <w:t xml:space="preserve"> until March </w:t>
      </w:r>
      <w:r w:rsidR="001C3F14" w:rsidRPr="000C7E47">
        <w:rPr>
          <w:color w:val="000000" w:themeColor="text1"/>
          <w:sz w:val="26"/>
          <w:szCs w:val="26"/>
        </w:rPr>
        <w:t>10</w:t>
      </w:r>
      <w:r w:rsidR="00CE39B2" w:rsidRPr="000C7E47">
        <w:rPr>
          <w:color w:val="000000" w:themeColor="text1"/>
          <w:sz w:val="26"/>
          <w:szCs w:val="26"/>
          <w:vertAlign w:val="superscript"/>
        </w:rPr>
        <w:t>th</w:t>
      </w:r>
      <w:r w:rsidRPr="000C7E47">
        <w:rPr>
          <w:color w:val="000000" w:themeColor="text1"/>
          <w:sz w:val="26"/>
          <w:szCs w:val="26"/>
        </w:rPr>
        <w:t>, 202</w:t>
      </w:r>
      <w:r w:rsidR="00A26AAC" w:rsidRPr="000C7E47">
        <w:rPr>
          <w:color w:val="000000" w:themeColor="text1"/>
          <w:sz w:val="26"/>
          <w:szCs w:val="26"/>
        </w:rPr>
        <w:t>6</w:t>
      </w:r>
      <w:r w:rsidR="00C10D03" w:rsidRPr="000C7E47">
        <w:rPr>
          <w:color w:val="000000" w:themeColor="text1"/>
          <w:sz w:val="26"/>
          <w:szCs w:val="26"/>
        </w:rPr>
        <w:t>,</w:t>
      </w:r>
      <w:r w:rsidRPr="000C7E47">
        <w:rPr>
          <w:color w:val="000000" w:themeColor="text1"/>
          <w:sz w:val="26"/>
          <w:szCs w:val="26"/>
        </w:rPr>
        <w:t xml:space="preserve"> </w:t>
      </w:r>
      <w:r w:rsidR="00A26AAC" w:rsidRPr="000C7E47">
        <w:rPr>
          <w:color w:val="000000" w:themeColor="text1"/>
          <w:sz w:val="26"/>
          <w:szCs w:val="26"/>
        </w:rPr>
        <w:t xml:space="preserve">reached more than </w:t>
      </w:r>
      <w:r w:rsidR="006643D4" w:rsidRPr="000C7E47">
        <w:rPr>
          <w:color w:val="000000" w:themeColor="text1"/>
          <w:sz w:val="26"/>
          <w:szCs w:val="26"/>
        </w:rPr>
        <w:t>73,259</w:t>
      </w:r>
      <w:r w:rsidR="00145DF2" w:rsidRPr="000C7E47">
        <w:rPr>
          <w:color w:val="000000" w:themeColor="text1"/>
          <w:sz w:val="26"/>
          <w:szCs w:val="26"/>
        </w:rPr>
        <w:t xml:space="preserve"> </w:t>
      </w:r>
      <w:r w:rsidRPr="000C7E47">
        <w:rPr>
          <w:color w:val="000000" w:themeColor="text1"/>
          <w:sz w:val="26"/>
          <w:szCs w:val="26"/>
        </w:rPr>
        <w:t>martyrs</w:t>
      </w:r>
      <w:r w:rsidR="006643D4" w:rsidRPr="000C7E47">
        <w:rPr>
          <w:color w:val="000000" w:themeColor="text1"/>
          <w:sz w:val="26"/>
          <w:szCs w:val="26"/>
        </w:rPr>
        <w:t xml:space="preserve"> </w:t>
      </w:r>
      <w:r w:rsidR="00457FD9" w:rsidRPr="000C7E47">
        <w:rPr>
          <w:color w:val="000000" w:themeColor="text1"/>
          <w:sz w:val="26"/>
          <w:szCs w:val="26"/>
        </w:rPr>
        <w:t>(</w:t>
      </w:r>
      <w:r w:rsidR="006643D4" w:rsidRPr="000C7E47">
        <w:rPr>
          <w:color w:val="000000" w:themeColor="text1"/>
          <w:sz w:val="26"/>
          <w:szCs w:val="26"/>
        </w:rPr>
        <w:t>72,134 martyrs in Gaza Strip</w:t>
      </w:r>
      <w:r w:rsidR="00457FD9" w:rsidRPr="000C7E47">
        <w:rPr>
          <w:color w:val="000000" w:themeColor="text1"/>
          <w:sz w:val="26"/>
          <w:szCs w:val="26"/>
        </w:rPr>
        <w:t>)</w:t>
      </w:r>
      <w:r w:rsidR="00D50B5F" w:rsidRPr="000C7E47">
        <w:rPr>
          <w:color w:val="000000" w:themeColor="text1"/>
          <w:sz w:val="26"/>
          <w:szCs w:val="26"/>
        </w:rPr>
        <w:t xml:space="preserve">. Hence, more </w:t>
      </w:r>
      <w:r w:rsidR="00E439A1" w:rsidRPr="000C7E47">
        <w:rPr>
          <w:color w:val="000000" w:themeColor="text1"/>
          <w:sz w:val="26"/>
          <w:szCs w:val="26"/>
        </w:rPr>
        <w:t>than</w:t>
      </w:r>
      <w:r w:rsidRPr="000C7E47">
        <w:rPr>
          <w:color w:val="000000" w:themeColor="text1"/>
          <w:sz w:val="26"/>
          <w:szCs w:val="26"/>
        </w:rPr>
        <w:t xml:space="preserve"> </w:t>
      </w:r>
      <w:r w:rsidR="00145DF2" w:rsidRPr="000C7E47">
        <w:rPr>
          <w:color w:val="000000" w:themeColor="text1"/>
          <w:sz w:val="26"/>
          <w:szCs w:val="26"/>
        </w:rPr>
        <w:t>18</w:t>
      </w:r>
      <w:r w:rsidRPr="000C7E47">
        <w:rPr>
          <w:color w:val="000000" w:themeColor="text1"/>
          <w:sz w:val="26"/>
          <w:szCs w:val="26"/>
        </w:rPr>
        <w:t>,</w:t>
      </w:r>
      <w:r w:rsidR="00A26AAC" w:rsidRPr="000C7E47">
        <w:rPr>
          <w:color w:val="000000" w:themeColor="text1"/>
          <w:sz w:val="26"/>
          <w:szCs w:val="26"/>
        </w:rPr>
        <w:t>5</w:t>
      </w:r>
      <w:r w:rsidR="00145DF2" w:rsidRPr="000C7E47">
        <w:rPr>
          <w:color w:val="000000" w:themeColor="text1"/>
          <w:sz w:val="26"/>
          <w:szCs w:val="26"/>
        </w:rPr>
        <w:t xml:space="preserve">00 </w:t>
      </w:r>
      <w:r w:rsidR="00D50B5F" w:rsidRPr="000C7E47">
        <w:rPr>
          <w:color w:val="000000" w:themeColor="text1"/>
          <w:sz w:val="26"/>
          <w:szCs w:val="26"/>
        </w:rPr>
        <w:t xml:space="preserve">martyrs were </w:t>
      </w:r>
      <w:r w:rsidRPr="000C7E47">
        <w:rPr>
          <w:color w:val="000000" w:themeColor="text1"/>
          <w:sz w:val="26"/>
          <w:szCs w:val="26"/>
        </w:rPr>
        <w:t>children</w:t>
      </w:r>
      <w:r w:rsidR="00E84152" w:rsidRPr="000C7E47">
        <w:rPr>
          <w:color w:val="000000" w:themeColor="text1"/>
          <w:sz w:val="26"/>
          <w:szCs w:val="26"/>
        </w:rPr>
        <w:t>,</w:t>
      </w:r>
      <w:r w:rsidRPr="000C7E47">
        <w:rPr>
          <w:color w:val="000000" w:themeColor="text1"/>
          <w:sz w:val="26"/>
          <w:szCs w:val="26"/>
        </w:rPr>
        <w:t xml:space="preserve"> </w:t>
      </w:r>
      <w:r w:rsidR="00E439A1" w:rsidRPr="000C7E47">
        <w:rPr>
          <w:color w:val="000000" w:themeColor="text1"/>
          <w:sz w:val="26"/>
          <w:szCs w:val="26"/>
        </w:rPr>
        <w:t>more than</w:t>
      </w:r>
      <w:r w:rsidRPr="000C7E47">
        <w:rPr>
          <w:color w:val="000000" w:themeColor="text1"/>
          <w:sz w:val="26"/>
          <w:szCs w:val="26"/>
        </w:rPr>
        <w:t xml:space="preserve"> </w:t>
      </w:r>
      <w:r w:rsidR="00D95FC0" w:rsidRPr="000C7E47">
        <w:rPr>
          <w:color w:val="000000" w:themeColor="text1"/>
          <w:sz w:val="26"/>
          <w:szCs w:val="26"/>
        </w:rPr>
        <w:t>12,</w:t>
      </w:r>
      <w:r w:rsidR="00A26AAC" w:rsidRPr="000C7E47">
        <w:rPr>
          <w:color w:val="000000" w:themeColor="text1"/>
          <w:sz w:val="26"/>
          <w:szCs w:val="26"/>
        </w:rPr>
        <w:t>4</w:t>
      </w:r>
      <w:r w:rsidR="00145DF2" w:rsidRPr="000C7E47">
        <w:rPr>
          <w:color w:val="000000" w:themeColor="text1"/>
          <w:sz w:val="26"/>
          <w:szCs w:val="26"/>
        </w:rPr>
        <w:t xml:space="preserve">00 </w:t>
      </w:r>
      <w:r w:rsidR="00D50B5F" w:rsidRPr="000C7E47">
        <w:rPr>
          <w:color w:val="000000" w:themeColor="text1"/>
          <w:sz w:val="26"/>
          <w:szCs w:val="26"/>
        </w:rPr>
        <w:t xml:space="preserve">were </w:t>
      </w:r>
      <w:r w:rsidRPr="000C7E47">
        <w:rPr>
          <w:color w:val="000000" w:themeColor="text1"/>
          <w:sz w:val="26"/>
          <w:szCs w:val="26"/>
        </w:rPr>
        <w:t xml:space="preserve">women, </w:t>
      </w:r>
      <w:r w:rsidR="00E84152" w:rsidRPr="000C7E47">
        <w:rPr>
          <w:color w:val="000000" w:themeColor="text1"/>
          <w:sz w:val="26"/>
          <w:szCs w:val="26"/>
        </w:rPr>
        <w:t xml:space="preserve">in </w:t>
      </w:r>
      <w:r w:rsidR="00D95FC0" w:rsidRPr="000C7E47">
        <w:rPr>
          <w:color w:val="000000" w:themeColor="text1"/>
          <w:sz w:val="26"/>
          <w:szCs w:val="26"/>
        </w:rPr>
        <w:t>addition to about 11,</w:t>
      </w:r>
      <w:r w:rsidR="006E1AD5" w:rsidRPr="000C7E47">
        <w:rPr>
          <w:color w:val="000000" w:themeColor="text1"/>
          <w:sz w:val="26"/>
          <w:szCs w:val="26"/>
        </w:rPr>
        <w:t xml:space="preserve">200 </w:t>
      </w:r>
      <w:r w:rsidR="00D95FC0" w:rsidRPr="000C7E47">
        <w:rPr>
          <w:color w:val="000000" w:themeColor="text1"/>
          <w:sz w:val="26"/>
          <w:szCs w:val="26"/>
        </w:rPr>
        <w:t>missing persons, and about 1</w:t>
      </w:r>
      <w:r w:rsidR="00A26AAC" w:rsidRPr="000C7E47">
        <w:rPr>
          <w:color w:val="000000" w:themeColor="text1"/>
          <w:sz w:val="26"/>
          <w:szCs w:val="26"/>
        </w:rPr>
        <w:t>8</w:t>
      </w:r>
      <w:r w:rsidR="006643D4" w:rsidRPr="000C7E47">
        <w:rPr>
          <w:color w:val="000000" w:themeColor="text1"/>
          <w:sz w:val="26"/>
          <w:szCs w:val="26"/>
        </w:rPr>
        <w:t>2</w:t>
      </w:r>
      <w:r w:rsidR="00D95FC0" w:rsidRPr="000C7E47">
        <w:rPr>
          <w:color w:val="000000" w:themeColor="text1"/>
          <w:sz w:val="26"/>
          <w:szCs w:val="26"/>
        </w:rPr>
        <w:t>,</w:t>
      </w:r>
      <w:r w:rsidR="00EC023A" w:rsidRPr="000C7E47">
        <w:rPr>
          <w:rFonts w:hint="cs"/>
          <w:color w:val="000000" w:themeColor="text1"/>
          <w:sz w:val="26"/>
          <w:szCs w:val="26"/>
          <w:rtl/>
        </w:rPr>
        <w:t>000</w:t>
      </w:r>
      <w:r w:rsidR="00D95FC0" w:rsidRPr="000C7E47">
        <w:rPr>
          <w:color w:val="000000" w:themeColor="text1"/>
          <w:sz w:val="26"/>
          <w:szCs w:val="26"/>
        </w:rPr>
        <w:t xml:space="preserve"> other citizens were injured</w:t>
      </w:r>
      <w:r w:rsidR="00A26AAC" w:rsidRPr="000C7E47">
        <w:rPr>
          <w:color w:val="000000" w:themeColor="text1"/>
          <w:sz w:val="26"/>
          <w:szCs w:val="26"/>
        </w:rPr>
        <w:t>.</w:t>
      </w:r>
    </w:p>
    <w:p w14:paraId="5A48CCF8" w14:textId="77777777" w:rsidR="00843E34" w:rsidRPr="000C7E47" w:rsidRDefault="00843E34" w:rsidP="001C3F14">
      <w:pPr>
        <w:pStyle w:val="BodyTextIndent"/>
        <w:ind w:left="0"/>
        <w:jc w:val="both"/>
        <w:rPr>
          <w:color w:val="000000" w:themeColor="text1"/>
          <w:sz w:val="26"/>
          <w:szCs w:val="26"/>
          <w:rtl/>
        </w:rPr>
      </w:pPr>
    </w:p>
    <w:p w14:paraId="3087104B" w14:textId="18A0577B" w:rsidR="00D95FC0" w:rsidRPr="000C7E47" w:rsidRDefault="005545C7" w:rsidP="001C3F14">
      <w:pPr>
        <w:pStyle w:val="BodyTextIndent"/>
        <w:ind w:left="0"/>
        <w:jc w:val="both"/>
        <w:rPr>
          <w:color w:val="000000" w:themeColor="text1"/>
          <w:sz w:val="26"/>
          <w:szCs w:val="26"/>
        </w:rPr>
      </w:pPr>
      <w:r w:rsidRPr="000C7E47">
        <w:rPr>
          <w:color w:val="000000" w:themeColor="text1"/>
          <w:sz w:val="26"/>
          <w:szCs w:val="26"/>
        </w:rPr>
        <w:t xml:space="preserve">While </w:t>
      </w:r>
      <w:r w:rsidR="00D95FC0" w:rsidRPr="000C7E47">
        <w:rPr>
          <w:color w:val="000000" w:themeColor="text1"/>
          <w:sz w:val="26"/>
          <w:szCs w:val="26"/>
        </w:rPr>
        <w:t xml:space="preserve">in the West Bank, the Israeli occupation continued its aggression; </w:t>
      </w:r>
      <w:r w:rsidR="00A26AAC" w:rsidRPr="000C7E47">
        <w:rPr>
          <w:color w:val="000000" w:themeColor="text1"/>
          <w:sz w:val="26"/>
          <w:szCs w:val="26"/>
        </w:rPr>
        <w:t>1,116</w:t>
      </w:r>
      <w:r w:rsidR="00D95FC0" w:rsidRPr="000C7E47">
        <w:rPr>
          <w:color w:val="000000" w:themeColor="text1"/>
          <w:sz w:val="26"/>
          <w:szCs w:val="26"/>
        </w:rPr>
        <w:t xml:space="preserve"> citizens were martyred, and </w:t>
      </w:r>
      <w:r w:rsidR="00A26AAC" w:rsidRPr="000C7E47">
        <w:rPr>
          <w:color w:val="000000" w:themeColor="text1"/>
          <w:sz w:val="26"/>
          <w:szCs w:val="26"/>
        </w:rPr>
        <w:t>9,000</w:t>
      </w:r>
      <w:r w:rsidR="00D95FC0" w:rsidRPr="000C7E47">
        <w:rPr>
          <w:color w:val="000000" w:themeColor="text1"/>
          <w:sz w:val="26"/>
          <w:szCs w:val="26"/>
        </w:rPr>
        <w:t xml:space="preserve"> others were injured, </w:t>
      </w:r>
      <w:proofErr w:type="gramStart"/>
      <w:r w:rsidR="00D95FC0" w:rsidRPr="000C7E47">
        <w:rPr>
          <w:color w:val="000000" w:themeColor="text1"/>
          <w:sz w:val="26"/>
          <w:szCs w:val="26"/>
        </w:rPr>
        <w:t>as a result</w:t>
      </w:r>
      <w:proofErr w:type="gramEnd"/>
      <w:r w:rsidR="00D95FC0" w:rsidRPr="000C7E47">
        <w:rPr>
          <w:color w:val="000000" w:themeColor="text1"/>
          <w:sz w:val="26"/>
          <w:szCs w:val="26"/>
        </w:rPr>
        <w:t xml:space="preserve"> of </w:t>
      </w:r>
      <w:r w:rsidR="00E84152" w:rsidRPr="000C7E47">
        <w:rPr>
          <w:color w:val="000000" w:themeColor="text1"/>
          <w:sz w:val="26"/>
          <w:szCs w:val="26"/>
        </w:rPr>
        <w:t xml:space="preserve">the </w:t>
      </w:r>
      <w:r w:rsidR="00D95FC0" w:rsidRPr="000C7E47">
        <w:rPr>
          <w:color w:val="000000" w:themeColor="text1"/>
          <w:sz w:val="26"/>
          <w:szCs w:val="26"/>
        </w:rPr>
        <w:t>attacks by the Israeli occupation forces and settlers.</w:t>
      </w:r>
    </w:p>
    <w:p w14:paraId="44F567EB" w14:textId="11628BB3" w:rsidR="008A33DC" w:rsidRPr="000C7E47" w:rsidRDefault="008A33DC" w:rsidP="00BD6515">
      <w:pPr>
        <w:pStyle w:val="BodyTextIndent"/>
        <w:ind w:left="0"/>
        <w:jc w:val="both"/>
        <w:rPr>
          <w:color w:val="000000" w:themeColor="text1"/>
          <w:sz w:val="26"/>
          <w:szCs w:val="26"/>
        </w:rPr>
      </w:pPr>
    </w:p>
    <w:p w14:paraId="0C96123F" w14:textId="7F576592" w:rsidR="00514093" w:rsidRPr="000C7E47" w:rsidRDefault="00514093" w:rsidP="00BD6515">
      <w:pPr>
        <w:pStyle w:val="BodyTextIndent"/>
        <w:ind w:left="0"/>
        <w:jc w:val="both"/>
        <w:rPr>
          <w:color w:val="000000" w:themeColor="text1"/>
          <w:sz w:val="26"/>
          <w:szCs w:val="26"/>
        </w:rPr>
      </w:pPr>
    </w:p>
    <w:p w14:paraId="6497245E" w14:textId="7D5B4EE5" w:rsidR="00514093" w:rsidRPr="000C7E47" w:rsidRDefault="00514093" w:rsidP="00514093">
      <w:pPr>
        <w:pStyle w:val="BodyTextIndent"/>
        <w:ind w:left="0"/>
        <w:jc w:val="center"/>
        <w:rPr>
          <w:rFonts w:asciiTheme="majorBidi" w:hAnsiTheme="majorBidi" w:cstheme="majorBidi"/>
          <w:b/>
          <w:bCs/>
          <w:color w:val="000000" w:themeColor="text1"/>
          <w:sz w:val="28"/>
          <w:szCs w:val="28"/>
        </w:rPr>
      </w:pPr>
      <w:r w:rsidRPr="000C7E47">
        <w:rPr>
          <w:rFonts w:asciiTheme="majorBidi" w:hAnsiTheme="majorBidi" w:cstheme="majorBidi"/>
          <w:b/>
          <w:bCs/>
          <w:color w:val="000000" w:themeColor="text1"/>
          <w:sz w:val="28"/>
          <w:szCs w:val="28"/>
        </w:rPr>
        <w:t xml:space="preserve">More than 102,000 buildings </w:t>
      </w:r>
      <w:proofErr w:type="gramStart"/>
      <w:r w:rsidR="0098386C" w:rsidRPr="000C7E47">
        <w:rPr>
          <w:rFonts w:asciiTheme="majorBidi" w:hAnsiTheme="majorBidi" w:cstheme="majorBidi"/>
          <w:b/>
          <w:bCs/>
          <w:color w:val="000000" w:themeColor="text1"/>
          <w:sz w:val="28"/>
          <w:szCs w:val="28"/>
        </w:rPr>
        <w:t xml:space="preserve">were </w:t>
      </w:r>
      <w:r w:rsidRPr="000C7E47">
        <w:rPr>
          <w:rFonts w:asciiTheme="majorBidi" w:hAnsiTheme="majorBidi" w:cstheme="majorBidi"/>
          <w:b/>
          <w:bCs/>
          <w:color w:val="000000" w:themeColor="text1"/>
          <w:sz w:val="28"/>
          <w:szCs w:val="28"/>
        </w:rPr>
        <w:t>destroyed</w:t>
      </w:r>
      <w:proofErr w:type="gramEnd"/>
      <w:r w:rsidRPr="000C7E47">
        <w:rPr>
          <w:rFonts w:asciiTheme="majorBidi" w:hAnsiTheme="majorBidi" w:cstheme="majorBidi"/>
          <w:b/>
          <w:bCs/>
          <w:color w:val="000000" w:themeColor="text1"/>
          <w:sz w:val="28"/>
          <w:szCs w:val="28"/>
        </w:rPr>
        <w:t xml:space="preserve"> in Gaza Strip.</w:t>
      </w:r>
    </w:p>
    <w:p w14:paraId="7B198C43" w14:textId="73CEAC70" w:rsidR="009330B4" w:rsidRDefault="00514093" w:rsidP="00C10D03">
      <w:pPr>
        <w:pStyle w:val="BodyTextIndent"/>
        <w:ind w:left="0"/>
        <w:jc w:val="both"/>
        <w:rPr>
          <w:rFonts w:asciiTheme="majorBidi" w:hAnsiTheme="majorBidi" w:cstheme="majorBidi"/>
          <w:color w:val="000000" w:themeColor="text1"/>
          <w:sz w:val="26"/>
          <w:szCs w:val="26"/>
          <w:rtl/>
        </w:rPr>
      </w:pPr>
      <w:r w:rsidRPr="000C7E47">
        <w:rPr>
          <w:rFonts w:asciiTheme="majorBidi" w:hAnsiTheme="majorBidi" w:cstheme="majorBidi"/>
          <w:color w:val="000000" w:themeColor="text1"/>
          <w:sz w:val="26"/>
          <w:szCs w:val="26"/>
        </w:rPr>
        <w:t xml:space="preserve">Since the </w:t>
      </w:r>
      <w:r w:rsidR="0098386C" w:rsidRPr="000C7E47">
        <w:rPr>
          <w:rFonts w:asciiTheme="majorBidi" w:hAnsiTheme="majorBidi" w:cstheme="majorBidi"/>
          <w:color w:val="000000" w:themeColor="text1"/>
          <w:sz w:val="26"/>
          <w:szCs w:val="26"/>
        </w:rPr>
        <w:t xml:space="preserve">Israeli </w:t>
      </w:r>
      <w:r w:rsidRPr="000C7E47">
        <w:rPr>
          <w:rFonts w:asciiTheme="majorBidi" w:hAnsiTheme="majorBidi" w:cstheme="majorBidi"/>
          <w:color w:val="000000" w:themeColor="text1"/>
          <w:sz w:val="26"/>
          <w:szCs w:val="26"/>
        </w:rPr>
        <w:t xml:space="preserve">occupation aggression </w:t>
      </w:r>
      <w:r w:rsidR="00C10D03" w:rsidRPr="000C7E47">
        <w:rPr>
          <w:rFonts w:asciiTheme="majorBidi" w:hAnsiTheme="majorBidi" w:cstheme="majorBidi"/>
          <w:color w:val="000000" w:themeColor="text1"/>
          <w:sz w:val="26"/>
          <w:szCs w:val="26"/>
        </w:rPr>
        <w:t xml:space="preserve">against </w:t>
      </w:r>
      <w:r w:rsidRPr="000C7E47">
        <w:rPr>
          <w:rFonts w:asciiTheme="majorBidi" w:hAnsiTheme="majorBidi" w:cstheme="majorBidi"/>
          <w:color w:val="000000" w:themeColor="text1"/>
          <w:sz w:val="26"/>
          <w:szCs w:val="26"/>
        </w:rPr>
        <w:t>Gaza Strip</w:t>
      </w:r>
      <w:r w:rsidR="00C10D03" w:rsidRPr="000C7E47">
        <w:rPr>
          <w:rFonts w:asciiTheme="majorBidi" w:hAnsiTheme="majorBidi" w:cstheme="majorBidi"/>
          <w:color w:val="000000" w:themeColor="text1"/>
          <w:sz w:val="26"/>
          <w:szCs w:val="26"/>
        </w:rPr>
        <w:t xml:space="preserve"> </w:t>
      </w:r>
      <w:r w:rsidRPr="000C7E47">
        <w:rPr>
          <w:rFonts w:asciiTheme="majorBidi" w:hAnsiTheme="majorBidi" w:cstheme="majorBidi"/>
          <w:color w:val="000000" w:themeColor="text1"/>
          <w:sz w:val="26"/>
          <w:szCs w:val="26"/>
        </w:rPr>
        <w:t xml:space="preserve">on October </w:t>
      </w:r>
      <w:proofErr w:type="gramStart"/>
      <w:r w:rsidRPr="000C7E47">
        <w:rPr>
          <w:rFonts w:asciiTheme="majorBidi" w:hAnsiTheme="majorBidi" w:cstheme="majorBidi"/>
          <w:color w:val="000000" w:themeColor="text1"/>
          <w:sz w:val="26"/>
          <w:szCs w:val="26"/>
        </w:rPr>
        <w:t>7</w:t>
      </w:r>
      <w:r w:rsidRPr="000C7E47">
        <w:rPr>
          <w:rFonts w:asciiTheme="majorBidi" w:hAnsiTheme="majorBidi" w:cstheme="majorBidi"/>
          <w:color w:val="000000" w:themeColor="text1"/>
          <w:sz w:val="26"/>
          <w:szCs w:val="26"/>
          <w:vertAlign w:val="superscript"/>
        </w:rPr>
        <w:t>th</w:t>
      </w:r>
      <w:proofErr w:type="gramEnd"/>
      <w:r w:rsidRPr="000C7E47">
        <w:rPr>
          <w:rFonts w:asciiTheme="majorBidi" w:hAnsiTheme="majorBidi" w:cstheme="majorBidi"/>
          <w:color w:val="000000" w:themeColor="text1"/>
          <w:sz w:val="26"/>
          <w:szCs w:val="26"/>
        </w:rPr>
        <w:t>, 2023, the occupation has destroyed more than 102,000 buildings. It is estimated that at least 330,000 housing units were completely or partially destroyed, constituting more than 70% of the housing units in Gaza Strip</w:t>
      </w:r>
      <w:r w:rsidR="00C10D03" w:rsidRPr="000C7E47">
        <w:rPr>
          <w:rFonts w:asciiTheme="majorBidi" w:hAnsiTheme="majorBidi" w:cstheme="majorBidi"/>
          <w:color w:val="000000" w:themeColor="text1"/>
          <w:sz w:val="26"/>
          <w:szCs w:val="26"/>
        </w:rPr>
        <w:t xml:space="preserve">, in </w:t>
      </w:r>
      <w:r w:rsidRPr="000C7E47">
        <w:rPr>
          <w:rFonts w:asciiTheme="majorBidi" w:hAnsiTheme="majorBidi" w:cstheme="majorBidi"/>
          <w:color w:val="000000" w:themeColor="text1"/>
          <w:sz w:val="26"/>
          <w:szCs w:val="26"/>
        </w:rPr>
        <w:t>addition to schools, hospitals, mosques, churches, headquarters, and other basic building materials</w:t>
      </w:r>
      <w:r w:rsidR="00C10D03" w:rsidRPr="000C7E47">
        <w:rPr>
          <w:rFonts w:asciiTheme="majorBidi" w:hAnsiTheme="majorBidi" w:cstheme="majorBidi"/>
          <w:color w:val="000000" w:themeColor="text1"/>
          <w:sz w:val="26"/>
          <w:szCs w:val="26"/>
        </w:rPr>
        <w:t xml:space="preserve">. The </w:t>
      </w:r>
      <w:r w:rsidR="00E5188D" w:rsidRPr="000C7E47">
        <w:rPr>
          <w:rFonts w:asciiTheme="majorBidi" w:hAnsiTheme="majorBidi" w:cstheme="majorBidi"/>
          <w:color w:val="000000" w:themeColor="text1"/>
          <w:sz w:val="26"/>
          <w:szCs w:val="26"/>
        </w:rPr>
        <w:t xml:space="preserve">Israeli </w:t>
      </w:r>
      <w:r w:rsidRPr="000C7E47">
        <w:rPr>
          <w:rFonts w:asciiTheme="majorBidi" w:hAnsiTheme="majorBidi" w:cstheme="majorBidi"/>
          <w:color w:val="000000" w:themeColor="text1"/>
          <w:sz w:val="26"/>
          <w:szCs w:val="26"/>
        </w:rPr>
        <w:t>occupation has also destroyed essential infrastructure such as roads, water and electricity lines, and sewage lines belonging to other people, making Gaza Strip an uninhabitable place.</w:t>
      </w:r>
    </w:p>
    <w:p w14:paraId="5ABA45B6" w14:textId="55344A9B" w:rsidR="000C7E47" w:rsidRDefault="000C7E47" w:rsidP="00C10D03">
      <w:pPr>
        <w:pStyle w:val="BodyTextIndent"/>
        <w:ind w:left="0"/>
        <w:jc w:val="both"/>
        <w:rPr>
          <w:rFonts w:asciiTheme="majorBidi" w:hAnsiTheme="majorBidi" w:cstheme="majorBidi"/>
          <w:color w:val="000000" w:themeColor="text1"/>
          <w:sz w:val="26"/>
          <w:szCs w:val="26"/>
          <w:rtl/>
        </w:rPr>
      </w:pPr>
    </w:p>
    <w:p w14:paraId="521F10D2" w14:textId="1835B44E" w:rsidR="000C7E47" w:rsidRDefault="000C7E47" w:rsidP="00C10D03">
      <w:pPr>
        <w:pStyle w:val="BodyTextIndent"/>
        <w:ind w:left="0"/>
        <w:jc w:val="both"/>
        <w:rPr>
          <w:rFonts w:asciiTheme="majorBidi" w:hAnsiTheme="majorBidi" w:cstheme="majorBidi"/>
          <w:color w:val="000000" w:themeColor="text1"/>
          <w:sz w:val="26"/>
          <w:szCs w:val="26"/>
          <w:rtl/>
        </w:rPr>
      </w:pPr>
    </w:p>
    <w:p w14:paraId="5F52C14B" w14:textId="70BADD94" w:rsidR="000C7E47" w:rsidRDefault="000C7E47" w:rsidP="00C10D03">
      <w:pPr>
        <w:pStyle w:val="BodyTextIndent"/>
        <w:ind w:left="0"/>
        <w:jc w:val="both"/>
        <w:rPr>
          <w:rFonts w:asciiTheme="majorBidi" w:hAnsiTheme="majorBidi" w:cstheme="majorBidi"/>
          <w:color w:val="000000" w:themeColor="text1"/>
          <w:sz w:val="26"/>
          <w:szCs w:val="26"/>
          <w:rtl/>
        </w:rPr>
      </w:pPr>
    </w:p>
    <w:p w14:paraId="4BD35A6B" w14:textId="3A070939" w:rsidR="000C7E47" w:rsidRDefault="000C7E47" w:rsidP="00C10D03">
      <w:pPr>
        <w:pStyle w:val="BodyTextIndent"/>
        <w:ind w:left="0"/>
        <w:jc w:val="both"/>
        <w:rPr>
          <w:rFonts w:asciiTheme="majorBidi" w:hAnsiTheme="majorBidi" w:cstheme="majorBidi"/>
          <w:color w:val="000000" w:themeColor="text1"/>
          <w:sz w:val="26"/>
          <w:szCs w:val="26"/>
          <w:rtl/>
        </w:rPr>
      </w:pPr>
    </w:p>
    <w:p w14:paraId="3AF99ED5" w14:textId="77777777" w:rsidR="000C7E47" w:rsidRPr="000C7E47" w:rsidRDefault="000C7E47" w:rsidP="00C10D03">
      <w:pPr>
        <w:pStyle w:val="BodyTextIndent"/>
        <w:ind w:left="0"/>
        <w:jc w:val="both"/>
        <w:rPr>
          <w:rFonts w:asciiTheme="majorBidi" w:hAnsiTheme="majorBidi" w:cstheme="majorBidi"/>
          <w:color w:val="000000" w:themeColor="text1"/>
          <w:sz w:val="26"/>
          <w:szCs w:val="26"/>
        </w:rPr>
      </w:pPr>
    </w:p>
    <w:p w14:paraId="07A0A7DD" w14:textId="77777777" w:rsidR="00514093" w:rsidRPr="000C7E47" w:rsidRDefault="00514093" w:rsidP="00514093">
      <w:pPr>
        <w:pStyle w:val="BodyTextIndent"/>
        <w:ind w:left="0"/>
        <w:jc w:val="both"/>
        <w:rPr>
          <w:rFonts w:asciiTheme="majorBidi" w:hAnsiTheme="majorBidi" w:cstheme="majorBidi"/>
          <w:color w:val="000000" w:themeColor="text1"/>
          <w:sz w:val="26"/>
          <w:szCs w:val="26"/>
        </w:rPr>
      </w:pPr>
    </w:p>
    <w:p w14:paraId="2AA64258" w14:textId="77777777" w:rsidR="000C7E47" w:rsidRDefault="000C7E47" w:rsidP="005A136C">
      <w:pPr>
        <w:bidi w:val="0"/>
        <w:jc w:val="center"/>
        <w:rPr>
          <w:b/>
          <w:bCs/>
          <w:color w:val="000000" w:themeColor="text1"/>
          <w:sz w:val="22"/>
          <w:szCs w:val="22"/>
          <w:rtl/>
        </w:rPr>
      </w:pPr>
    </w:p>
    <w:p w14:paraId="00E27954" w14:textId="7E1593EE" w:rsidR="003F2EC6" w:rsidRDefault="00330FD0" w:rsidP="000C7E47">
      <w:pPr>
        <w:bidi w:val="0"/>
        <w:jc w:val="center"/>
        <w:rPr>
          <w:b/>
          <w:bCs/>
          <w:color w:val="000000" w:themeColor="text1"/>
        </w:rPr>
      </w:pPr>
      <w:r w:rsidRPr="000C7E47">
        <w:rPr>
          <w:b/>
          <w:bCs/>
          <w:color w:val="000000" w:themeColor="text1"/>
        </w:rPr>
        <w:lastRenderedPageBreak/>
        <w:t xml:space="preserve">Numbers of </w:t>
      </w:r>
      <w:r w:rsidR="005A136C" w:rsidRPr="000C7E47">
        <w:rPr>
          <w:b/>
          <w:bCs/>
          <w:color w:val="000000" w:themeColor="text1"/>
        </w:rPr>
        <w:t xml:space="preserve">Damaged Buildings </w:t>
      </w:r>
      <w:r w:rsidRPr="000C7E47">
        <w:rPr>
          <w:b/>
          <w:bCs/>
          <w:color w:val="000000" w:themeColor="text1"/>
        </w:rPr>
        <w:t xml:space="preserve">in Gaza Strip since </w:t>
      </w:r>
      <w:r w:rsidR="00CE39B2" w:rsidRPr="000C7E47">
        <w:rPr>
          <w:b/>
          <w:bCs/>
          <w:color w:val="000000" w:themeColor="text1"/>
        </w:rPr>
        <w:t xml:space="preserve">October </w:t>
      </w:r>
      <w:proofErr w:type="gramStart"/>
      <w:r w:rsidR="00CE39B2" w:rsidRPr="000C7E47">
        <w:rPr>
          <w:b/>
          <w:bCs/>
          <w:color w:val="000000" w:themeColor="text1"/>
        </w:rPr>
        <w:t>7</w:t>
      </w:r>
      <w:r w:rsidR="00CE39B2" w:rsidRPr="000C7E47">
        <w:rPr>
          <w:b/>
          <w:bCs/>
          <w:color w:val="000000" w:themeColor="text1"/>
          <w:vertAlign w:val="superscript"/>
        </w:rPr>
        <w:t>th</w:t>
      </w:r>
      <w:proofErr w:type="gramEnd"/>
      <w:r w:rsidR="00210AC6" w:rsidRPr="000C7E47">
        <w:rPr>
          <w:b/>
          <w:bCs/>
          <w:color w:val="000000" w:themeColor="text1"/>
        </w:rPr>
        <w:t xml:space="preserve">, </w:t>
      </w:r>
      <w:r w:rsidR="006F77BE" w:rsidRPr="000C7E47">
        <w:rPr>
          <w:b/>
          <w:bCs/>
          <w:color w:val="000000" w:themeColor="text1"/>
        </w:rPr>
        <w:t>2023</w:t>
      </w:r>
      <w:r w:rsidRPr="000C7E47">
        <w:rPr>
          <w:b/>
          <w:bCs/>
          <w:color w:val="000000" w:themeColor="text1"/>
        </w:rPr>
        <w:t xml:space="preserve">, by </w:t>
      </w:r>
      <w:r w:rsidR="005A136C" w:rsidRPr="000C7E47">
        <w:rPr>
          <w:b/>
          <w:bCs/>
          <w:color w:val="000000" w:themeColor="text1"/>
        </w:rPr>
        <w:t xml:space="preserve">Type </w:t>
      </w:r>
      <w:r w:rsidRPr="000C7E47">
        <w:rPr>
          <w:b/>
          <w:bCs/>
          <w:color w:val="000000" w:themeColor="text1"/>
        </w:rPr>
        <w:t xml:space="preserve">of </w:t>
      </w:r>
      <w:r w:rsidR="005A136C" w:rsidRPr="000C7E47">
        <w:rPr>
          <w:b/>
          <w:bCs/>
          <w:color w:val="000000" w:themeColor="text1"/>
        </w:rPr>
        <w:t xml:space="preserve">Building </w:t>
      </w:r>
    </w:p>
    <w:p w14:paraId="1CD9011B" w14:textId="4B91060B" w:rsidR="00B85527" w:rsidRDefault="00B85527" w:rsidP="00B85527">
      <w:pPr>
        <w:bidi w:val="0"/>
        <w:jc w:val="center"/>
        <w:rPr>
          <w:b/>
          <w:bCs/>
          <w:color w:val="000000" w:themeColor="text1"/>
        </w:rPr>
      </w:pPr>
    </w:p>
    <w:tbl>
      <w:tblPr>
        <w:tblStyle w:val="TableGrid"/>
        <w:bidiVisual/>
        <w:tblW w:w="0" w:type="auto"/>
        <w:tblInd w:w="2842" w:type="dxa"/>
        <w:tblLook w:val="04A0" w:firstRow="1" w:lastRow="0" w:firstColumn="1" w:lastColumn="0" w:noHBand="0" w:noVBand="1"/>
      </w:tblPr>
      <w:tblGrid>
        <w:gridCol w:w="1511"/>
        <w:gridCol w:w="1150"/>
        <w:gridCol w:w="2115"/>
      </w:tblGrid>
      <w:tr w:rsidR="00B85527" w14:paraId="33912597" w14:textId="77777777" w:rsidTr="00B85527">
        <w:trPr>
          <w:trHeight w:val="323"/>
        </w:trPr>
        <w:tc>
          <w:tcPr>
            <w:tcW w:w="2661" w:type="dxa"/>
            <w:gridSpan w:val="2"/>
            <w:tcBorders>
              <w:top w:val="single" w:sz="4" w:space="0" w:color="auto"/>
              <w:left w:val="single" w:sz="4" w:space="0" w:color="auto"/>
              <w:bottom w:val="single" w:sz="4" w:space="0" w:color="auto"/>
              <w:right w:val="single" w:sz="4" w:space="0" w:color="auto"/>
            </w:tcBorders>
            <w:hideMark/>
          </w:tcPr>
          <w:p w14:paraId="6465A980" w14:textId="77777777" w:rsidR="00B85527" w:rsidRDefault="00B85527">
            <w:pPr>
              <w:jc w:val="center"/>
              <w:rPr>
                <w:b/>
                <w:bCs/>
                <w:color w:val="000000" w:themeColor="text1"/>
                <w:sz w:val="18"/>
                <w:szCs w:val="18"/>
              </w:rPr>
            </w:pPr>
            <w:r>
              <w:rPr>
                <w:b/>
                <w:bCs/>
                <w:color w:val="000000" w:themeColor="text1"/>
                <w:sz w:val="18"/>
                <w:szCs w:val="18"/>
              </w:rPr>
              <w:t>Numbers of Damaged Buildings</w:t>
            </w:r>
          </w:p>
        </w:tc>
        <w:tc>
          <w:tcPr>
            <w:tcW w:w="2115" w:type="dxa"/>
            <w:tcBorders>
              <w:top w:val="single" w:sz="4" w:space="0" w:color="auto"/>
              <w:left w:val="single" w:sz="4" w:space="0" w:color="auto"/>
              <w:bottom w:val="single" w:sz="4" w:space="0" w:color="auto"/>
              <w:right w:val="single" w:sz="4" w:space="0" w:color="auto"/>
            </w:tcBorders>
            <w:vAlign w:val="center"/>
            <w:hideMark/>
          </w:tcPr>
          <w:p w14:paraId="2B248864" w14:textId="77777777" w:rsidR="00B85527" w:rsidRDefault="00B85527">
            <w:pPr>
              <w:jc w:val="center"/>
              <w:rPr>
                <w:b/>
                <w:bCs/>
                <w:color w:val="000000" w:themeColor="text1"/>
                <w:sz w:val="18"/>
                <w:szCs w:val="18"/>
                <w:rtl/>
              </w:rPr>
            </w:pPr>
            <w:r>
              <w:rPr>
                <w:b/>
                <w:bCs/>
                <w:color w:val="000000" w:themeColor="text1"/>
                <w:sz w:val="18"/>
                <w:szCs w:val="18"/>
              </w:rPr>
              <w:t>Type of Building</w:t>
            </w:r>
          </w:p>
        </w:tc>
      </w:tr>
      <w:tr w:rsidR="00B85527" w14:paraId="0EB76BC7" w14:textId="77777777" w:rsidTr="00B85527">
        <w:trPr>
          <w:trHeight w:hRule="exact" w:val="360"/>
        </w:trPr>
        <w:tc>
          <w:tcPr>
            <w:tcW w:w="1511" w:type="dxa"/>
            <w:tcBorders>
              <w:top w:val="single" w:sz="4" w:space="0" w:color="auto"/>
              <w:left w:val="single" w:sz="4" w:space="0" w:color="auto"/>
              <w:bottom w:val="nil"/>
              <w:right w:val="nil"/>
            </w:tcBorders>
          </w:tcPr>
          <w:p w14:paraId="625BF3B6" w14:textId="77777777" w:rsidR="00B85527" w:rsidRDefault="00B85527">
            <w:pPr>
              <w:jc w:val="center"/>
              <w:rPr>
                <w:color w:val="000000" w:themeColor="text1"/>
                <w:sz w:val="18"/>
                <w:szCs w:val="18"/>
                <w:rtl/>
              </w:rPr>
            </w:pPr>
          </w:p>
        </w:tc>
        <w:tc>
          <w:tcPr>
            <w:tcW w:w="1150" w:type="dxa"/>
            <w:tcBorders>
              <w:top w:val="single" w:sz="4" w:space="0" w:color="auto"/>
              <w:left w:val="nil"/>
              <w:bottom w:val="nil"/>
              <w:right w:val="single" w:sz="4" w:space="0" w:color="auto"/>
            </w:tcBorders>
            <w:hideMark/>
          </w:tcPr>
          <w:p w14:paraId="7CA16F7F" w14:textId="77777777" w:rsidR="00B85527" w:rsidRDefault="00B85527">
            <w:pPr>
              <w:jc w:val="center"/>
              <w:rPr>
                <w:color w:val="000000" w:themeColor="text1"/>
                <w:sz w:val="18"/>
                <w:szCs w:val="18"/>
              </w:rPr>
            </w:pPr>
            <w:r>
              <w:rPr>
                <w:rFonts w:hint="cs"/>
                <w:color w:val="000000" w:themeColor="text1"/>
                <w:sz w:val="18"/>
                <w:szCs w:val="18"/>
                <w:rtl/>
              </w:rPr>
              <w:t>192,812</w:t>
            </w:r>
          </w:p>
        </w:tc>
        <w:tc>
          <w:tcPr>
            <w:tcW w:w="2115" w:type="dxa"/>
            <w:tcBorders>
              <w:top w:val="single" w:sz="4" w:space="0" w:color="auto"/>
              <w:left w:val="single" w:sz="4" w:space="0" w:color="auto"/>
              <w:bottom w:val="nil"/>
              <w:right w:val="single" w:sz="4" w:space="0" w:color="auto"/>
            </w:tcBorders>
            <w:hideMark/>
          </w:tcPr>
          <w:p w14:paraId="583F47EE" w14:textId="700F876F" w:rsidR="00B85527" w:rsidRDefault="0029546F">
            <w:pPr>
              <w:bidi w:val="0"/>
              <w:rPr>
                <w:color w:val="000000" w:themeColor="text1"/>
                <w:sz w:val="18"/>
                <w:szCs w:val="18"/>
              </w:rPr>
            </w:pPr>
            <w:r>
              <w:rPr>
                <w:color w:val="000000" w:themeColor="text1"/>
                <w:sz w:val="18"/>
                <w:szCs w:val="18"/>
              </w:rPr>
              <w:t>R</w:t>
            </w:r>
            <w:bookmarkStart w:id="0" w:name="_GoBack"/>
            <w:bookmarkEnd w:id="0"/>
            <w:r w:rsidR="00B85527">
              <w:rPr>
                <w:color w:val="000000" w:themeColor="text1"/>
                <w:sz w:val="18"/>
                <w:szCs w:val="18"/>
              </w:rPr>
              <w:t>esidential Buildings</w:t>
            </w:r>
          </w:p>
        </w:tc>
      </w:tr>
      <w:tr w:rsidR="00B85527" w14:paraId="03C3B7C9" w14:textId="77777777" w:rsidTr="00B85527">
        <w:trPr>
          <w:trHeight w:hRule="exact" w:val="360"/>
        </w:trPr>
        <w:tc>
          <w:tcPr>
            <w:tcW w:w="1511" w:type="dxa"/>
            <w:tcBorders>
              <w:top w:val="nil"/>
              <w:left w:val="single" w:sz="4" w:space="0" w:color="auto"/>
              <w:bottom w:val="nil"/>
              <w:right w:val="nil"/>
            </w:tcBorders>
          </w:tcPr>
          <w:p w14:paraId="2DAE5D81" w14:textId="77777777" w:rsidR="00B85527" w:rsidRDefault="00B85527">
            <w:pPr>
              <w:jc w:val="center"/>
              <w:rPr>
                <w:color w:val="000000" w:themeColor="text1"/>
                <w:sz w:val="18"/>
                <w:szCs w:val="18"/>
                <w:rtl/>
              </w:rPr>
            </w:pPr>
          </w:p>
        </w:tc>
        <w:tc>
          <w:tcPr>
            <w:tcW w:w="1150" w:type="dxa"/>
            <w:tcBorders>
              <w:top w:val="nil"/>
              <w:left w:val="nil"/>
              <w:bottom w:val="nil"/>
              <w:right w:val="single" w:sz="4" w:space="0" w:color="auto"/>
            </w:tcBorders>
            <w:hideMark/>
          </w:tcPr>
          <w:p w14:paraId="1545D7C9" w14:textId="77777777" w:rsidR="00B85527" w:rsidRDefault="00B85527">
            <w:pPr>
              <w:jc w:val="center"/>
              <w:rPr>
                <w:color w:val="000000" w:themeColor="text1"/>
                <w:sz w:val="18"/>
                <w:szCs w:val="18"/>
                <w:rtl/>
              </w:rPr>
            </w:pPr>
            <w:r>
              <w:rPr>
                <w:rFonts w:hint="cs"/>
                <w:color w:val="000000" w:themeColor="text1"/>
                <w:sz w:val="18"/>
                <w:szCs w:val="18"/>
                <w:rtl/>
              </w:rPr>
              <w:t>509</w:t>
            </w:r>
          </w:p>
        </w:tc>
        <w:tc>
          <w:tcPr>
            <w:tcW w:w="2115" w:type="dxa"/>
            <w:tcBorders>
              <w:top w:val="nil"/>
              <w:left w:val="single" w:sz="4" w:space="0" w:color="auto"/>
              <w:bottom w:val="nil"/>
              <w:right w:val="single" w:sz="4" w:space="0" w:color="auto"/>
            </w:tcBorders>
            <w:hideMark/>
          </w:tcPr>
          <w:p w14:paraId="3373FD28" w14:textId="77777777" w:rsidR="00B85527" w:rsidRDefault="00B85527">
            <w:pPr>
              <w:jc w:val="right"/>
              <w:rPr>
                <w:color w:val="000000" w:themeColor="text1"/>
                <w:sz w:val="18"/>
                <w:szCs w:val="18"/>
                <w:rtl/>
              </w:rPr>
            </w:pPr>
            <w:r>
              <w:rPr>
                <w:color w:val="000000" w:themeColor="text1"/>
                <w:sz w:val="18"/>
                <w:szCs w:val="18"/>
              </w:rPr>
              <w:t>Schools &amp; Universities</w:t>
            </w:r>
          </w:p>
        </w:tc>
      </w:tr>
      <w:tr w:rsidR="00B85527" w14:paraId="68E6B706" w14:textId="77777777" w:rsidTr="00B85527">
        <w:trPr>
          <w:trHeight w:hRule="exact" w:val="360"/>
        </w:trPr>
        <w:tc>
          <w:tcPr>
            <w:tcW w:w="1511" w:type="dxa"/>
            <w:tcBorders>
              <w:top w:val="nil"/>
              <w:left w:val="single" w:sz="4" w:space="0" w:color="auto"/>
              <w:bottom w:val="nil"/>
              <w:right w:val="nil"/>
            </w:tcBorders>
          </w:tcPr>
          <w:p w14:paraId="066E3BBE" w14:textId="77777777" w:rsidR="00B85527" w:rsidRDefault="00B85527">
            <w:pPr>
              <w:jc w:val="center"/>
              <w:rPr>
                <w:color w:val="000000" w:themeColor="text1"/>
                <w:sz w:val="18"/>
                <w:szCs w:val="18"/>
                <w:rtl/>
              </w:rPr>
            </w:pPr>
          </w:p>
        </w:tc>
        <w:tc>
          <w:tcPr>
            <w:tcW w:w="1150" w:type="dxa"/>
            <w:tcBorders>
              <w:top w:val="nil"/>
              <w:left w:val="nil"/>
              <w:bottom w:val="nil"/>
              <w:right w:val="single" w:sz="4" w:space="0" w:color="auto"/>
            </w:tcBorders>
            <w:hideMark/>
          </w:tcPr>
          <w:p w14:paraId="4DF69175" w14:textId="77777777" w:rsidR="00B85527" w:rsidRDefault="00B85527">
            <w:pPr>
              <w:jc w:val="center"/>
              <w:rPr>
                <w:color w:val="000000" w:themeColor="text1"/>
                <w:sz w:val="18"/>
                <w:szCs w:val="18"/>
                <w:rtl/>
              </w:rPr>
            </w:pPr>
            <w:r>
              <w:rPr>
                <w:rFonts w:hint="cs"/>
                <w:color w:val="000000" w:themeColor="text1"/>
                <w:sz w:val="18"/>
                <w:szCs w:val="18"/>
                <w:rtl/>
              </w:rPr>
              <w:t>828</w:t>
            </w:r>
          </w:p>
        </w:tc>
        <w:tc>
          <w:tcPr>
            <w:tcW w:w="2115" w:type="dxa"/>
            <w:tcBorders>
              <w:top w:val="nil"/>
              <w:left w:val="single" w:sz="4" w:space="0" w:color="auto"/>
              <w:bottom w:val="nil"/>
              <w:right w:val="single" w:sz="4" w:space="0" w:color="auto"/>
            </w:tcBorders>
            <w:hideMark/>
          </w:tcPr>
          <w:p w14:paraId="07372081" w14:textId="77777777" w:rsidR="00B85527" w:rsidRDefault="00B85527">
            <w:pPr>
              <w:jc w:val="right"/>
              <w:rPr>
                <w:color w:val="000000" w:themeColor="text1"/>
                <w:sz w:val="18"/>
                <w:szCs w:val="18"/>
                <w:rtl/>
              </w:rPr>
            </w:pPr>
            <w:r>
              <w:rPr>
                <w:color w:val="000000" w:themeColor="text1"/>
                <w:sz w:val="18"/>
                <w:szCs w:val="18"/>
              </w:rPr>
              <w:t>Mosques</w:t>
            </w:r>
          </w:p>
        </w:tc>
      </w:tr>
      <w:tr w:rsidR="00B85527" w14:paraId="03E682EC" w14:textId="77777777" w:rsidTr="00B85527">
        <w:trPr>
          <w:trHeight w:hRule="exact" w:val="360"/>
        </w:trPr>
        <w:tc>
          <w:tcPr>
            <w:tcW w:w="1511" w:type="dxa"/>
            <w:tcBorders>
              <w:top w:val="nil"/>
              <w:left w:val="single" w:sz="4" w:space="0" w:color="auto"/>
              <w:bottom w:val="nil"/>
              <w:right w:val="nil"/>
            </w:tcBorders>
          </w:tcPr>
          <w:p w14:paraId="760849ED" w14:textId="77777777" w:rsidR="00B85527" w:rsidRDefault="00B85527">
            <w:pPr>
              <w:jc w:val="center"/>
              <w:rPr>
                <w:color w:val="000000" w:themeColor="text1"/>
                <w:sz w:val="18"/>
                <w:szCs w:val="18"/>
                <w:rtl/>
              </w:rPr>
            </w:pPr>
          </w:p>
        </w:tc>
        <w:tc>
          <w:tcPr>
            <w:tcW w:w="1150" w:type="dxa"/>
            <w:tcBorders>
              <w:top w:val="nil"/>
              <w:left w:val="nil"/>
              <w:bottom w:val="nil"/>
              <w:right w:val="single" w:sz="4" w:space="0" w:color="auto"/>
            </w:tcBorders>
            <w:hideMark/>
          </w:tcPr>
          <w:p w14:paraId="370906C1" w14:textId="77777777" w:rsidR="00B85527" w:rsidRDefault="00B85527">
            <w:pPr>
              <w:jc w:val="center"/>
              <w:rPr>
                <w:color w:val="000000" w:themeColor="text1"/>
                <w:sz w:val="18"/>
                <w:szCs w:val="18"/>
                <w:rtl/>
              </w:rPr>
            </w:pPr>
            <w:r>
              <w:rPr>
                <w:rFonts w:hint="cs"/>
                <w:color w:val="000000" w:themeColor="text1"/>
                <w:sz w:val="18"/>
                <w:szCs w:val="18"/>
                <w:rtl/>
              </w:rPr>
              <w:t>3</w:t>
            </w:r>
          </w:p>
        </w:tc>
        <w:tc>
          <w:tcPr>
            <w:tcW w:w="2115" w:type="dxa"/>
            <w:tcBorders>
              <w:top w:val="nil"/>
              <w:left w:val="single" w:sz="4" w:space="0" w:color="auto"/>
              <w:bottom w:val="nil"/>
              <w:right w:val="single" w:sz="4" w:space="0" w:color="auto"/>
            </w:tcBorders>
            <w:hideMark/>
          </w:tcPr>
          <w:p w14:paraId="7054E51D" w14:textId="77777777" w:rsidR="00B85527" w:rsidRDefault="00B85527">
            <w:pPr>
              <w:jc w:val="right"/>
              <w:rPr>
                <w:color w:val="000000" w:themeColor="text1"/>
                <w:sz w:val="18"/>
                <w:szCs w:val="18"/>
                <w:rtl/>
              </w:rPr>
            </w:pPr>
            <w:r>
              <w:rPr>
                <w:color w:val="000000" w:themeColor="text1"/>
                <w:sz w:val="18"/>
                <w:szCs w:val="18"/>
              </w:rPr>
              <w:t>Churches</w:t>
            </w:r>
          </w:p>
        </w:tc>
      </w:tr>
      <w:tr w:rsidR="00B85527" w14:paraId="03E93E6D" w14:textId="77777777" w:rsidTr="00B85527">
        <w:trPr>
          <w:trHeight w:hRule="exact" w:val="522"/>
        </w:trPr>
        <w:tc>
          <w:tcPr>
            <w:tcW w:w="1511" w:type="dxa"/>
            <w:tcBorders>
              <w:top w:val="nil"/>
              <w:left w:val="single" w:sz="4" w:space="0" w:color="auto"/>
              <w:bottom w:val="single" w:sz="4" w:space="0" w:color="auto"/>
              <w:right w:val="nil"/>
            </w:tcBorders>
          </w:tcPr>
          <w:p w14:paraId="3D39551A" w14:textId="77777777" w:rsidR="00B85527" w:rsidRDefault="00B85527">
            <w:pPr>
              <w:jc w:val="center"/>
              <w:rPr>
                <w:color w:val="000000" w:themeColor="text1"/>
                <w:sz w:val="18"/>
                <w:szCs w:val="18"/>
                <w:rtl/>
              </w:rPr>
            </w:pPr>
          </w:p>
        </w:tc>
        <w:tc>
          <w:tcPr>
            <w:tcW w:w="1150" w:type="dxa"/>
            <w:tcBorders>
              <w:top w:val="nil"/>
              <w:left w:val="nil"/>
              <w:bottom w:val="single" w:sz="4" w:space="0" w:color="auto"/>
              <w:right w:val="single" w:sz="4" w:space="0" w:color="auto"/>
            </w:tcBorders>
            <w:hideMark/>
          </w:tcPr>
          <w:p w14:paraId="5B829737" w14:textId="77777777" w:rsidR="00B85527" w:rsidRDefault="00B85527">
            <w:pPr>
              <w:jc w:val="center"/>
              <w:rPr>
                <w:color w:val="000000" w:themeColor="text1"/>
                <w:sz w:val="18"/>
                <w:szCs w:val="18"/>
                <w:rtl/>
              </w:rPr>
            </w:pPr>
            <w:r>
              <w:rPr>
                <w:rFonts w:hint="cs"/>
                <w:color w:val="000000" w:themeColor="text1"/>
                <w:sz w:val="18"/>
                <w:szCs w:val="18"/>
                <w:rtl/>
              </w:rPr>
              <w:t>225</w:t>
            </w:r>
          </w:p>
        </w:tc>
        <w:tc>
          <w:tcPr>
            <w:tcW w:w="2115" w:type="dxa"/>
            <w:tcBorders>
              <w:top w:val="nil"/>
              <w:left w:val="single" w:sz="4" w:space="0" w:color="auto"/>
              <w:bottom w:val="single" w:sz="4" w:space="0" w:color="auto"/>
              <w:right w:val="single" w:sz="4" w:space="0" w:color="auto"/>
            </w:tcBorders>
            <w:hideMark/>
          </w:tcPr>
          <w:p w14:paraId="3BF011D7" w14:textId="77777777" w:rsidR="00B85527" w:rsidRDefault="00B85527">
            <w:pPr>
              <w:jc w:val="right"/>
              <w:rPr>
                <w:color w:val="000000" w:themeColor="text1"/>
                <w:sz w:val="18"/>
                <w:szCs w:val="18"/>
                <w:rtl/>
              </w:rPr>
            </w:pPr>
            <w:r>
              <w:rPr>
                <w:color w:val="000000" w:themeColor="text1"/>
                <w:sz w:val="18"/>
                <w:szCs w:val="18"/>
              </w:rPr>
              <w:t>Government Headquarters</w:t>
            </w:r>
          </w:p>
        </w:tc>
      </w:tr>
    </w:tbl>
    <w:p w14:paraId="260C7C7E" w14:textId="77777777" w:rsidR="00B85527" w:rsidRDefault="00B85527" w:rsidP="00B85527">
      <w:pPr>
        <w:bidi w:val="0"/>
        <w:jc w:val="both"/>
        <w:rPr>
          <w:rFonts w:asciiTheme="majorBidi" w:hAnsiTheme="majorBidi" w:cstheme="majorBidi"/>
          <w:color w:val="000000" w:themeColor="text1"/>
          <w:sz w:val="22"/>
          <w:szCs w:val="22"/>
          <w:rtl/>
        </w:rPr>
      </w:pPr>
    </w:p>
    <w:p w14:paraId="00D1ED61" w14:textId="77777777" w:rsidR="000C7E47" w:rsidRDefault="000C7E47" w:rsidP="000C7E47">
      <w:pPr>
        <w:bidi w:val="0"/>
        <w:jc w:val="both"/>
        <w:rPr>
          <w:rFonts w:asciiTheme="majorBidi" w:hAnsiTheme="majorBidi" w:cstheme="majorBidi"/>
          <w:color w:val="000000" w:themeColor="text1"/>
          <w:sz w:val="22"/>
          <w:szCs w:val="22"/>
          <w:rtl/>
        </w:rPr>
      </w:pPr>
    </w:p>
    <w:p w14:paraId="09E54403" w14:textId="0A5BDA4A" w:rsidR="005545C7" w:rsidRPr="000C7E47" w:rsidRDefault="0074723F" w:rsidP="000C7E47">
      <w:pPr>
        <w:bidi w:val="0"/>
        <w:jc w:val="both"/>
        <w:rPr>
          <w:rFonts w:asciiTheme="majorBidi" w:hAnsiTheme="majorBidi" w:cstheme="majorBidi"/>
          <w:color w:val="000000" w:themeColor="text1"/>
          <w:sz w:val="26"/>
          <w:szCs w:val="26"/>
        </w:rPr>
      </w:pPr>
      <w:r w:rsidRPr="000C7E47">
        <w:rPr>
          <w:rFonts w:asciiTheme="majorBidi" w:hAnsiTheme="majorBidi" w:cstheme="majorBidi"/>
          <w:color w:val="000000" w:themeColor="text1"/>
          <w:sz w:val="26"/>
          <w:szCs w:val="26"/>
        </w:rPr>
        <w:t xml:space="preserve">During </w:t>
      </w:r>
      <w:r w:rsidR="00B073B4" w:rsidRPr="000C7E47">
        <w:rPr>
          <w:rFonts w:asciiTheme="majorBidi" w:hAnsiTheme="majorBidi" w:cstheme="majorBidi" w:hint="cs"/>
          <w:color w:val="000000" w:themeColor="text1"/>
          <w:sz w:val="26"/>
          <w:szCs w:val="26"/>
          <w:rtl/>
        </w:rPr>
        <w:t>2025</w:t>
      </w:r>
      <w:r w:rsidR="00B47E8E" w:rsidRPr="000C7E47">
        <w:rPr>
          <w:rFonts w:asciiTheme="majorBidi" w:hAnsiTheme="majorBidi" w:cstheme="majorBidi"/>
          <w:color w:val="000000" w:themeColor="text1"/>
          <w:sz w:val="26"/>
          <w:szCs w:val="26"/>
        </w:rPr>
        <w:t xml:space="preserve">, the Israeli occupation demolished and destroyed </w:t>
      </w:r>
      <w:r w:rsidR="005F7ABD" w:rsidRPr="000C7E47">
        <w:rPr>
          <w:rFonts w:asciiTheme="majorBidi" w:hAnsiTheme="majorBidi" w:cstheme="majorBidi"/>
          <w:color w:val="000000" w:themeColor="text1"/>
          <w:sz w:val="26"/>
          <w:szCs w:val="26"/>
        </w:rPr>
        <w:t xml:space="preserve">completely or partially </w:t>
      </w:r>
      <w:r w:rsidR="00B47E8E" w:rsidRPr="000C7E47">
        <w:rPr>
          <w:rFonts w:asciiTheme="majorBidi" w:hAnsiTheme="majorBidi" w:cstheme="majorBidi"/>
          <w:color w:val="000000" w:themeColor="text1"/>
          <w:sz w:val="26"/>
          <w:szCs w:val="26"/>
        </w:rPr>
        <w:t xml:space="preserve">more than </w:t>
      </w:r>
      <w:r w:rsidR="00B073B4" w:rsidRPr="000C7E47">
        <w:rPr>
          <w:rFonts w:asciiTheme="majorBidi" w:hAnsiTheme="majorBidi" w:cstheme="majorBidi"/>
          <w:color w:val="000000" w:themeColor="text1"/>
          <w:sz w:val="26"/>
          <w:szCs w:val="26"/>
        </w:rPr>
        <w:t>1,400</w:t>
      </w:r>
      <w:r w:rsidR="005F7ABD" w:rsidRPr="000C7E47">
        <w:rPr>
          <w:rFonts w:asciiTheme="majorBidi" w:hAnsiTheme="majorBidi" w:cstheme="majorBidi"/>
          <w:color w:val="000000" w:themeColor="text1"/>
          <w:sz w:val="26"/>
          <w:szCs w:val="26"/>
        </w:rPr>
        <w:t xml:space="preserve"> buildings and facilities</w:t>
      </w:r>
      <w:r w:rsidR="00B47E8E" w:rsidRPr="000C7E47">
        <w:rPr>
          <w:rFonts w:asciiTheme="majorBidi" w:hAnsiTheme="majorBidi" w:cstheme="majorBidi"/>
          <w:color w:val="000000" w:themeColor="text1"/>
          <w:sz w:val="26"/>
          <w:szCs w:val="26"/>
        </w:rPr>
        <w:t xml:space="preserve"> </w:t>
      </w:r>
      <w:r w:rsidRPr="000C7E47">
        <w:rPr>
          <w:rFonts w:asciiTheme="majorBidi" w:hAnsiTheme="majorBidi" w:cstheme="majorBidi"/>
          <w:color w:val="000000" w:themeColor="text1"/>
          <w:sz w:val="26"/>
          <w:szCs w:val="26"/>
        </w:rPr>
        <w:t>in the West Bank</w:t>
      </w:r>
      <w:r w:rsidR="00B47E8E" w:rsidRPr="000C7E47">
        <w:rPr>
          <w:rFonts w:asciiTheme="majorBidi" w:hAnsiTheme="majorBidi" w:cstheme="majorBidi"/>
          <w:color w:val="000000" w:themeColor="text1"/>
          <w:sz w:val="26"/>
          <w:szCs w:val="26"/>
        </w:rPr>
        <w:t xml:space="preserve">, </w:t>
      </w:r>
      <w:r w:rsidR="005F7ABD" w:rsidRPr="000C7E47">
        <w:rPr>
          <w:rFonts w:asciiTheme="majorBidi" w:hAnsiTheme="majorBidi" w:cstheme="majorBidi"/>
          <w:color w:val="000000" w:themeColor="text1"/>
          <w:sz w:val="26"/>
          <w:szCs w:val="26"/>
        </w:rPr>
        <w:t xml:space="preserve">including </w:t>
      </w:r>
      <w:r w:rsidR="00B073B4" w:rsidRPr="000C7E47">
        <w:rPr>
          <w:rFonts w:asciiTheme="majorBidi" w:hAnsiTheme="majorBidi" w:cstheme="majorBidi"/>
          <w:color w:val="000000" w:themeColor="text1"/>
          <w:sz w:val="26"/>
          <w:szCs w:val="26"/>
        </w:rPr>
        <w:t>258</w:t>
      </w:r>
      <w:r w:rsidR="005F7ABD" w:rsidRPr="000C7E47">
        <w:rPr>
          <w:rFonts w:asciiTheme="majorBidi" w:hAnsiTheme="majorBidi" w:cstheme="majorBidi"/>
          <w:color w:val="000000" w:themeColor="text1"/>
          <w:sz w:val="26"/>
          <w:szCs w:val="26"/>
        </w:rPr>
        <w:t xml:space="preserve"> buildings and facilities in Jerusalem Governorate (</w:t>
      </w:r>
      <w:r w:rsidR="00B073B4" w:rsidRPr="000C7E47">
        <w:rPr>
          <w:rFonts w:asciiTheme="majorBidi" w:hAnsiTheme="majorBidi" w:cstheme="majorBidi"/>
          <w:color w:val="000000" w:themeColor="text1"/>
          <w:sz w:val="26"/>
          <w:szCs w:val="26"/>
        </w:rPr>
        <w:t xml:space="preserve">of </w:t>
      </w:r>
      <w:r w:rsidR="005A136C" w:rsidRPr="000C7E47">
        <w:rPr>
          <w:rFonts w:asciiTheme="majorBidi" w:hAnsiTheme="majorBidi" w:cstheme="majorBidi"/>
          <w:color w:val="000000" w:themeColor="text1"/>
          <w:sz w:val="26"/>
          <w:szCs w:val="26"/>
        </w:rPr>
        <w:t xml:space="preserve">which </w:t>
      </w:r>
      <w:r w:rsidR="00B073B4" w:rsidRPr="000C7E47">
        <w:rPr>
          <w:rFonts w:asciiTheme="majorBidi" w:hAnsiTheme="majorBidi" w:cstheme="majorBidi"/>
          <w:color w:val="000000" w:themeColor="text1"/>
          <w:sz w:val="26"/>
          <w:szCs w:val="26"/>
        </w:rPr>
        <w:t>104</w:t>
      </w:r>
      <w:r w:rsidR="005F7ABD" w:rsidRPr="000C7E47">
        <w:rPr>
          <w:rFonts w:asciiTheme="majorBidi" w:hAnsiTheme="majorBidi" w:cstheme="majorBidi"/>
          <w:color w:val="000000" w:themeColor="text1"/>
          <w:sz w:val="26"/>
          <w:szCs w:val="26"/>
        </w:rPr>
        <w:t xml:space="preserve"> </w:t>
      </w:r>
      <w:r w:rsidR="005A136C" w:rsidRPr="000C7E47">
        <w:rPr>
          <w:rFonts w:asciiTheme="majorBidi" w:hAnsiTheme="majorBidi" w:cstheme="majorBidi"/>
          <w:color w:val="000000" w:themeColor="text1"/>
          <w:sz w:val="26"/>
          <w:szCs w:val="26"/>
        </w:rPr>
        <w:t xml:space="preserve">were </w:t>
      </w:r>
      <w:r w:rsidR="005F7ABD" w:rsidRPr="000C7E47">
        <w:rPr>
          <w:rFonts w:asciiTheme="majorBidi" w:hAnsiTheme="majorBidi" w:cstheme="majorBidi"/>
          <w:color w:val="000000" w:themeColor="text1"/>
          <w:sz w:val="26"/>
          <w:szCs w:val="26"/>
        </w:rPr>
        <w:t>self-demolitions in Jerusalem</w:t>
      </w:r>
      <w:r w:rsidR="00B073B4" w:rsidRPr="000C7E47">
        <w:rPr>
          <w:rFonts w:asciiTheme="majorBidi" w:hAnsiTheme="majorBidi" w:cstheme="majorBidi"/>
          <w:color w:val="000000" w:themeColor="text1"/>
          <w:sz w:val="26"/>
          <w:szCs w:val="26"/>
        </w:rPr>
        <w:t>)</w:t>
      </w:r>
      <w:r w:rsidR="006F210D" w:rsidRPr="000C7E47">
        <w:rPr>
          <w:rFonts w:asciiTheme="majorBidi" w:hAnsiTheme="majorBidi" w:cstheme="majorBidi"/>
          <w:color w:val="000000" w:themeColor="text1"/>
          <w:sz w:val="26"/>
          <w:szCs w:val="26"/>
        </w:rPr>
        <w:t xml:space="preserve">. </w:t>
      </w:r>
      <w:r w:rsidR="005F7ABD" w:rsidRPr="000C7E47">
        <w:rPr>
          <w:rFonts w:asciiTheme="majorBidi" w:hAnsiTheme="majorBidi" w:cstheme="majorBidi"/>
          <w:color w:val="000000" w:themeColor="text1"/>
          <w:sz w:val="26"/>
          <w:szCs w:val="26"/>
        </w:rPr>
        <w:t xml:space="preserve">In addition to issuing </w:t>
      </w:r>
      <w:r w:rsidR="00616295" w:rsidRPr="000C7E47">
        <w:rPr>
          <w:rFonts w:asciiTheme="majorBidi" w:hAnsiTheme="majorBidi" w:cstheme="majorBidi"/>
          <w:color w:val="000000" w:themeColor="text1"/>
          <w:sz w:val="26"/>
          <w:szCs w:val="26"/>
        </w:rPr>
        <w:t>991</w:t>
      </w:r>
      <w:r w:rsidR="005F7ABD" w:rsidRPr="000C7E47">
        <w:rPr>
          <w:rFonts w:asciiTheme="majorBidi" w:hAnsiTheme="majorBidi" w:cstheme="majorBidi"/>
          <w:color w:val="000000" w:themeColor="text1"/>
          <w:sz w:val="26"/>
          <w:szCs w:val="26"/>
        </w:rPr>
        <w:t xml:space="preserve"> demolition orders for Palestinian facilities under</w:t>
      </w:r>
      <w:r w:rsidR="005545C7" w:rsidRPr="000C7E47">
        <w:rPr>
          <w:rFonts w:asciiTheme="majorBidi" w:hAnsiTheme="majorBidi" w:cstheme="majorBidi"/>
          <w:color w:val="000000" w:themeColor="text1"/>
          <w:sz w:val="26"/>
          <w:szCs w:val="26"/>
        </w:rPr>
        <w:t xml:space="preserve"> the pretext of lack of permits.</w:t>
      </w:r>
    </w:p>
    <w:p w14:paraId="632D74A6" w14:textId="77777777" w:rsidR="005545C7" w:rsidRPr="001C3F14" w:rsidRDefault="005545C7" w:rsidP="005545C7">
      <w:pPr>
        <w:bidi w:val="0"/>
        <w:jc w:val="both"/>
        <w:rPr>
          <w:rFonts w:asciiTheme="majorBidi" w:hAnsiTheme="majorBidi" w:cstheme="majorBidi"/>
          <w:color w:val="000000" w:themeColor="text1"/>
          <w:sz w:val="22"/>
          <w:szCs w:val="22"/>
        </w:rPr>
      </w:pPr>
    </w:p>
    <w:p w14:paraId="466F2C12" w14:textId="7FFFFACE" w:rsidR="005545C7" w:rsidRPr="001C3F14" w:rsidRDefault="005545C7" w:rsidP="005545C7">
      <w:pPr>
        <w:bidi w:val="0"/>
        <w:jc w:val="both"/>
        <w:rPr>
          <w:rFonts w:asciiTheme="majorBidi" w:hAnsiTheme="majorBidi" w:cstheme="majorBidi"/>
          <w:color w:val="000000" w:themeColor="text1"/>
          <w:sz w:val="22"/>
          <w:szCs w:val="22"/>
        </w:rPr>
      </w:pPr>
    </w:p>
    <w:p w14:paraId="1C0A9D7A" w14:textId="3FB3984E" w:rsidR="000614E2" w:rsidRPr="000C7E47" w:rsidRDefault="000614E2" w:rsidP="00616295">
      <w:pPr>
        <w:bidi w:val="0"/>
        <w:jc w:val="center"/>
        <w:rPr>
          <w:b/>
          <w:bCs/>
          <w:color w:val="000000" w:themeColor="text1"/>
          <w:rtl/>
        </w:rPr>
      </w:pPr>
      <w:r w:rsidRPr="000C7E47">
        <w:rPr>
          <w:b/>
          <w:bCs/>
          <w:color w:val="000000" w:themeColor="text1"/>
        </w:rPr>
        <w:t xml:space="preserve">Self-Demolitions in </w:t>
      </w:r>
      <w:r w:rsidRPr="000C7E47">
        <w:rPr>
          <w:rStyle w:val="shorttext"/>
          <w:b/>
          <w:bCs/>
          <w:color w:val="000000" w:themeColor="text1"/>
        </w:rPr>
        <w:t>Jerusalem Governorate</w:t>
      </w:r>
      <w:r w:rsidR="005F7ABD" w:rsidRPr="000C7E47">
        <w:rPr>
          <w:rStyle w:val="shorttext"/>
          <w:b/>
          <w:bCs/>
          <w:color w:val="000000" w:themeColor="text1"/>
        </w:rPr>
        <w:t xml:space="preserve">      </w:t>
      </w:r>
      <w:r w:rsidRPr="000C7E47">
        <w:rPr>
          <w:b/>
          <w:bCs/>
          <w:color w:val="000000" w:themeColor="text1"/>
        </w:rPr>
        <w:t xml:space="preserve"> </w:t>
      </w:r>
      <w:r w:rsidR="00616295" w:rsidRPr="000C7E47">
        <w:rPr>
          <w:b/>
          <w:bCs/>
          <w:color w:val="000000" w:themeColor="text1"/>
        </w:rPr>
        <w:t>2010</w:t>
      </w:r>
      <w:r w:rsidRPr="000C7E47">
        <w:rPr>
          <w:b/>
          <w:bCs/>
          <w:color w:val="000000" w:themeColor="text1"/>
        </w:rPr>
        <w:t xml:space="preserve"> </w:t>
      </w:r>
      <w:r w:rsidR="000C7E47" w:rsidRPr="000C7E47">
        <w:rPr>
          <w:b/>
          <w:bCs/>
          <w:color w:val="000000" w:themeColor="text1"/>
        </w:rPr>
        <w:t>–</w:t>
      </w:r>
      <w:r w:rsidRPr="000C7E47">
        <w:rPr>
          <w:b/>
          <w:bCs/>
          <w:color w:val="000000" w:themeColor="text1"/>
        </w:rPr>
        <w:t xml:space="preserve"> </w:t>
      </w:r>
      <w:r w:rsidR="00616295" w:rsidRPr="000C7E47">
        <w:rPr>
          <w:b/>
          <w:bCs/>
          <w:color w:val="000000" w:themeColor="text1"/>
        </w:rPr>
        <w:t>2025</w:t>
      </w:r>
    </w:p>
    <w:p w14:paraId="73701AD4" w14:textId="77777777" w:rsidR="000C7E47" w:rsidRPr="001C3F14" w:rsidRDefault="000C7E47" w:rsidP="000C7E47">
      <w:pPr>
        <w:bidi w:val="0"/>
        <w:jc w:val="center"/>
        <w:rPr>
          <w:b/>
          <w:bCs/>
          <w:color w:val="000000" w:themeColor="text1"/>
          <w:sz w:val="22"/>
          <w:szCs w:val="22"/>
        </w:rPr>
      </w:pPr>
    </w:p>
    <w:p w14:paraId="5E4807DE" w14:textId="77777777" w:rsidR="000614E2" w:rsidRPr="001C3F14" w:rsidRDefault="000614E2" w:rsidP="000C7E47">
      <w:pPr>
        <w:pStyle w:val="BodyTextIndent"/>
        <w:ind w:left="0"/>
        <w:jc w:val="center"/>
        <w:rPr>
          <w:color w:val="000000" w:themeColor="text1"/>
          <w:sz w:val="22"/>
          <w:szCs w:val="22"/>
        </w:rPr>
      </w:pPr>
      <w:r w:rsidRPr="001C3F14">
        <w:rPr>
          <w:noProof/>
          <w:color w:val="000000" w:themeColor="text1"/>
          <w:sz w:val="22"/>
          <w:szCs w:val="22"/>
          <w:lang w:eastAsia="en-US"/>
        </w:rPr>
        <w:drawing>
          <wp:inline distT="0" distB="0" distL="0" distR="0" wp14:anchorId="3D639372" wp14:editId="16362459">
            <wp:extent cx="3020695" cy="1965277"/>
            <wp:effectExtent l="0" t="0" r="8255" b="16510"/>
            <wp:docPr id="6"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62B27B" w14:textId="77777777" w:rsidR="000614E2" w:rsidRPr="001C3F14" w:rsidRDefault="000614E2" w:rsidP="000614E2">
      <w:pPr>
        <w:bidi w:val="0"/>
        <w:jc w:val="both"/>
        <w:rPr>
          <w:b/>
          <w:bCs/>
          <w:color w:val="000000" w:themeColor="text1"/>
          <w:sz w:val="22"/>
          <w:szCs w:val="22"/>
        </w:rPr>
      </w:pPr>
    </w:p>
    <w:p w14:paraId="51A384A9" w14:textId="77777777" w:rsidR="00CF6FCE" w:rsidRPr="001C3F14" w:rsidRDefault="00CF6FCE" w:rsidP="00CF6FCE">
      <w:pPr>
        <w:bidi w:val="0"/>
        <w:ind w:firstLine="720"/>
        <w:jc w:val="both"/>
        <w:rPr>
          <w:b/>
          <w:bCs/>
          <w:color w:val="000000" w:themeColor="text1"/>
          <w:sz w:val="10"/>
          <w:szCs w:val="10"/>
        </w:rPr>
      </w:pPr>
    </w:p>
    <w:p w14:paraId="432EB66F" w14:textId="279076CC" w:rsidR="00555E41" w:rsidRPr="000C7E47" w:rsidRDefault="00555E41" w:rsidP="00E439A1">
      <w:pPr>
        <w:pStyle w:val="BodyTextIndent"/>
        <w:ind w:left="0"/>
        <w:jc w:val="center"/>
        <w:rPr>
          <w:b/>
          <w:bCs/>
          <w:color w:val="000000" w:themeColor="text1"/>
          <w:sz w:val="28"/>
          <w:szCs w:val="28"/>
        </w:rPr>
      </w:pPr>
      <w:r w:rsidRPr="000C7E47">
        <w:rPr>
          <w:b/>
          <w:bCs/>
          <w:color w:val="000000" w:themeColor="text1"/>
          <w:sz w:val="28"/>
          <w:szCs w:val="28"/>
        </w:rPr>
        <w:t>Israeli Settlements: Continuous Expansion</w:t>
      </w:r>
    </w:p>
    <w:p w14:paraId="72198BC6" w14:textId="2681A5FF" w:rsidR="00E439A1" w:rsidRPr="000C7E47" w:rsidRDefault="00F653F5" w:rsidP="005A136C">
      <w:pPr>
        <w:pStyle w:val="BodyTextIndent2"/>
        <w:ind w:left="0"/>
        <w:jc w:val="lowKashida"/>
        <w:rPr>
          <w:color w:val="000000" w:themeColor="text1"/>
          <w:sz w:val="26"/>
          <w:szCs w:val="26"/>
        </w:rPr>
      </w:pPr>
      <w:r w:rsidRPr="000C7E47">
        <w:rPr>
          <w:color w:val="000000" w:themeColor="text1"/>
          <w:sz w:val="26"/>
          <w:szCs w:val="26"/>
        </w:rPr>
        <w:t xml:space="preserve">By the end of </w:t>
      </w:r>
      <w:r w:rsidR="0008499F" w:rsidRPr="000C7E47">
        <w:rPr>
          <w:color w:val="000000" w:themeColor="text1"/>
          <w:sz w:val="26"/>
          <w:szCs w:val="26"/>
        </w:rPr>
        <w:t>202</w:t>
      </w:r>
      <w:r w:rsidR="00657274" w:rsidRPr="000C7E47">
        <w:rPr>
          <w:color w:val="000000" w:themeColor="text1"/>
          <w:sz w:val="26"/>
          <w:szCs w:val="26"/>
        </w:rPr>
        <w:t>4</w:t>
      </w:r>
      <w:r w:rsidRPr="000C7E47">
        <w:rPr>
          <w:color w:val="000000" w:themeColor="text1"/>
          <w:sz w:val="26"/>
          <w:szCs w:val="26"/>
        </w:rPr>
        <w:t xml:space="preserve">, there were </w:t>
      </w:r>
      <w:r w:rsidR="00616295" w:rsidRPr="000C7E47">
        <w:rPr>
          <w:rFonts w:hint="cs"/>
          <w:color w:val="000000" w:themeColor="text1"/>
          <w:sz w:val="26"/>
          <w:szCs w:val="26"/>
          <w:rtl/>
        </w:rPr>
        <w:t>580</w:t>
      </w:r>
      <w:r w:rsidR="0008499F" w:rsidRPr="000C7E47">
        <w:rPr>
          <w:color w:val="000000" w:themeColor="text1"/>
          <w:sz w:val="26"/>
          <w:szCs w:val="26"/>
        </w:rPr>
        <w:t xml:space="preserve"> </w:t>
      </w:r>
      <w:r w:rsidRPr="000C7E47">
        <w:rPr>
          <w:color w:val="000000" w:themeColor="text1"/>
          <w:sz w:val="26"/>
          <w:szCs w:val="26"/>
        </w:rPr>
        <w:t>Israeli occupation sites and military bases in the West Bank</w:t>
      </w:r>
      <w:r w:rsidR="00470A15" w:rsidRPr="000C7E47">
        <w:rPr>
          <w:color w:val="000000" w:themeColor="text1"/>
          <w:sz w:val="26"/>
          <w:szCs w:val="26"/>
        </w:rPr>
        <w:t>,</w:t>
      </w:r>
      <w:r w:rsidRPr="000C7E47">
        <w:rPr>
          <w:color w:val="000000" w:themeColor="text1"/>
          <w:sz w:val="26"/>
          <w:szCs w:val="26"/>
        </w:rPr>
        <w:t xml:space="preserve"> including 151 settlements and</w:t>
      </w:r>
      <w:r w:rsidR="00657274" w:rsidRPr="000C7E47">
        <w:rPr>
          <w:color w:val="000000" w:themeColor="text1"/>
          <w:sz w:val="26"/>
          <w:szCs w:val="26"/>
        </w:rPr>
        <w:t xml:space="preserve"> 256</w:t>
      </w:r>
      <w:r w:rsidRPr="000C7E47">
        <w:rPr>
          <w:color w:val="000000" w:themeColor="text1"/>
          <w:sz w:val="26"/>
          <w:szCs w:val="26"/>
        </w:rPr>
        <w:t xml:space="preserve"> </w:t>
      </w:r>
      <w:r w:rsidR="00657274" w:rsidRPr="000C7E47">
        <w:rPr>
          <w:color w:val="000000" w:themeColor="text1"/>
          <w:sz w:val="26"/>
          <w:szCs w:val="26"/>
        </w:rPr>
        <w:t xml:space="preserve">settlement outposts, of </w:t>
      </w:r>
      <w:r w:rsidR="005A136C" w:rsidRPr="000C7E47">
        <w:rPr>
          <w:color w:val="000000" w:themeColor="text1"/>
          <w:sz w:val="26"/>
          <w:szCs w:val="26"/>
        </w:rPr>
        <w:t xml:space="preserve">which </w:t>
      </w:r>
      <w:r w:rsidR="00657274" w:rsidRPr="000C7E47">
        <w:rPr>
          <w:color w:val="000000" w:themeColor="text1"/>
          <w:sz w:val="26"/>
          <w:szCs w:val="26"/>
        </w:rPr>
        <w:t>29</w:t>
      </w:r>
      <w:r w:rsidRPr="000C7E47">
        <w:rPr>
          <w:color w:val="000000" w:themeColor="text1"/>
          <w:sz w:val="26"/>
          <w:szCs w:val="26"/>
        </w:rPr>
        <w:t xml:space="preserve"> inhabited outposts </w:t>
      </w:r>
      <w:proofErr w:type="gramStart"/>
      <w:r w:rsidR="00E37A53" w:rsidRPr="000C7E47">
        <w:rPr>
          <w:color w:val="000000" w:themeColor="text1"/>
          <w:sz w:val="26"/>
          <w:szCs w:val="26"/>
        </w:rPr>
        <w:t>were</w:t>
      </w:r>
      <w:r w:rsidR="00323C05" w:rsidRPr="000C7E47">
        <w:rPr>
          <w:color w:val="000000" w:themeColor="text1"/>
          <w:sz w:val="26"/>
          <w:szCs w:val="26"/>
        </w:rPr>
        <w:t xml:space="preserve"> </w:t>
      </w:r>
      <w:r w:rsidRPr="000C7E47">
        <w:rPr>
          <w:color w:val="000000" w:themeColor="text1"/>
          <w:sz w:val="26"/>
          <w:szCs w:val="26"/>
        </w:rPr>
        <w:t>considered</w:t>
      </w:r>
      <w:proofErr w:type="gramEnd"/>
      <w:r w:rsidRPr="000C7E47">
        <w:rPr>
          <w:color w:val="000000" w:themeColor="text1"/>
          <w:sz w:val="26"/>
          <w:szCs w:val="26"/>
        </w:rPr>
        <w:t xml:space="preserve"> as </w:t>
      </w:r>
      <w:r w:rsidR="00657274" w:rsidRPr="000C7E47">
        <w:rPr>
          <w:color w:val="000000" w:themeColor="text1"/>
          <w:sz w:val="26"/>
          <w:szCs w:val="26"/>
        </w:rPr>
        <w:t>neighborhoods</w:t>
      </w:r>
      <w:r w:rsidRPr="000C7E47">
        <w:rPr>
          <w:color w:val="000000" w:themeColor="text1"/>
          <w:sz w:val="26"/>
          <w:szCs w:val="26"/>
        </w:rPr>
        <w:t xml:space="preserve"> following established settlements, in addition to </w:t>
      </w:r>
      <w:r w:rsidR="00245A0A" w:rsidRPr="000C7E47">
        <w:rPr>
          <w:color w:val="000000" w:themeColor="text1"/>
          <w:sz w:val="26"/>
          <w:szCs w:val="26"/>
        </w:rPr>
        <w:t>144 classified as other sites (industrial, tourist, service areas</w:t>
      </w:r>
      <w:r w:rsidR="005A136C" w:rsidRPr="000C7E47">
        <w:rPr>
          <w:color w:val="000000" w:themeColor="text1"/>
          <w:sz w:val="26"/>
          <w:szCs w:val="26"/>
        </w:rPr>
        <w:t>,</w:t>
      </w:r>
      <w:r w:rsidR="00245A0A" w:rsidRPr="000C7E47">
        <w:rPr>
          <w:color w:val="000000" w:themeColor="text1"/>
          <w:sz w:val="26"/>
          <w:szCs w:val="26"/>
        </w:rPr>
        <w:t xml:space="preserve"> and Israeli army bases).</w:t>
      </w:r>
      <w:r w:rsidR="00657274" w:rsidRPr="000C7E47">
        <w:rPr>
          <w:color w:val="000000" w:themeColor="text1"/>
          <w:sz w:val="26"/>
          <w:szCs w:val="26"/>
        </w:rPr>
        <w:t xml:space="preserve"> </w:t>
      </w:r>
    </w:p>
    <w:p w14:paraId="239BE3DE" w14:textId="56C9DC9C" w:rsidR="006643D4" w:rsidRPr="000C7E47" w:rsidRDefault="00F653F5" w:rsidP="005A136C">
      <w:pPr>
        <w:pStyle w:val="BodyTextIndent2"/>
        <w:ind w:left="0"/>
        <w:jc w:val="lowKashida"/>
        <w:rPr>
          <w:color w:val="000000" w:themeColor="text1"/>
          <w:sz w:val="26"/>
          <w:szCs w:val="26"/>
        </w:rPr>
      </w:pPr>
      <w:r w:rsidRPr="000C7E47">
        <w:rPr>
          <w:color w:val="000000" w:themeColor="text1"/>
          <w:sz w:val="26"/>
          <w:szCs w:val="26"/>
        </w:rPr>
        <w:t xml:space="preserve">As for the number of settlers in the West Bank, it reached </w:t>
      </w:r>
      <w:r w:rsidR="00616295" w:rsidRPr="000C7E47">
        <w:rPr>
          <w:color w:val="000000" w:themeColor="text1"/>
          <w:sz w:val="26"/>
          <w:szCs w:val="26"/>
        </w:rPr>
        <w:t>778</w:t>
      </w:r>
      <w:r w:rsidR="00657274" w:rsidRPr="000C7E47">
        <w:rPr>
          <w:color w:val="000000" w:themeColor="text1"/>
          <w:sz w:val="26"/>
          <w:szCs w:val="26"/>
        </w:rPr>
        <w:t>,</w:t>
      </w:r>
      <w:r w:rsidR="00616295" w:rsidRPr="000C7E47">
        <w:rPr>
          <w:color w:val="000000" w:themeColor="text1"/>
          <w:sz w:val="26"/>
          <w:szCs w:val="26"/>
        </w:rPr>
        <w:t>567</w:t>
      </w:r>
      <w:r w:rsidRPr="000C7E47">
        <w:rPr>
          <w:color w:val="000000" w:themeColor="text1"/>
          <w:sz w:val="26"/>
          <w:szCs w:val="26"/>
        </w:rPr>
        <w:t xml:space="preserve"> by </w:t>
      </w:r>
      <w:r w:rsidR="00E37A53" w:rsidRPr="000C7E47">
        <w:rPr>
          <w:color w:val="000000" w:themeColor="text1"/>
          <w:sz w:val="26"/>
          <w:szCs w:val="26"/>
        </w:rPr>
        <w:t xml:space="preserve">the </w:t>
      </w:r>
      <w:r w:rsidRPr="000C7E47">
        <w:rPr>
          <w:color w:val="000000" w:themeColor="text1"/>
          <w:sz w:val="26"/>
          <w:szCs w:val="26"/>
        </w:rPr>
        <w:t xml:space="preserve">end of </w:t>
      </w:r>
      <w:r w:rsidR="00CF1CAE" w:rsidRPr="000C7E47">
        <w:rPr>
          <w:color w:val="000000" w:themeColor="text1"/>
          <w:sz w:val="26"/>
          <w:szCs w:val="26"/>
        </w:rPr>
        <w:t>202</w:t>
      </w:r>
      <w:r w:rsidR="00657274" w:rsidRPr="000C7E47">
        <w:rPr>
          <w:color w:val="000000" w:themeColor="text1"/>
          <w:sz w:val="26"/>
          <w:szCs w:val="26"/>
        </w:rPr>
        <w:t>4</w:t>
      </w:r>
      <w:r w:rsidR="001A5459" w:rsidRPr="000C7E47">
        <w:rPr>
          <w:color w:val="000000" w:themeColor="text1"/>
          <w:sz w:val="26"/>
          <w:szCs w:val="26"/>
        </w:rPr>
        <w:t>.</w:t>
      </w:r>
    </w:p>
    <w:p w14:paraId="369ADDA9" w14:textId="77777777" w:rsidR="006643D4" w:rsidRPr="000C7E47" w:rsidRDefault="006643D4" w:rsidP="006643D4">
      <w:pPr>
        <w:pStyle w:val="BodyTextIndent2"/>
        <w:ind w:left="0"/>
        <w:jc w:val="lowKashida"/>
        <w:rPr>
          <w:color w:val="000000" w:themeColor="text1"/>
          <w:sz w:val="26"/>
          <w:szCs w:val="26"/>
        </w:rPr>
      </w:pPr>
    </w:p>
    <w:p w14:paraId="75462EFD" w14:textId="722A6F38" w:rsidR="00E439A1" w:rsidRPr="000C7E47" w:rsidRDefault="001A5459" w:rsidP="005A136C">
      <w:pPr>
        <w:pStyle w:val="BodyTextIndent2"/>
        <w:ind w:left="0"/>
        <w:jc w:val="lowKashida"/>
        <w:rPr>
          <w:color w:val="000000" w:themeColor="text1"/>
          <w:sz w:val="26"/>
          <w:szCs w:val="26"/>
        </w:rPr>
      </w:pPr>
      <w:proofErr w:type="gramStart"/>
      <w:r w:rsidRPr="000C7E47">
        <w:rPr>
          <w:color w:val="000000" w:themeColor="text1"/>
          <w:sz w:val="26"/>
          <w:szCs w:val="26"/>
        </w:rPr>
        <w:t xml:space="preserve">Accordingly, </w:t>
      </w:r>
      <w:r w:rsidR="00F653F5" w:rsidRPr="000C7E47">
        <w:rPr>
          <w:color w:val="000000" w:themeColor="text1"/>
          <w:sz w:val="26"/>
          <w:szCs w:val="26"/>
        </w:rPr>
        <w:t xml:space="preserve">data show that around </w:t>
      </w:r>
      <w:r w:rsidR="00616295" w:rsidRPr="000C7E47">
        <w:rPr>
          <w:color w:val="000000" w:themeColor="text1"/>
          <w:sz w:val="26"/>
          <w:szCs w:val="26"/>
        </w:rPr>
        <w:t>42.8</w:t>
      </w:r>
      <w:r w:rsidR="00F653F5" w:rsidRPr="000C7E47">
        <w:rPr>
          <w:color w:val="000000" w:themeColor="text1"/>
          <w:sz w:val="26"/>
          <w:szCs w:val="26"/>
        </w:rPr>
        <w:t xml:space="preserve">% of settlers live in Jerusalem </w:t>
      </w:r>
      <w:r w:rsidR="0074723F" w:rsidRPr="000C7E47">
        <w:rPr>
          <w:color w:val="000000" w:themeColor="text1"/>
          <w:sz w:val="26"/>
          <w:szCs w:val="26"/>
        </w:rPr>
        <w:t>Governorate</w:t>
      </w:r>
      <w:r w:rsidR="00F653F5" w:rsidRPr="000C7E47">
        <w:rPr>
          <w:color w:val="000000" w:themeColor="text1"/>
          <w:sz w:val="26"/>
          <w:szCs w:val="26"/>
        </w:rPr>
        <w:t xml:space="preserve">, where their number reached about </w:t>
      </w:r>
      <w:r w:rsidR="00616295" w:rsidRPr="000C7E47">
        <w:rPr>
          <w:color w:val="000000" w:themeColor="text1"/>
          <w:sz w:val="26"/>
          <w:szCs w:val="26"/>
        </w:rPr>
        <w:t>333</w:t>
      </w:r>
      <w:r w:rsidR="00D13B51" w:rsidRPr="000C7E47">
        <w:rPr>
          <w:color w:val="000000" w:themeColor="text1"/>
          <w:sz w:val="26"/>
          <w:szCs w:val="26"/>
        </w:rPr>
        <w:t>,</w:t>
      </w:r>
      <w:r w:rsidR="00616295" w:rsidRPr="000C7E47">
        <w:rPr>
          <w:color w:val="000000" w:themeColor="text1"/>
          <w:sz w:val="26"/>
          <w:szCs w:val="26"/>
        </w:rPr>
        <w:t>580</w:t>
      </w:r>
      <w:r w:rsidR="00F653F5" w:rsidRPr="000C7E47">
        <w:rPr>
          <w:color w:val="000000" w:themeColor="text1"/>
          <w:sz w:val="26"/>
          <w:szCs w:val="26"/>
        </w:rPr>
        <w:t xml:space="preserve"> settlers; out of </w:t>
      </w:r>
      <w:r w:rsidR="00E37A53" w:rsidRPr="000C7E47">
        <w:rPr>
          <w:color w:val="000000" w:themeColor="text1"/>
          <w:sz w:val="26"/>
          <w:szCs w:val="26"/>
        </w:rPr>
        <w:t xml:space="preserve">whom </w:t>
      </w:r>
      <w:r w:rsidR="00616295" w:rsidRPr="000C7E47">
        <w:rPr>
          <w:color w:val="000000" w:themeColor="text1"/>
          <w:sz w:val="26"/>
          <w:szCs w:val="26"/>
        </w:rPr>
        <w:t>243</w:t>
      </w:r>
      <w:r w:rsidR="00F653F5" w:rsidRPr="000C7E47">
        <w:rPr>
          <w:color w:val="000000" w:themeColor="text1"/>
          <w:sz w:val="26"/>
          <w:szCs w:val="26"/>
        </w:rPr>
        <w:t>,</w:t>
      </w:r>
      <w:r w:rsidR="00616295" w:rsidRPr="000C7E47">
        <w:rPr>
          <w:color w:val="000000" w:themeColor="text1"/>
          <w:sz w:val="26"/>
          <w:szCs w:val="26"/>
        </w:rPr>
        <w:t>716</w:t>
      </w:r>
      <w:r w:rsidR="00D13B51" w:rsidRPr="000C7E47">
        <w:rPr>
          <w:color w:val="000000" w:themeColor="text1"/>
          <w:sz w:val="26"/>
          <w:szCs w:val="26"/>
        </w:rPr>
        <w:t xml:space="preserve"> </w:t>
      </w:r>
      <w:r w:rsidR="00F653F5" w:rsidRPr="000C7E47">
        <w:rPr>
          <w:color w:val="000000" w:themeColor="text1"/>
          <w:sz w:val="26"/>
          <w:szCs w:val="26"/>
        </w:rPr>
        <w:t xml:space="preserve">settlers live in East Jerusalem (J1) “includes those parts of Jerusalem which were annexed by </w:t>
      </w:r>
      <w:r w:rsidR="00ED0EF8" w:rsidRPr="000C7E47">
        <w:rPr>
          <w:color w:val="000000" w:themeColor="text1"/>
          <w:sz w:val="26"/>
          <w:szCs w:val="26"/>
        </w:rPr>
        <w:t xml:space="preserve">the </w:t>
      </w:r>
      <w:r w:rsidR="00F653F5" w:rsidRPr="000C7E47">
        <w:rPr>
          <w:color w:val="000000" w:themeColor="text1"/>
          <w:sz w:val="26"/>
          <w:szCs w:val="26"/>
        </w:rPr>
        <w:t xml:space="preserve">Israeli occupation in 1967” </w:t>
      </w:r>
      <w:r w:rsidR="0074723F" w:rsidRPr="000C7E47">
        <w:rPr>
          <w:color w:val="000000" w:themeColor="text1"/>
          <w:sz w:val="26"/>
          <w:szCs w:val="26"/>
        </w:rPr>
        <w:t xml:space="preserve">followed </w:t>
      </w:r>
      <w:r w:rsidR="00C97448" w:rsidRPr="000C7E47">
        <w:rPr>
          <w:color w:val="000000" w:themeColor="text1"/>
          <w:sz w:val="26"/>
          <w:szCs w:val="26"/>
        </w:rPr>
        <w:t>by Ramallah and Al-</w:t>
      </w:r>
      <w:proofErr w:type="spellStart"/>
      <w:r w:rsidR="00C97448" w:rsidRPr="000C7E47">
        <w:rPr>
          <w:color w:val="000000" w:themeColor="text1"/>
          <w:sz w:val="26"/>
          <w:szCs w:val="26"/>
        </w:rPr>
        <w:t>Bireh</w:t>
      </w:r>
      <w:proofErr w:type="spellEnd"/>
      <w:r w:rsidR="00C97448" w:rsidRPr="000C7E47">
        <w:rPr>
          <w:color w:val="000000" w:themeColor="text1"/>
          <w:sz w:val="26"/>
          <w:szCs w:val="26"/>
        </w:rPr>
        <w:t xml:space="preserve"> </w:t>
      </w:r>
      <w:r w:rsidR="0074723F" w:rsidRPr="000C7E47">
        <w:rPr>
          <w:color w:val="000000" w:themeColor="text1"/>
          <w:sz w:val="26"/>
          <w:szCs w:val="26"/>
        </w:rPr>
        <w:t xml:space="preserve">Governorate </w:t>
      </w:r>
      <w:r w:rsidR="00C97448" w:rsidRPr="000C7E47">
        <w:rPr>
          <w:color w:val="000000" w:themeColor="text1"/>
          <w:sz w:val="26"/>
          <w:szCs w:val="26"/>
        </w:rPr>
        <w:t xml:space="preserve">with </w:t>
      </w:r>
      <w:r w:rsidR="00616295" w:rsidRPr="000C7E47">
        <w:rPr>
          <w:color w:val="000000" w:themeColor="text1"/>
          <w:sz w:val="26"/>
          <w:szCs w:val="26"/>
        </w:rPr>
        <w:t>157</w:t>
      </w:r>
      <w:r w:rsidR="00C97448" w:rsidRPr="000C7E47">
        <w:rPr>
          <w:color w:val="000000" w:themeColor="text1"/>
          <w:sz w:val="26"/>
          <w:szCs w:val="26"/>
        </w:rPr>
        <w:t>,</w:t>
      </w:r>
      <w:r w:rsidR="00616295" w:rsidRPr="000C7E47">
        <w:rPr>
          <w:color w:val="000000" w:themeColor="text1"/>
          <w:sz w:val="26"/>
          <w:szCs w:val="26"/>
        </w:rPr>
        <w:t>960</w:t>
      </w:r>
      <w:r w:rsidR="00C97448" w:rsidRPr="000C7E47">
        <w:rPr>
          <w:color w:val="000000" w:themeColor="text1"/>
          <w:sz w:val="26"/>
          <w:szCs w:val="26"/>
        </w:rPr>
        <w:t xml:space="preserve"> settlers, </w:t>
      </w:r>
      <w:r w:rsidR="00616295" w:rsidRPr="000C7E47">
        <w:rPr>
          <w:color w:val="000000" w:themeColor="text1"/>
          <w:sz w:val="26"/>
          <w:szCs w:val="26"/>
        </w:rPr>
        <w:t>110</w:t>
      </w:r>
      <w:r w:rsidR="008F2235" w:rsidRPr="000C7E47">
        <w:rPr>
          <w:color w:val="000000" w:themeColor="text1"/>
          <w:sz w:val="26"/>
          <w:szCs w:val="26"/>
        </w:rPr>
        <w:t>,</w:t>
      </w:r>
      <w:r w:rsidR="006643D4" w:rsidRPr="000C7E47">
        <w:rPr>
          <w:color w:val="000000" w:themeColor="text1"/>
          <w:sz w:val="26"/>
          <w:szCs w:val="26"/>
        </w:rPr>
        <w:t>032</w:t>
      </w:r>
      <w:r w:rsidR="00C97448" w:rsidRPr="000C7E47">
        <w:rPr>
          <w:color w:val="000000" w:themeColor="text1"/>
          <w:sz w:val="26"/>
          <w:szCs w:val="26"/>
        </w:rPr>
        <w:t xml:space="preserve"> settlers in Bethlehem </w:t>
      </w:r>
      <w:r w:rsidR="0074723F" w:rsidRPr="000C7E47">
        <w:rPr>
          <w:color w:val="000000" w:themeColor="text1"/>
          <w:sz w:val="26"/>
          <w:szCs w:val="26"/>
        </w:rPr>
        <w:t>Governorate</w:t>
      </w:r>
      <w:r w:rsidR="00C97448" w:rsidRPr="000C7E47">
        <w:rPr>
          <w:color w:val="000000" w:themeColor="text1"/>
          <w:sz w:val="26"/>
          <w:szCs w:val="26"/>
        </w:rPr>
        <w:t xml:space="preserve">, and </w:t>
      </w:r>
      <w:r w:rsidR="006643D4" w:rsidRPr="000C7E47">
        <w:rPr>
          <w:color w:val="000000" w:themeColor="text1"/>
          <w:sz w:val="26"/>
          <w:szCs w:val="26"/>
        </w:rPr>
        <w:t>57</w:t>
      </w:r>
      <w:r w:rsidR="00C97448" w:rsidRPr="000C7E47">
        <w:rPr>
          <w:color w:val="000000" w:themeColor="text1"/>
          <w:sz w:val="26"/>
          <w:szCs w:val="26"/>
        </w:rPr>
        <w:t>,</w:t>
      </w:r>
      <w:r w:rsidR="006643D4" w:rsidRPr="000C7E47">
        <w:rPr>
          <w:color w:val="000000" w:themeColor="text1"/>
          <w:sz w:val="26"/>
          <w:szCs w:val="26"/>
        </w:rPr>
        <w:t>981</w:t>
      </w:r>
      <w:r w:rsidR="00C97448" w:rsidRPr="000C7E47">
        <w:rPr>
          <w:color w:val="000000" w:themeColor="text1"/>
          <w:sz w:val="26"/>
          <w:szCs w:val="26"/>
        </w:rPr>
        <w:t xml:space="preserve"> settlers in </w:t>
      </w:r>
      <w:proofErr w:type="spellStart"/>
      <w:r w:rsidR="00C97448" w:rsidRPr="000C7E47">
        <w:rPr>
          <w:color w:val="000000" w:themeColor="text1"/>
          <w:sz w:val="26"/>
          <w:szCs w:val="26"/>
        </w:rPr>
        <w:t>Salfit</w:t>
      </w:r>
      <w:proofErr w:type="spellEnd"/>
      <w:r w:rsidR="00C97448" w:rsidRPr="000C7E47">
        <w:rPr>
          <w:color w:val="000000" w:themeColor="text1"/>
          <w:sz w:val="26"/>
          <w:szCs w:val="26"/>
        </w:rPr>
        <w:t xml:space="preserve"> </w:t>
      </w:r>
      <w:r w:rsidR="0074723F" w:rsidRPr="000C7E47">
        <w:rPr>
          <w:color w:val="000000" w:themeColor="text1"/>
          <w:sz w:val="26"/>
          <w:szCs w:val="26"/>
        </w:rPr>
        <w:t>Governorate</w:t>
      </w:r>
      <w:r w:rsidR="00C97448" w:rsidRPr="000C7E47">
        <w:rPr>
          <w:color w:val="000000" w:themeColor="text1"/>
          <w:sz w:val="26"/>
          <w:szCs w:val="26"/>
        </w:rPr>
        <w:t>.</w:t>
      </w:r>
      <w:proofErr w:type="gramEnd"/>
      <w:r w:rsidR="00C97448" w:rsidRPr="000C7E47">
        <w:rPr>
          <w:color w:val="000000" w:themeColor="text1"/>
          <w:sz w:val="26"/>
          <w:szCs w:val="26"/>
        </w:rPr>
        <w:t xml:space="preserve"> </w:t>
      </w:r>
      <w:r w:rsidR="0074723F" w:rsidRPr="000C7E47">
        <w:rPr>
          <w:color w:val="000000" w:themeColor="text1"/>
          <w:sz w:val="26"/>
          <w:szCs w:val="26"/>
        </w:rPr>
        <w:t xml:space="preserve">While Tubas &amp; the </w:t>
      </w:r>
      <w:r w:rsidR="00605A82" w:rsidRPr="000C7E47">
        <w:rPr>
          <w:color w:val="000000" w:themeColor="text1"/>
          <w:sz w:val="26"/>
          <w:szCs w:val="26"/>
        </w:rPr>
        <w:t>N</w:t>
      </w:r>
      <w:r w:rsidR="0074723F" w:rsidRPr="000C7E47">
        <w:rPr>
          <w:color w:val="000000" w:themeColor="text1"/>
          <w:sz w:val="26"/>
          <w:szCs w:val="26"/>
        </w:rPr>
        <w:t>orthern Valley</w:t>
      </w:r>
      <w:r w:rsidR="00605A82" w:rsidRPr="000C7E47">
        <w:rPr>
          <w:color w:val="000000" w:themeColor="text1"/>
          <w:sz w:val="26"/>
          <w:szCs w:val="26"/>
        </w:rPr>
        <w:t>s</w:t>
      </w:r>
      <w:r w:rsidR="0074723F" w:rsidRPr="000C7E47">
        <w:rPr>
          <w:color w:val="000000" w:themeColor="text1"/>
          <w:sz w:val="26"/>
          <w:szCs w:val="26"/>
        </w:rPr>
        <w:t xml:space="preserve"> </w:t>
      </w:r>
      <w:r w:rsidR="00230FF7" w:rsidRPr="000C7E47">
        <w:rPr>
          <w:color w:val="000000" w:themeColor="text1"/>
          <w:sz w:val="26"/>
          <w:szCs w:val="26"/>
        </w:rPr>
        <w:t>Governorate ha</w:t>
      </w:r>
      <w:r w:rsidR="0078749F" w:rsidRPr="000C7E47">
        <w:rPr>
          <w:color w:val="000000" w:themeColor="text1"/>
          <w:sz w:val="26"/>
          <w:szCs w:val="26"/>
        </w:rPr>
        <w:t>s</w:t>
      </w:r>
      <w:r w:rsidR="00C97448" w:rsidRPr="000C7E47">
        <w:rPr>
          <w:color w:val="000000" w:themeColor="text1"/>
          <w:sz w:val="26"/>
          <w:szCs w:val="26"/>
        </w:rPr>
        <w:t xml:space="preserve"> </w:t>
      </w:r>
      <w:r w:rsidR="00230FF7" w:rsidRPr="000C7E47">
        <w:rPr>
          <w:color w:val="000000" w:themeColor="text1"/>
          <w:sz w:val="26"/>
          <w:szCs w:val="26"/>
        </w:rPr>
        <w:t xml:space="preserve">the </w:t>
      </w:r>
      <w:r w:rsidR="00C97448" w:rsidRPr="000C7E47">
        <w:rPr>
          <w:color w:val="000000" w:themeColor="text1"/>
          <w:sz w:val="26"/>
          <w:szCs w:val="26"/>
        </w:rPr>
        <w:t xml:space="preserve">lowest </w:t>
      </w:r>
      <w:r w:rsidR="00230FF7" w:rsidRPr="000C7E47">
        <w:rPr>
          <w:color w:val="000000" w:themeColor="text1"/>
          <w:sz w:val="26"/>
          <w:szCs w:val="26"/>
        </w:rPr>
        <w:t xml:space="preserve">number </w:t>
      </w:r>
      <w:r w:rsidR="00C97448" w:rsidRPr="000C7E47">
        <w:rPr>
          <w:color w:val="000000" w:themeColor="text1"/>
          <w:sz w:val="26"/>
          <w:szCs w:val="26"/>
        </w:rPr>
        <w:t>of settlers</w:t>
      </w:r>
      <w:r w:rsidR="005A136C" w:rsidRPr="000C7E47">
        <w:rPr>
          <w:color w:val="000000" w:themeColor="text1"/>
          <w:sz w:val="26"/>
          <w:szCs w:val="26"/>
        </w:rPr>
        <w:t>,</w:t>
      </w:r>
      <w:r w:rsidR="00B926E2" w:rsidRPr="000C7E47">
        <w:rPr>
          <w:color w:val="000000" w:themeColor="text1"/>
          <w:sz w:val="26"/>
          <w:szCs w:val="26"/>
        </w:rPr>
        <w:t xml:space="preserve"> reach</w:t>
      </w:r>
      <w:r w:rsidR="005A136C" w:rsidRPr="000C7E47">
        <w:rPr>
          <w:color w:val="000000" w:themeColor="text1"/>
          <w:sz w:val="26"/>
          <w:szCs w:val="26"/>
        </w:rPr>
        <w:t>ing</w:t>
      </w:r>
      <w:r w:rsidR="00C97448" w:rsidRPr="000C7E47">
        <w:rPr>
          <w:color w:val="000000" w:themeColor="text1"/>
          <w:sz w:val="26"/>
          <w:szCs w:val="26"/>
        </w:rPr>
        <w:t xml:space="preserve"> </w:t>
      </w:r>
      <w:r w:rsidR="008F2235" w:rsidRPr="000C7E47">
        <w:rPr>
          <w:color w:val="000000" w:themeColor="text1"/>
          <w:sz w:val="26"/>
          <w:szCs w:val="26"/>
        </w:rPr>
        <w:t>3,0</w:t>
      </w:r>
      <w:r w:rsidR="006643D4" w:rsidRPr="000C7E47">
        <w:rPr>
          <w:color w:val="000000" w:themeColor="text1"/>
          <w:sz w:val="26"/>
          <w:szCs w:val="26"/>
        </w:rPr>
        <w:t>77</w:t>
      </w:r>
      <w:r w:rsidR="00C97448" w:rsidRPr="000C7E47">
        <w:rPr>
          <w:color w:val="000000" w:themeColor="text1"/>
          <w:sz w:val="26"/>
          <w:szCs w:val="26"/>
        </w:rPr>
        <w:t>.</w:t>
      </w:r>
    </w:p>
    <w:p w14:paraId="2085A73C" w14:textId="77777777" w:rsidR="00E439A1" w:rsidRPr="000C7E47" w:rsidRDefault="00E439A1" w:rsidP="00E439A1">
      <w:pPr>
        <w:pStyle w:val="BodyTextIndent2"/>
        <w:ind w:left="0"/>
        <w:jc w:val="lowKashida"/>
        <w:rPr>
          <w:color w:val="000000" w:themeColor="text1"/>
          <w:sz w:val="26"/>
          <w:szCs w:val="26"/>
        </w:rPr>
      </w:pPr>
    </w:p>
    <w:p w14:paraId="426D5E12" w14:textId="65D8550E" w:rsidR="00D13B51" w:rsidRPr="000C7E47" w:rsidRDefault="00E439A1" w:rsidP="00C9012B">
      <w:pPr>
        <w:pStyle w:val="BodyTextIndent2"/>
        <w:ind w:left="0"/>
        <w:jc w:val="lowKashida"/>
        <w:rPr>
          <w:color w:val="000000" w:themeColor="text1"/>
          <w:sz w:val="26"/>
          <w:szCs w:val="26"/>
          <w:rtl/>
        </w:rPr>
      </w:pPr>
      <w:proofErr w:type="gramStart"/>
      <w:r w:rsidRPr="000C7E47">
        <w:rPr>
          <w:color w:val="000000" w:themeColor="text1"/>
          <w:sz w:val="26"/>
          <w:szCs w:val="26"/>
        </w:rPr>
        <w:t>I</w:t>
      </w:r>
      <w:r w:rsidR="00F653F5" w:rsidRPr="000C7E47">
        <w:rPr>
          <w:color w:val="000000" w:themeColor="text1"/>
          <w:sz w:val="26"/>
          <w:szCs w:val="26"/>
        </w:rPr>
        <w:t>n regard to</w:t>
      </w:r>
      <w:proofErr w:type="gramEnd"/>
      <w:r w:rsidR="00F653F5" w:rsidRPr="000C7E47">
        <w:rPr>
          <w:color w:val="000000" w:themeColor="text1"/>
          <w:sz w:val="26"/>
          <w:szCs w:val="26"/>
        </w:rPr>
        <w:t xml:space="preserve"> demographics, the proportion of settlers to </w:t>
      </w:r>
      <w:r w:rsidR="00ED0EF8" w:rsidRPr="000C7E47">
        <w:rPr>
          <w:color w:val="000000" w:themeColor="text1"/>
          <w:sz w:val="26"/>
          <w:szCs w:val="26"/>
        </w:rPr>
        <w:t xml:space="preserve">the </w:t>
      </w:r>
      <w:r w:rsidR="00F653F5" w:rsidRPr="000C7E47">
        <w:rPr>
          <w:color w:val="000000" w:themeColor="text1"/>
          <w:sz w:val="26"/>
          <w:szCs w:val="26"/>
        </w:rPr>
        <w:t xml:space="preserve">Palestinian population in the West Bank is about </w:t>
      </w:r>
      <w:r w:rsidR="008F2235" w:rsidRPr="000C7E47">
        <w:rPr>
          <w:color w:val="000000" w:themeColor="text1"/>
          <w:sz w:val="26"/>
          <w:szCs w:val="26"/>
        </w:rPr>
        <w:t>23.</w:t>
      </w:r>
      <w:r w:rsidR="006643D4" w:rsidRPr="000C7E47">
        <w:rPr>
          <w:color w:val="000000" w:themeColor="text1"/>
          <w:sz w:val="26"/>
          <w:szCs w:val="26"/>
        </w:rPr>
        <w:t>2</w:t>
      </w:r>
      <w:r w:rsidR="00F653F5" w:rsidRPr="000C7E47">
        <w:rPr>
          <w:color w:val="000000" w:themeColor="text1"/>
          <w:sz w:val="26"/>
          <w:szCs w:val="26"/>
        </w:rPr>
        <w:t xml:space="preserve"> settlers per 100 Palestinians</w:t>
      </w:r>
      <w:r w:rsidR="00B926E2" w:rsidRPr="000C7E47">
        <w:rPr>
          <w:color w:val="000000" w:themeColor="text1"/>
          <w:sz w:val="26"/>
          <w:szCs w:val="26"/>
        </w:rPr>
        <w:t>. I</w:t>
      </w:r>
      <w:r w:rsidR="00F653F5" w:rsidRPr="000C7E47">
        <w:rPr>
          <w:color w:val="000000" w:themeColor="text1"/>
          <w:sz w:val="26"/>
          <w:szCs w:val="26"/>
        </w:rPr>
        <w:t xml:space="preserve">t was the highest in Jerusalem </w:t>
      </w:r>
      <w:r w:rsidR="00FC11DE" w:rsidRPr="000C7E47">
        <w:rPr>
          <w:color w:val="000000" w:themeColor="text1"/>
          <w:sz w:val="26"/>
          <w:szCs w:val="26"/>
        </w:rPr>
        <w:t>G</w:t>
      </w:r>
      <w:r w:rsidR="00F653F5" w:rsidRPr="000C7E47">
        <w:rPr>
          <w:color w:val="000000" w:themeColor="text1"/>
          <w:sz w:val="26"/>
          <w:szCs w:val="26"/>
        </w:rPr>
        <w:t xml:space="preserve">overnorate, where there were </w:t>
      </w:r>
      <w:r w:rsidR="006643D4" w:rsidRPr="000C7E47">
        <w:rPr>
          <w:color w:val="000000" w:themeColor="text1"/>
          <w:sz w:val="26"/>
          <w:szCs w:val="26"/>
        </w:rPr>
        <w:t>65</w:t>
      </w:r>
      <w:r w:rsidR="008F2235" w:rsidRPr="000C7E47">
        <w:rPr>
          <w:color w:val="000000" w:themeColor="text1"/>
          <w:sz w:val="26"/>
          <w:szCs w:val="26"/>
        </w:rPr>
        <w:t>.</w:t>
      </w:r>
      <w:r w:rsidR="006643D4" w:rsidRPr="000C7E47">
        <w:rPr>
          <w:color w:val="000000" w:themeColor="text1"/>
          <w:sz w:val="26"/>
          <w:szCs w:val="26"/>
        </w:rPr>
        <w:t>7</w:t>
      </w:r>
      <w:r w:rsidR="00D13B51" w:rsidRPr="000C7E47">
        <w:rPr>
          <w:color w:val="000000" w:themeColor="text1"/>
          <w:sz w:val="26"/>
          <w:szCs w:val="26"/>
        </w:rPr>
        <w:t xml:space="preserve"> </w:t>
      </w:r>
      <w:r w:rsidR="00F653F5" w:rsidRPr="000C7E47">
        <w:rPr>
          <w:color w:val="000000" w:themeColor="text1"/>
          <w:sz w:val="26"/>
          <w:szCs w:val="26"/>
        </w:rPr>
        <w:t>settlers per 100 Palestinians.</w:t>
      </w:r>
      <w:r w:rsidR="006D4037" w:rsidRPr="000C7E47">
        <w:rPr>
          <w:rFonts w:hint="cs"/>
          <w:color w:val="000000" w:themeColor="text1"/>
          <w:sz w:val="26"/>
          <w:szCs w:val="26"/>
          <w:rtl/>
        </w:rPr>
        <w:t xml:space="preserve"> </w:t>
      </w:r>
    </w:p>
    <w:p w14:paraId="43AB2E48" w14:textId="71A96031" w:rsidR="0018216D" w:rsidRPr="000C7E47" w:rsidRDefault="0018216D" w:rsidP="006643D4">
      <w:pPr>
        <w:pStyle w:val="BodyTextIndent2"/>
        <w:ind w:left="0"/>
        <w:jc w:val="lowKashida"/>
        <w:rPr>
          <w:color w:val="000000" w:themeColor="text1"/>
          <w:sz w:val="26"/>
          <w:szCs w:val="26"/>
          <w:rtl/>
        </w:rPr>
      </w:pPr>
    </w:p>
    <w:p w14:paraId="6A330472" w14:textId="3743E10A" w:rsidR="0018216D" w:rsidRPr="000C7E47" w:rsidRDefault="0018216D">
      <w:pPr>
        <w:pStyle w:val="BodyTextIndent2"/>
        <w:ind w:left="0"/>
        <w:jc w:val="center"/>
        <w:rPr>
          <w:b/>
          <w:bCs/>
          <w:color w:val="000000" w:themeColor="text1"/>
          <w:sz w:val="28"/>
          <w:szCs w:val="28"/>
        </w:rPr>
      </w:pPr>
      <w:proofErr w:type="gramStart"/>
      <w:r w:rsidRPr="000C7E47">
        <w:rPr>
          <w:b/>
          <w:bCs/>
          <w:color w:val="000000" w:themeColor="text1"/>
          <w:sz w:val="28"/>
          <w:szCs w:val="28"/>
        </w:rPr>
        <w:lastRenderedPageBreak/>
        <w:t>More than 23,800 attacks were carried out by Israeli occupation authorities and settlers</w:t>
      </w:r>
      <w:proofErr w:type="gramEnd"/>
      <w:r w:rsidRPr="000C7E47">
        <w:rPr>
          <w:b/>
          <w:bCs/>
          <w:color w:val="000000" w:themeColor="text1"/>
          <w:sz w:val="28"/>
          <w:szCs w:val="28"/>
        </w:rPr>
        <w:t xml:space="preserve"> during 2025</w:t>
      </w:r>
    </w:p>
    <w:p w14:paraId="73C1B8D5" w14:textId="421D0623" w:rsidR="0018216D" w:rsidRPr="000C7E47" w:rsidRDefault="0018216D" w:rsidP="00EB6406">
      <w:pPr>
        <w:pStyle w:val="BodyTextIndent2"/>
        <w:ind w:left="0"/>
        <w:jc w:val="lowKashida"/>
        <w:rPr>
          <w:color w:val="000000" w:themeColor="text1"/>
          <w:sz w:val="26"/>
          <w:szCs w:val="26"/>
        </w:rPr>
      </w:pPr>
      <w:r w:rsidRPr="000C7E47">
        <w:rPr>
          <w:color w:val="000000" w:themeColor="text1"/>
          <w:sz w:val="26"/>
          <w:szCs w:val="26"/>
        </w:rPr>
        <w:t>Israeli occupation authorities and settlers, under the protection of the Israeli occupation army, carried out 23,827 attacks against Palestinian</w:t>
      </w:r>
      <w:r w:rsidR="00474258" w:rsidRPr="000C7E47">
        <w:rPr>
          <w:color w:val="000000" w:themeColor="text1"/>
          <w:sz w:val="26"/>
          <w:szCs w:val="26"/>
        </w:rPr>
        <w:t xml:space="preserve">s </w:t>
      </w:r>
      <w:r w:rsidR="00EB6406" w:rsidRPr="000C7E47">
        <w:rPr>
          <w:color w:val="000000" w:themeColor="text1"/>
          <w:sz w:val="26"/>
          <w:szCs w:val="26"/>
        </w:rPr>
        <w:t>(</w:t>
      </w:r>
      <w:r w:rsidR="00474258" w:rsidRPr="000C7E47">
        <w:rPr>
          <w:color w:val="000000" w:themeColor="text1"/>
          <w:sz w:val="26"/>
          <w:szCs w:val="26"/>
        </w:rPr>
        <w:t>5,770 attacks included the killing of citizens, burning of homes, facilities and vehicles, and the theft of property</w:t>
      </w:r>
      <w:r w:rsidRPr="000C7E47">
        <w:rPr>
          <w:color w:val="000000" w:themeColor="text1"/>
          <w:sz w:val="26"/>
          <w:szCs w:val="26"/>
        </w:rPr>
        <w:t>, 1,393 attacks on lands and natural resources, and 16,664 attacks on individuals</w:t>
      </w:r>
      <w:r w:rsidR="00EB6406" w:rsidRPr="000C7E47">
        <w:rPr>
          <w:color w:val="000000" w:themeColor="text1"/>
          <w:sz w:val="26"/>
          <w:szCs w:val="26"/>
        </w:rPr>
        <w:t>)</w:t>
      </w:r>
      <w:r w:rsidRPr="000C7E47">
        <w:rPr>
          <w:color w:val="000000" w:themeColor="text1"/>
          <w:sz w:val="26"/>
          <w:szCs w:val="26"/>
        </w:rPr>
        <w:t xml:space="preserve">. These attacks also caused the uprooting, damage, and bulldozing of more than 35,273 trees, including about </w:t>
      </w:r>
      <w:r w:rsidR="00323C05" w:rsidRPr="000C7E47">
        <w:rPr>
          <w:color w:val="000000" w:themeColor="text1"/>
          <w:sz w:val="26"/>
          <w:szCs w:val="26"/>
        </w:rPr>
        <w:t>26,988</w:t>
      </w:r>
      <w:r w:rsidRPr="000C7E47">
        <w:rPr>
          <w:color w:val="000000" w:themeColor="text1"/>
          <w:sz w:val="26"/>
          <w:szCs w:val="26"/>
        </w:rPr>
        <w:t xml:space="preserve"> olive trees.</w:t>
      </w:r>
    </w:p>
    <w:p w14:paraId="41433999" w14:textId="77777777" w:rsidR="00323C05" w:rsidRPr="000C7E47" w:rsidRDefault="00323C05" w:rsidP="00323C05">
      <w:pPr>
        <w:pStyle w:val="BodyTextIndent2"/>
        <w:ind w:left="0"/>
        <w:jc w:val="lowKashida"/>
        <w:rPr>
          <w:color w:val="000000" w:themeColor="text1"/>
          <w:sz w:val="26"/>
          <w:szCs w:val="26"/>
        </w:rPr>
      </w:pPr>
    </w:p>
    <w:p w14:paraId="09DC3BE7" w14:textId="209E96F4" w:rsidR="0018216D" w:rsidRDefault="00323C05" w:rsidP="00C9012B">
      <w:pPr>
        <w:pStyle w:val="BodyTextIndent2"/>
        <w:ind w:left="0"/>
        <w:jc w:val="lowKashida"/>
        <w:rPr>
          <w:color w:val="000000" w:themeColor="text1"/>
          <w:sz w:val="26"/>
          <w:szCs w:val="26"/>
          <w:rtl/>
        </w:rPr>
      </w:pPr>
      <w:r w:rsidRPr="000C7E47">
        <w:rPr>
          <w:color w:val="000000" w:themeColor="text1"/>
          <w:sz w:val="26"/>
          <w:szCs w:val="26"/>
        </w:rPr>
        <w:t>From the beginning of 2026 until the end of February, the Israeli occupation authorities and settlers, under the protection of the Israeli occupation army, carried out 3,837 attacks against Palestinian citizens and their property. The attacks included 791 on property and religious places, 236 on land and natural resources, and 2,810 on individuals.</w:t>
      </w:r>
      <w:r w:rsidR="001B4575" w:rsidRPr="000C7E47">
        <w:rPr>
          <w:sz w:val="26"/>
          <w:szCs w:val="26"/>
        </w:rPr>
        <w:t xml:space="preserve"> </w:t>
      </w:r>
      <w:r w:rsidR="001B4575" w:rsidRPr="000C7E47">
        <w:rPr>
          <w:color w:val="000000" w:themeColor="text1"/>
          <w:sz w:val="26"/>
          <w:szCs w:val="26"/>
        </w:rPr>
        <w:t xml:space="preserve">In addition, Palestinians </w:t>
      </w:r>
      <w:proofErr w:type="gramStart"/>
      <w:r w:rsidR="001B4575" w:rsidRPr="000C7E47">
        <w:rPr>
          <w:color w:val="000000" w:themeColor="text1"/>
          <w:sz w:val="26"/>
          <w:szCs w:val="26"/>
        </w:rPr>
        <w:t>are denied</w:t>
      </w:r>
      <w:proofErr w:type="gramEnd"/>
      <w:r w:rsidR="001B4575" w:rsidRPr="000C7E47">
        <w:rPr>
          <w:color w:val="000000" w:themeColor="text1"/>
          <w:sz w:val="26"/>
          <w:szCs w:val="26"/>
        </w:rPr>
        <w:t xml:space="preserve"> access to tens of thousands of </w:t>
      </w:r>
      <w:proofErr w:type="spellStart"/>
      <w:r w:rsidR="00092471" w:rsidRPr="000C7E47">
        <w:rPr>
          <w:color w:val="000000" w:themeColor="text1"/>
          <w:sz w:val="26"/>
          <w:szCs w:val="26"/>
        </w:rPr>
        <w:t>dunums</w:t>
      </w:r>
      <w:proofErr w:type="spellEnd"/>
      <w:r w:rsidR="00092471" w:rsidRPr="000C7E47">
        <w:rPr>
          <w:color w:val="000000" w:themeColor="text1"/>
          <w:sz w:val="26"/>
          <w:szCs w:val="26"/>
        </w:rPr>
        <w:t xml:space="preserve"> </w:t>
      </w:r>
      <w:r w:rsidR="001B4575" w:rsidRPr="000C7E47">
        <w:rPr>
          <w:color w:val="000000" w:themeColor="text1"/>
          <w:sz w:val="26"/>
          <w:szCs w:val="26"/>
        </w:rPr>
        <w:t xml:space="preserve">of agricultural land and hundreds of thousands of </w:t>
      </w:r>
      <w:proofErr w:type="spellStart"/>
      <w:r w:rsidR="00092471" w:rsidRPr="000C7E47">
        <w:rPr>
          <w:color w:val="000000" w:themeColor="text1"/>
          <w:sz w:val="26"/>
          <w:szCs w:val="26"/>
        </w:rPr>
        <w:t>dunums</w:t>
      </w:r>
      <w:proofErr w:type="spellEnd"/>
      <w:r w:rsidR="00092471" w:rsidRPr="000C7E47">
        <w:rPr>
          <w:color w:val="000000" w:themeColor="text1"/>
          <w:sz w:val="26"/>
          <w:szCs w:val="26"/>
        </w:rPr>
        <w:t xml:space="preserve"> </w:t>
      </w:r>
      <w:r w:rsidR="001B4575" w:rsidRPr="000C7E47">
        <w:rPr>
          <w:color w:val="000000" w:themeColor="text1"/>
          <w:sz w:val="26"/>
          <w:szCs w:val="26"/>
        </w:rPr>
        <w:t>of grazing land, which has negatively affected Palestinian food security amidst the difficult economic conditions faced by the Palestinian people.</w:t>
      </w:r>
    </w:p>
    <w:p w14:paraId="7F11E3D5" w14:textId="77777777" w:rsidR="000C7E47" w:rsidRPr="000C7E47" w:rsidRDefault="000C7E47" w:rsidP="00C9012B">
      <w:pPr>
        <w:pStyle w:val="BodyTextIndent2"/>
        <w:ind w:left="0"/>
        <w:jc w:val="lowKashida"/>
        <w:rPr>
          <w:color w:val="000000" w:themeColor="text1"/>
          <w:sz w:val="26"/>
          <w:szCs w:val="26"/>
        </w:rPr>
      </w:pPr>
    </w:p>
    <w:p w14:paraId="3EFC430E" w14:textId="77777777" w:rsidR="006E1AD5" w:rsidRPr="001C3F14" w:rsidRDefault="006E1AD5" w:rsidP="00C9012B">
      <w:pPr>
        <w:pStyle w:val="BodyTextIndent2"/>
        <w:ind w:left="0"/>
        <w:jc w:val="lowKashida"/>
        <w:rPr>
          <w:color w:val="000000" w:themeColor="text1"/>
          <w:sz w:val="22"/>
          <w:szCs w:val="22"/>
        </w:rPr>
      </w:pPr>
    </w:p>
    <w:p w14:paraId="757B66AB" w14:textId="77777777" w:rsidR="00BD6FB4" w:rsidRPr="000C7E47" w:rsidRDefault="00BD6FB4" w:rsidP="00DD4090">
      <w:pPr>
        <w:bidi w:val="0"/>
        <w:jc w:val="both"/>
        <w:rPr>
          <w:b/>
          <w:bCs/>
          <w:color w:val="000000" w:themeColor="text1"/>
        </w:rPr>
      </w:pPr>
      <w:r w:rsidRPr="000C7E47">
        <w:rPr>
          <w:b/>
          <w:bCs/>
          <w:color w:val="000000" w:themeColor="text1"/>
        </w:rPr>
        <w:t>Sources:</w:t>
      </w:r>
    </w:p>
    <w:p w14:paraId="1A1EAA81" w14:textId="355B6C04" w:rsidR="00DD4090" w:rsidRPr="001C3F14" w:rsidRDefault="00E77D51" w:rsidP="00323C05">
      <w:pPr>
        <w:pStyle w:val="ListParagraph"/>
        <w:bidi w:val="0"/>
        <w:ind w:left="284"/>
        <w:jc w:val="both"/>
        <w:rPr>
          <w:color w:val="000000" w:themeColor="text1"/>
          <w:sz w:val="20"/>
          <w:szCs w:val="20"/>
        </w:rPr>
      </w:pPr>
      <w:r w:rsidRPr="001C3F14">
        <w:rPr>
          <w:color w:val="000000" w:themeColor="text1"/>
          <w:sz w:val="20"/>
          <w:szCs w:val="20"/>
        </w:rPr>
        <w:t xml:space="preserve">1. Palestinian Central Bureau of Statistics </w:t>
      </w:r>
      <w:r w:rsidR="00323C05" w:rsidRPr="001C3F14">
        <w:rPr>
          <w:color w:val="000000" w:themeColor="text1"/>
          <w:sz w:val="20"/>
          <w:szCs w:val="20"/>
        </w:rPr>
        <w:t>2025</w:t>
      </w:r>
      <w:r w:rsidRPr="001C3F14">
        <w:rPr>
          <w:color w:val="000000" w:themeColor="text1"/>
          <w:sz w:val="20"/>
          <w:szCs w:val="20"/>
        </w:rPr>
        <w:t xml:space="preserve">: Israeli settlements in the West Bank </w:t>
      </w:r>
      <w:r w:rsidR="00323C05" w:rsidRPr="001C3F14">
        <w:rPr>
          <w:color w:val="000000" w:themeColor="text1"/>
          <w:sz w:val="20"/>
          <w:szCs w:val="20"/>
        </w:rPr>
        <w:t>2024</w:t>
      </w:r>
      <w:r w:rsidRPr="001C3F14">
        <w:rPr>
          <w:color w:val="000000" w:themeColor="text1"/>
          <w:sz w:val="20"/>
          <w:szCs w:val="20"/>
        </w:rPr>
        <w:t>. Ramallah - Palestine.</w:t>
      </w:r>
    </w:p>
    <w:p w14:paraId="257FDE6C" w14:textId="4CC47799" w:rsidR="00DD4090" w:rsidRPr="001C3F14" w:rsidRDefault="00E77D51" w:rsidP="00323C05">
      <w:pPr>
        <w:pStyle w:val="ListParagraph"/>
        <w:bidi w:val="0"/>
        <w:ind w:left="284"/>
        <w:jc w:val="both"/>
        <w:rPr>
          <w:color w:val="000000" w:themeColor="text1"/>
          <w:sz w:val="20"/>
          <w:szCs w:val="20"/>
        </w:rPr>
      </w:pPr>
      <w:r w:rsidRPr="001C3F14">
        <w:rPr>
          <w:color w:val="000000" w:themeColor="text1"/>
          <w:sz w:val="20"/>
          <w:szCs w:val="20"/>
        </w:rPr>
        <w:t xml:space="preserve">2. </w:t>
      </w:r>
      <w:r w:rsidR="00B926E2" w:rsidRPr="001C3F14">
        <w:rPr>
          <w:color w:val="000000" w:themeColor="text1"/>
          <w:sz w:val="20"/>
          <w:szCs w:val="20"/>
        </w:rPr>
        <w:t xml:space="preserve">Colonization and </w:t>
      </w:r>
      <w:r w:rsidRPr="001C3F14">
        <w:rPr>
          <w:color w:val="000000" w:themeColor="text1"/>
          <w:sz w:val="20"/>
          <w:szCs w:val="20"/>
        </w:rPr>
        <w:t xml:space="preserve">Wall Resistance Commission </w:t>
      </w:r>
      <w:r w:rsidR="00323C05" w:rsidRPr="001C3F14">
        <w:rPr>
          <w:color w:val="000000" w:themeColor="text1"/>
          <w:sz w:val="20"/>
          <w:szCs w:val="20"/>
        </w:rPr>
        <w:t>2026</w:t>
      </w:r>
      <w:r w:rsidRPr="001C3F14">
        <w:rPr>
          <w:color w:val="000000" w:themeColor="text1"/>
          <w:sz w:val="20"/>
          <w:szCs w:val="20"/>
        </w:rPr>
        <w:t xml:space="preserve">, the most prominent violations of the </w:t>
      </w:r>
      <w:r w:rsidR="00B926E2" w:rsidRPr="001C3F14">
        <w:rPr>
          <w:color w:val="000000" w:themeColor="text1"/>
          <w:sz w:val="20"/>
          <w:szCs w:val="20"/>
        </w:rPr>
        <w:t xml:space="preserve">Israeli </w:t>
      </w:r>
      <w:r w:rsidR="00185B82" w:rsidRPr="001C3F14">
        <w:rPr>
          <w:color w:val="000000" w:themeColor="text1"/>
          <w:sz w:val="20"/>
          <w:szCs w:val="20"/>
        </w:rPr>
        <w:t>o</w:t>
      </w:r>
      <w:r w:rsidR="00B926E2" w:rsidRPr="001C3F14">
        <w:rPr>
          <w:color w:val="000000" w:themeColor="text1"/>
          <w:sz w:val="20"/>
          <w:szCs w:val="20"/>
        </w:rPr>
        <w:t>ccupation State</w:t>
      </w:r>
      <w:r w:rsidRPr="001C3F14">
        <w:rPr>
          <w:color w:val="000000" w:themeColor="text1"/>
          <w:sz w:val="20"/>
          <w:szCs w:val="20"/>
        </w:rPr>
        <w:t xml:space="preserve"> and colonizers in the occupied Palestinian territories, annual report, </w:t>
      </w:r>
      <w:r w:rsidR="00323C05" w:rsidRPr="001C3F14">
        <w:rPr>
          <w:color w:val="000000" w:themeColor="text1"/>
          <w:sz w:val="20"/>
          <w:szCs w:val="20"/>
        </w:rPr>
        <w:t>2025</w:t>
      </w:r>
      <w:r w:rsidRPr="001C3F14">
        <w:rPr>
          <w:color w:val="000000" w:themeColor="text1"/>
          <w:sz w:val="20"/>
          <w:szCs w:val="20"/>
        </w:rPr>
        <w:t>. Ramallah - Palestine.</w:t>
      </w:r>
    </w:p>
    <w:p w14:paraId="3B2C80E1" w14:textId="2E1D7452" w:rsidR="00DD4090" w:rsidRPr="001C3F14" w:rsidRDefault="00EC023A" w:rsidP="00323C05">
      <w:pPr>
        <w:pStyle w:val="ListParagraph"/>
        <w:bidi w:val="0"/>
        <w:ind w:left="284"/>
        <w:jc w:val="both"/>
        <w:rPr>
          <w:color w:val="000000" w:themeColor="text1"/>
          <w:sz w:val="20"/>
          <w:szCs w:val="20"/>
        </w:rPr>
      </w:pPr>
      <w:r w:rsidRPr="001C3F14">
        <w:rPr>
          <w:rFonts w:hint="cs"/>
          <w:color w:val="000000" w:themeColor="text1"/>
          <w:sz w:val="20"/>
          <w:szCs w:val="20"/>
          <w:rtl/>
        </w:rPr>
        <w:t>3</w:t>
      </w:r>
      <w:r w:rsidR="00E77D51" w:rsidRPr="001C3F14">
        <w:rPr>
          <w:color w:val="000000" w:themeColor="text1"/>
          <w:sz w:val="20"/>
          <w:szCs w:val="20"/>
        </w:rPr>
        <w:t xml:space="preserve">. Office for the Coordination of Humanitarian Affairs in the Occupied Territories (OCHA), </w:t>
      </w:r>
      <w:r w:rsidR="00323C05" w:rsidRPr="001C3F14">
        <w:rPr>
          <w:color w:val="000000" w:themeColor="text1"/>
          <w:sz w:val="20"/>
          <w:szCs w:val="20"/>
        </w:rPr>
        <w:t>2025</w:t>
      </w:r>
      <w:r w:rsidR="00E77D51" w:rsidRPr="001C3F14">
        <w:rPr>
          <w:color w:val="000000" w:themeColor="text1"/>
          <w:sz w:val="20"/>
          <w:szCs w:val="20"/>
        </w:rPr>
        <w:t>.</w:t>
      </w:r>
    </w:p>
    <w:p w14:paraId="35591DA4" w14:textId="7B3EC86E" w:rsidR="00042C5C" w:rsidRPr="001C3F14" w:rsidRDefault="00042C5C" w:rsidP="001C3F14">
      <w:pPr>
        <w:pStyle w:val="ListParagraph"/>
        <w:bidi w:val="0"/>
        <w:ind w:left="284"/>
        <w:jc w:val="both"/>
        <w:rPr>
          <w:rFonts w:asciiTheme="majorBidi" w:hAnsiTheme="majorBidi" w:cstheme="majorBidi"/>
          <w:color w:val="000000" w:themeColor="text1"/>
          <w:sz w:val="18"/>
          <w:szCs w:val="18"/>
        </w:rPr>
      </w:pPr>
    </w:p>
    <w:p w14:paraId="36D2F79E" w14:textId="77777777" w:rsidR="001C2B30" w:rsidRPr="001C3F14" w:rsidRDefault="001C2B30" w:rsidP="001C2B30">
      <w:pPr>
        <w:pStyle w:val="ListParagraph"/>
        <w:bidi w:val="0"/>
        <w:ind w:left="284"/>
        <w:jc w:val="both"/>
        <w:rPr>
          <w:color w:val="000000" w:themeColor="text1"/>
        </w:rPr>
      </w:pPr>
    </w:p>
    <w:p w14:paraId="28D98F84" w14:textId="77777777" w:rsidR="00BA721B" w:rsidRPr="001C3F14" w:rsidRDefault="00BA721B" w:rsidP="009D3A6F">
      <w:pPr>
        <w:pStyle w:val="BodyTextIndent2"/>
        <w:ind w:left="0"/>
        <w:jc w:val="lowKashida"/>
        <w:rPr>
          <w:color w:val="000000" w:themeColor="text1"/>
        </w:rPr>
      </w:pPr>
    </w:p>
    <w:sectPr w:rsidR="00BA721B" w:rsidRPr="001C3F14" w:rsidSect="000C7E47">
      <w:footerReference w:type="default" r:id="rId9"/>
      <w:type w:val="continuous"/>
      <w:pgSz w:w="11906" w:h="16838"/>
      <w:pgMar w:top="720" w:right="720" w:bottom="720" w:left="720" w:header="567" w:footer="567" w:gutter="0"/>
      <w:cols w:space="894"/>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1C6B7" w14:textId="77777777" w:rsidR="00F7208A" w:rsidRDefault="00F7208A" w:rsidP="00BF7D80">
      <w:r>
        <w:separator/>
      </w:r>
    </w:p>
  </w:endnote>
  <w:endnote w:type="continuationSeparator" w:id="0">
    <w:p w14:paraId="479D96E9" w14:textId="77777777" w:rsidR="00F7208A" w:rsidRDefault="00F7208A" w:rsidP="00BF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96359588"/>
      <w:docPartObj>
        <w:docPartGallery w:val="Page Numbers (Bottom of Page)"/>
        <w:docPartUnique/>
      </w:docPartObj>
    </w:sdtPr>
    <w:sdtEndPr>
      <w:rPr>
        <w:noProof/>
      </w:rPr>
    </w:sdtEndPr>
    <w:sdtContent>
      <w:p w14:paraId="0FC43593" w14:textId="239CFC50" w:rsidR="00F57920" w:rsidRDefault="00F57920">
        <w:pPr>
          <w:pStyle w:val="Footer"/>
          <w:jc w:val="center"/>
        </w:pPr>
        <w:r>
          <w:fldChar w:fldCharType="begin"/>
        </w:r>
        <w:r>
          <w:instrText xml:space="preserve"> PAGE   \* MERGEFORMAT </w:instrText>
        </w:r>
        <w:r>
          <w:fldChar w:fldCharType="separate"/>
        </w:r>
        <w:r w:rsidR="0029546F">
          <w:rPr>
            <w:noProof/>
            <w:rtl/>
          </w:rPr>
          <w:t>3</w:t>
        </w:r>
        <w:r>
          <w:rPr>
            <w:noProof/>
          </w:rPr>
          <w:fldChar w:fldCharType="end"/>
        </w:r>
      </w:p>
    </w:sdtContent>
  </w:sdt>
  <w:p w14:paraId="5D1C397A" w14:textId="77777777" w:rsidR="00C510CB" w:rsidRDefault="00C51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92120" w14:textId="77777777" w:rsidR="00F7208A" w:rsidRDefault="00F7208A" w:rsidP="00BF7D80">
      <w:r>
        <w:separator/>
      </w:r>
    </w:p>
  </w:footnote>
  <w:footnote w:type="continuationSeparator" w:id="0">
    <w:p w14:paraId="6998314F" w14:textId="77777777" w:rsidR="00F7208A" w:rsidRDefault="00F7208A" w:rsidP="00BF7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06D6"/>
    <w:multiLevelType w:val="hybridMultilevel"/>
    <w:tmpl w:val="DB2490DC"/>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A2991"/>
    <w:multiLevelType w:val="hybridMultilevel"/>
    <w:tmpl w:val="B8F8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52AFF"/>
    <w:multiLevelType w:val="hybridMultilevel"/>
    <w:tmpl w:val="670002D6"/>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0C"/>
    <w:rsid w:val="00001240"/>
    <w:rsid w:val="000049A4"/>
    <w:rsid w:val="00006C52"/>
    <w:rsid w:val="00011499"/>
    <w:rsid w:val="00014362"/>
    <w:rsid w:val="000219F9"/>
    <w:rsid w:val="00023CE5"/>
    <w:rsid w:val="00025EDE"/>
    <w:rsid w:val="00025F9E"/>
    <w:rsid w:val="000313E9"/>
    <w:rsid w:val="0003429B"/>
    <w:rsid w:val="0004045F"/>
    <w:rsid w:val="00040767"/>
    <w:rsid w:val="00042C5C"/>
    <w:rsid w:val="0004721D"/>
    <w:rsid w:val="00050943"/>
    <w:rsid w:val="000604FE"/>
    <w:rsid w:val="000614E2"/>
    <w:rsid w:val="00061DCF"/>
    <w:rsid w:val="0006529E"/>
    <w:rsid w:val="00065B2B"/>
    <w:rsid w:val="00066734"/>
    <w:rsid w:val="00067608"/>
    <w:rsid w:val="0007121B"/>
    <w:rsid w:val="00073D14"/>
    <w:rsid w:val="00074A7C"/>
    <w:rsid w:val="00074B99"/>
    <w:rsid w:val="00080239"/>
    <w:rsid w:val="00080DA1"/>
    <w:rsid w:val="0008499F"/>
    <w:rsid w:val="00084A7F"/>
    <w:rsid w:val="00084A8B"/>
    <w:rsid w:val="00092471"/>
    <w:rsid w:val="00092E93"/>
    <w:rsid w:val="00095CF3"/>
    <w:rsid w:val="000A1D8E"/>
    <w:rsid w:val="000A2AEA"/>
    <w:rsid w:val="000A3520"/>
    <w:rsid w:val="000B02B7"/>
    <w:rsid w:val="000B07F3"/>
    <w:rsid w:val="000B2F32"/>
    <w:rsid w:val="000B5CB9"/>
    <w:rsid w:val="000C4FA9"/>
    <w:rsid w:val="000C614F"/>
    <w:rsid w:val="000C7E47"/>
    <w:rsid w:val="000D0D60"/>
    <w:rsid w:val="000D1770"/>
    <w:rsid w:val="000D4B78"/>
    <w:rsid w:val="000D54F1"/>
    <w:rsid w:val="000D5F27"/>
    <w:rsid w:val="000D7175"/>
    <w:rsid w:val="000E4097"/>
    <w:rsid w:val="000E4A55"/>
    <w:rsid w:val="000E583A"/>
    <w:rsid w:val="000F22D9"/>
    <w:rsid w:val="000F269E"/>
    <w:rsid w:val="000F31BA"/>
    <w:rsid w:val="000F64D3"/>
    <w:rsid w:val="0010550B"/>
    <w:rsid w:val="00115EDB"/>
    <w:rsid w:val="001201D7"/>
    <w:rsid w:val="001219BB"/>
    <w:rsid w:val="00121F4D"/>
    <w:rsid w:val="00127695"/>
    <w:rsid w:val="00127820"/>
    <w:rsid w:val="00127CB7"/>
    <w:rsid w:val="00133EA8"/>
    <w:rsid w:val="00134330"/>
    <w:rsid w:val="00137B50"/>
    <w:rsid w:val="00140954"/>
    <w:rsid w:val="00145DF2"/>
    <w:rsid w:val="00146C0F"/>
    <w:rsid w:val="00154CBD"/>
    <w:rsid w:val="001572D8"/>
    <w:rsid w:val="00165047"/>
    <w:rsid w:val="00170A81"/>
    <w:rsid w:val="001728F9"/>
    <w:rsid w:val="00173F41"/>
    <w:rsid w:val="00173FA7"/>
    <w:rsid w:val="00173FBD"/>
    <w:rsid w:val="0017412F"/>
    <w:rsid w:val="001742A5"/>
    <w:rsid w:val="00176FF2"/>
    <w:rsid w:val="00177003"/>
    <w:rsid w:val="001770DB"/>
    <w:rsid w:val="0018216D"/>
    <w:rsid w:val="0018566C"/>
    <w:rsid w:val="00185B82"/>
    <w:rsid w:val="00194773"/>
    <w:rsid w:val="001974D4"/>
    <w:rsid w:val="001A0DAB"/>
    <w:rsid w:val="001A4F6B"/>
    <w:rsid w:val="001A5459"/>
    <w:rsid w:val="001A604D"/>
    <w:rsid w:val="001A6CE3"/>
    <w:rsid w:val="001B189A"/>
    <w:rsid w:val="001B2C55"/>
    <w:rsid w:val="001B2CD1"/>
    <w:rsid w:val="001B4575"/>
    <w:rsid w:val="001B7935"/>
    <w:rsid w:val="001C28DE"/>
    <w:rsid w:val="001C2B30"/>
    <w:rsid w:val="001C3BA6"/>
    <w:rsid w:val="001C3F14"/>
    <w:rsid w:val="001C6527"/>
    <w:rsid w:val="001D26F1"/>
    <w:rsid w:val="001D3FFB"/>
    <w:rsid w:val="001D429C"/>
    <w:rsid w:val="001D5484"/>
    <w:rsid w:val="001E11B5"/>
    <w:rsid w:val="001E193A"/>
    <w:rsid w:val="001E7548"/>
    <w:rsid w:val="001F1F45"/>
    <w:rsid w:val="001F54E5"/>
    <w:rsid w:val="001F6EDC"/>
    <w:rsid w:val="001F7F56"/>
    <w:rsid w:val="00202ACA"/>
    <w:rsid w:val="0021032D"/>
    <w:rsid w:val="00210AC6"/>
    <w:rsid w:val="0021372D"/>
    <w:rsid w:val="002172DD"/>
    <w:rsid w:val="0022170A"/>
    <w:rsid w:val="00230FF7"/>
    <w:rsid w:val="0023501B"/>
    <w:rsid w:val="00237969"/>
    <w:rsid w:val="00237EFC"/>
    <w:rsid w:val="0024095B"/>
    <w:rsid w:val="00240FFF"/>
    <w:rsid w:val="00243373"/>
    <w:rsid w:val="00243B12"/>
    <w:rsid w:val="00244B76"/>
    <w:rsid w:val="00245A0A"/>
    <w:rsid w:val="002469D9"/>
    <w:rsid w:val="00247928"/>
    <w:rsid w:val="00251B52"/>
    <w:rsid w:val="00256B0C"/>
    <w:rsid w:val="0025787B"/>
    <w:rsid w:val="00261568"/>
    <w:rsid w:val="0026698E"/>
    <w:rsid w:val="00272C33"/>
    <w:rsid w:val="002804D4"/>
    <w:rsid w:val="002850F0"/>
    <w:rsid w:val="00294F60"/>
    <w:rsid w:val="0029546F"/>
    <w:rsid w:val="002A1565"/>
    <w:rsid w:val="002A404F"/>
    <w:rsid w:val="002A67FD"/>
    <w:rsid w:val="002A797B"/>
    <w:rsid w:val="002B2D6F"/>
    <w:rsid w:val="002B4ACA"/>
    <w:rsid w:val="002B74D4"/>
    <w:rsid w:val="002C09DD"/>
    <w:rsid w:val="002C0A52"/>
    <w:rsid w:val="002C1048"/>
    <w:rsid w:val="002C4C1D"/>
    <w:rsid w:val="002C561F"/>
    <w:rsid w:val="002C62B0"/>
    <w:rsid w:val="002C7AA8"/>
    <w:rsid w:val="002D2C4F"/>
    <w:rsid w:val="002D4067"/>
    <w:rsid w:val="002D47F4"/>
    <w:rsid w:val="002D63EC"/>
    <w:rsid w:val="002D74E6"/>
    <w:rsid w:val="002E04DB"/>
    <w:rsid w:val="002E058A"/>
    <w:rsid w:val="002E0595"/>
    <w:rsid w:val="002E1CDC"/>
    <w:rsid w:val="002E553F"/>
    <w:rsid w:val="002F4368"/>
    <w:rsid w:val="002F56EC"/>
    <w:rsid w:val="002F6F53"/>
    <w:rsid w:val="00302C69"/>
    <w:rsid w:val="003051AA"/>
    <w:rsid w:val="003062EB"/>
    <w:rsid w:val="003111B4"/>
    <w:rsid w:val="00314254"/>
    <w:rsid w:val="00314400"/>
    <w:rsid w:val="00322770"/>
    <w:rsid w:val="00322863"/>
    <w:rsid w:val="00322C0D"/>
    <w:rsid w:val="003232FC"/>
    <w:rsid w:val="00323302"/>
    <w:rsid w:val="00323C05"/>
    <w:rsid w:val="0032558A"/>
    <w:rsid w:val="00325D27"/>
    <w:rsid w:val="003309F3"/>
    <w:rsid w:val="00330F9F"/>
    <w:rsid w:val="00330FD0"/>
    <w:rsid w:val="003339D1"/>
    <w:rsid w:val="00337A5F"/>
    <w:rsid w:val="00343CBE"/>
    <w:rsid w:val="00345143"/>
    <w:rsid w:val="00350960"/>
    <w:rsid w:val="00353C9C"/>
    <w:rsid w:val="00362583"/>
    <w:rsid w:val="0036599F"/>
    <w:rsid w:val="00367E89"/>
    <w:rsid w:val="00374B0D"/>
    <w:rsid w:val="003758A1"/>
    <w:rsid w:val="003773FF"/>
    <w:rsid w:val="00383270"/>
    <w:rsid w:val="00384F8D"/>
    <w:rsid w:val="00387111"/>
    <w:rsid w:val="00387C47"/>
    <w:rsid w:val="00391B0D"/>
    <w:rsid w:val="00392EE4"/>
    <w:rsid w:val="003A18DF"/>
    <w:rsid w:val="003A340D"/>
    <w:rsid w:val="003A3C71"/>
    <w:rsid w:val="003A6315"/>
    <w:rsid w:val="003A700F"/>
    <w:rsid w:val="003B2AE5"/>
    <w:rsid w:val="003B372F"/>
    <w:rsid w:val="003B4D27"/>
    <w:rsid w:val="003B7C58"/>
    <w:rsid w:val="003C18EE"/>
    <w:rsid w:val="003C38E1"/>
    <w:rsid w:val="003C594C"/>
    <w:rsid w:val="003D1E65"/>
    <w:rsid w:val="003E0681"/>
    <w:rsid w:val="003E0BF9"/>
    <w:rsid w:val="003E2801"/>
    <w:rsid w:val="003E546D"/>
    <w:rsid w:val="003E67A2"/>
    <w:rsid w:val="003F08F5"/>
    <w:rsid w:val="003F0AA1"/>
    <w:rsid w:val="003F2EC6"/>
    <w:rsid w:val="003F42C1"/>
    <w:rsid w:val="003F5363"/>
    <w:rsid w:val="003F5B8F"/>
    <w:rsid w:val="00401367"/>
    <w:rsid w:val="00403235"/>
    <w:rsid w:val="00403443"/>
    <w:rsid w:val="00403CC3"/>
    <w:rsid w:val="00403D92"/>
    <w:rsid w:val="004064C6"/>
    <w:rsid w:val="0041058C"/>
    <w:rsid w:val="004130DC"/>
    <w:rsid w:val="00415328"/>
    <w:rsid w:val="00415E64"/>
    <w:rsid w:val="004231AF"/>
    <w:rsid w:val="0042351C"/>
    <w:rsid w:val="00426C79"/>
    <w:rsid w:val="00430C33"/>
    <w:rsid w:val="00437935"/>
    <w:rsid w:val="00437DEC"/>
    <w:rsid w:val="004413C8"/>
    <w:rsid w:val="00443400"/>
    <w:rsid w:val="00443835"/>
    <w:rsid w:val="00444A5D"/>
    <w:rsid w:val="00444F86"/>
    <w:rsid w:val="00445069"/>
    <w:rsid w:val="0044676E"/>
    <w:rsid w:val="004512DF"/>
    <w:rsid w:val="004562BE"/>
    <w:rsid w:val="00457FD9"/>
    <w:rsid w:val="00460FC7"/>
    <w:rsid w:val="00462677"/>
    <w:rsid w:val="004626B4"/>
    <w:rsid w:val="00470A15"/>
    <w:rsid w:val="00471282"/>
    <w:rsid w:val="00474258"/>
    <w:rsid w:val="004763BC"/>
    <w:rsid w:val="00476B16"/>
    <w:rsid w:val="00484D30"/>
    <w:rsid w:val="00484F1B"/>
    <w:rsid w:val="0048524F"/>
    <w:rsid w:val="00486059"/>
    <w:rsid w:val="00492530"/>
    <w:rsid w:val="00493B33"/>
    <w:rsid w:val="004A1A13"/>
    <w:rsid w:val="004A33CE"/>
    <w:rsid w:val="004B04E8"/>
    <w:rsid w:val="004B07B4"/>
    <w:rsid w:val="004B0E73"/>
    <w:rsid w:val="004B4BE3"/>
    <w:rsid w:val="004B6B92"/>
    <w:rsid w:val="004C065D"/>
    <w:rsid w:val="004C15B3"/>
    <w:rsid w:val="004C161A"/>
    <w:rsid w:val="004C1BE7"/>
    <w:rsid w:val="004C1C80"/>
    <w:rsid w:val="004D02B6"/>
    <w:rsid w:val="004D11EA"/>
    <w:rsid w:val="004D2BD5"/>
    <w:rsid w:val="004D38FD"/>
    <w:rsid w:val="004D3C25"/>
    <w:rsid w:val="004D54B7"/>
    <w:rsid w:val="004D703B"/>
    <w:rsid w:val="004E0B5D"/>
    <w:rsid w:val="004E16DF"/>
    <w:rsid w:val="004E19BE"/>
    <w:rsid w:val="004E2E76"/>
    <w:rsid w:val="004E37A9"/>
    <w:rsid w:val="004E6841"/>
    <w:rsid w:val="004E6BF1"/>
    <w:rsid w:val="004F4341"/>
    <w:rsid w:val="004F6F94"/>
    <w:rsid w:val="00500C76"/>
    <w:rsid w:val="005017DB"/>
    <w:rsid w:val="00501901"/>
    <w:rsid w:val="0051286A"/>
    <w:rsid w:val="00514093"/>
    <w:rsid w:val="00514164"/>
    <w:rsid w:val="005153B7"/>
    <w:rsid w:val="005218CF"/>
    <w:rsid w:val="00522A92"/>
    <w:rsid w:val="005247C2"/>
    <w:rsid w:val="00530CAC"/>
    <w:rsid w:val="005324F6"/>
    <w:rsid w:val="00533375"/>
    <w:rsid w:val="00543B83"/>
    <w:rsid w:val="00547529"/>
    <w:rsid w:val="00547806"/>
    <w:rsid w:val="00552E0A"/>
    <w:rsid w:val="005545C7"/>
    <w:rsid w:val="00554AE0"/>
    <w:rsid w:val="00555E41"/>
    <w:rsid w:val="00556EB6"/>
    <w:rsid w:val="00560E18"/>
    <w:rsid w:val="005624A9"/>
    <w:rsid w:val="00562C02"/>
    <w:rsid w:val="00565896"/>
    <w:rsid w:val="00566C50"/>
    <w:rsid w:val="00573D98"/>
    <w:rsid w:val="005749E7"/>
    <w:rsid w:val="00575E42"/>
    <w:rsid w:val="0058181E"/>
    <w:rsid w:val="00591BC6"/>
    <w:rsid w:val="005959B1"/>
    <w:rsid w:val="0059680C"/>
    <w:rsid w:val="005A0FB5"/>
    <w:rsid w:val="005A136C"/>
    <w:rsid w:val="005A2DD6"/>
    <w:rsid w:val="005A308A"/>
    <w:rsid w:val="005A3395"/>
    <w:rsid w:val="005B01AC"/>
    <w:rsid w:val="005B4865"/>
    <w:rsid w:val="005B5E74"/>
    <w:rsid w:val="005C07A5"/>
    <w:rsid w:val="005C0984"/>
    <w:rsid w:val="005C486C"/>
    <w:rsid w:val="005C5173"/>
    <w:rsid w:val="005C6A43"/>
    <w:rsid w:val="005C74E8"/>
    <w:rsid w:val="005D0405"/>
    <w:rsid w:val="005D7771"/>
    <w:rsid w:val="005D7838"/>
    <w:rsid w:val="005E0A20"/>
    <w:rsid w:val="005E1DBE"/>
    <w:rsid w:val="005E6008"/>
    <w:rsid w:val="005F18D8"/>
    <w:rsid w:val="005F6F32"/>
    <w:rsid w:val="005F7429"/>
    <w:rsid w:val="005F7ABD"/>
    <w:rsid w:val="00602BD6"/>
    <w:rsid w:val="00603A90"/>
    <w:rsid w:val="006050D5"/>
    <w:rsid w:val="00605A82"/>
    <w:rsid w:val="00613607"/>
    <w:rsid w:val="00613DA3"/>
    <w:rsid w:val="00616295"/>
    <w:rsid w:val="00617543"/>
    <w:rsid w:val="00620A94"/>
    <w:rsid w:val="00623BB2"/>
    <w:rsid w:val="00627CD6"/>
    <w:rsid w:val="0063104A"/>
    <w:rsid w:val="00633347"/>
    <w:rsid w:val="00634285"/>
    <w:rsid w:val="006345D2"/>
    <w:rsid w:val="00634E4B"/>
    <w:rsid w:val="00637C2F"/>
    <w:rsid w:val="00642A57"/>
    <w:rsid w:val="00644821"/>
    <w:rsid w:val="006458FC"/>
    <w:rsid w:val="006461C9"/>
    <w:rsid w:val="00651A66"/>
    <w:rsid w:val="00652600"/>
    <w:rsid w:val="00655AD7"/>
    <w:rsid w:val="00657274"/>
    <w:rsid w:val="00657380"/>
    <w:rsid w:val="0066306A"/>
    <w:rsid w:val="006643D4"/>
    <w:rsid w:val="006759DF"/>
    <w:rsid w:val="00680F55"/>
    <w:rsid w:val="0068147D"/>
    <w:rsid w:val="006827DE"/>
    <w:rsid w:val="006843A6"/>
    <w:rsid w:val="00685BD0"/>
    <w:rsid w:val="00691F01"/>
    <w:rsid w:val="006926B0"/>
    <w:rsid w:val="006962F1"/>
    <w:rsid w:val="006967DA"/>
    <w:rsid w:val="006972C9"/>
    <w:rsid w:val="00697F84"/>
    <w:rsid w:val="006A09A2"/>
    <w:rsid w:val="006A0D47"/>
    <w:rsid w:val="006A3208"/>
    <w:rsid w:val="006A7AC5"/>
    <w:rsid w:val="006B0F87"/>
    <w:rsid w:val="006B1749"/>
    <w:rsid w:val="006B4B1D"/>
    <w:rsid w:val="006B6394"/>
    <w:rsid w:val="006C585D"/>
    <w:rsid w:val="006C64E8"/>
    <w:rsid w:val="006C7DBE"/>
    <w:rsid w:val="006D307B"/>
    <w:rsid w:val="006D364E"/>
    <w:rsid w:val="006D3841"/>
    <w:rsid w:val="006D4037"/>
    <w:rsid w:val="006D5AB3"/>
    <w:rsid w:val="006D5CBD"/>
    <w:rsid w:val="006D607D"/>
    <w:rsid w:val="006D7EEA"/>
    <w:rsid w:val="006E1AD5"/>
    <w:rsid w:val="006E4836"/>
    <w:rsid w:val="006E7F9D"/>
    <w:rsid w:val="006F1277"/>
    <w:rsid w:val="006F210D"/>
    <w:rsid w:val="006F3ACE"/>
    <w:rsid w:val="006F49D8"/>
    <w:rsid w:val="006F4CDB"/>
    <w:rsid w:val="006F77BE"/>
    <w:rsid w:val="007057C4"/>
    <w:rsid w:val="00713444"/>
    <w:rsid w:val="00715189"/>
    <w:rsid w:val="00715447"/>
    <w:rsid w:val="00715779"/>
    <w:rsid w:val="007165E7"/>
    <w:rsid w:val="00722EBC"/>
    <w:rsid w:val="00743E43"/>
    <w:rsid w:val="0074477D"/>
    <w:rsid w:val="007455BD"/>
    <w:rsid w:val="0074723F"/>
    <w:rsid w:val="00747551"/>
    <w:rsid w:val="00755D2E"/>
    <w:rsid w:val="007567C0"/>
    <w:rsid w:val="00765AA1"/>
    <w:rsid w:val="0076631F"/>
    <w:rsid w:val="00771038"/>
    <w:rsid w:val="007715F9"/>
    <w:rsid w:val="00775B10"/>
    <w:rsid w:val="00783440"/>
    <w:rsid w:val="00783787"/>
    <w:rsid w:val="00784870"/>
    <w:rsid w:val="0078749F"/>
    <w:rsid w:val="007903F9"/>
    <w:rsid w:val="00792BDF"/>
    <w:rsid w:val="00797B9A"/>
    <w:rsid w:val="007A0EA3"/>
    <w:rsid w:val="007A1E6B"/>
    <w:rsid w:val="007A2CDE"/>
    <w:rsid w:val="007A53B3"/>
    <w:rsid w:val="007B0DF4"/>
    <w:rsid w:val="007B68C8"/>
    <w:rsid w:val="007B73DD"/>
    <w:rsid w:val="007C0125"/>
    <w:rsid w:val="007C0976"/>
    <w:rsid w:val="007C0D3E"/>
    <w:rsid w:val="007C2DE7"/>
    <w:rsid w:val="007D361E"/>
    <w:rsid w:val="007D57C8"/>
    <w:rsid w:val="007D5B30"/>
    <w:rsid w:val="007D6083"/>
    <w:rsid w:val="007E0782"/>
    <w:rsid w:val="007E2610"/>
    <w:rsid w:val="007F4B7B"/>
    <w:rsid w:val="007F65C7"/>
    <w:rsid w:val="00806F67"/>
    <w:rsid w:val="00821992"/>
    <w:rsid w:val="00827DC9"/>
    <w:rsid w:val="00830CA0"/>
    <w:rsid w:val="00833354"/>
    <w:rsid w:val="008341AF"/>
    <w:rsid w:val="00835491"/>
    <w:rsid w:val="0084122E"/>
    <w:rsid w:val="00843E34"/>
    <w:rsid w:val="00845F59"/>
    <w:rsid w:val="00847F60"/>
    <w:rsid w:val="0085112C"/>
    <w:rsid w:val="00852BBC"/>
    <w:rsid w:val="008637C5"/>
    <w:rsid w:val="00865E8D"/>
    <w:rsid w:val="00871292"/>
    <w:rsid w:val="00873738"/>
    <w:rsid w:val="00873EBF"/>
    <w:rsid w:val="00882F61"/>
    <w:rsid w:val="0088302F"/>
    <w:rsid w:val="00891782"/>
    <w:rsid w:val="008927D3"/>
    <w:rsid w:val="008A1C6C"/>
    <w:rsid w:val="008A269F"/>
    <w:rsid w:val="008A2733"/>
    <w:rsid w:val="008A33DC"/>
    <w:rsid w:val="008A6FB7"/>
    <w:rsid w:val="008B10FC"/>
    <w:rsid w:val="008B2166"/>
    <w:rsid w:val="008B2CED"/>
    <w:rsid w:val="008B4FE0"/>
    <w:rsid w:val="008B5569"/>
    <w:rsid w:val="008C123B"/>
    <w:rsid w:val="008C352E"/>
    <w:rsid w:val="008D189D"/>
    <w:rsid w:val="008D4892"/>
    <w:rsid w:val="008D60AC"/>
    <w:rsid w:val="008E3AB7"/>
    <w:rsid w:val="008E5233"/>
    <w:rsid w:val="008E639F"/>
    <w:rsid w:val="008E7BAE"/>
    <w:rsid w:val="008F021C"/>
    <w:rsid w:val="008F2235"/>
    <w:rsid w:val="008F258B"/>
    <w:rsid w:val="008F3785"/>
    <w:rsid w:val="008F44EB"/>
    <w:rsid w:val="009035F9"/>
    <w:rsid w:val="009046AB"/>
    <w:rsid w:val="00905EB5"/>
    <w:rsid w:val="00906FEC"/>
    <w:rsid w:val="00911A0E"/>
    <w:rsid w:val="00915A78"/>
    <w:rsid w:val="0092012D"/>
    <w:rsid w:val="00920E5C"/>
    <w:rsid w:val="00921A79"/>
    <w:rsid w:val="00924163"/>
    <w:rsid w:val="009265E4"/>
    <w:rsid w:val="00930E74"/>
    <w:rsid w:val="009330B4"/>
    <w:rsid w:val="00933872"/>
    <w:rsid w:val="00935F73"/>
    <w:rsid w:val="0094629E"/>
    <w:rsid w:val="00947118"/>
    <w:rsid w:val="00947CF9"/>
    <w:rsid w:val="00953C7E"/>
    <w:rsid w:val="0095420E"/>
    <w:rsid w:val="0095442E"/>
    <w:rsid w:val="00960382"/>
    <w:rsid w:val="00962F07"/>
    <w:rsid w:val="009641AC"/>
    <w:rsid w:val="009642F9"/>
    <w:rsid w:val="00965281"/>
    <w:rsid w:val="00970B81"/>
    <w:rsid w:val="009720A6"/>
    <w:rsid w:val="009753DD"/>
    <w:rsid w:val="00975533"/>
    <w:rsid w:val="00981A5B"/>
    <w:rsid w:val="0098386C"/>
    <w:rsid w:val="00986C77"/>
    <w:rsid w:val="00990F86"/>
    <w:rsid w:val="0099464B"/>
    <w:rsid w:val="009965ED"/>
    <w:rsid w:val="009A1AFE"/>
    <w:rsid w:val="009A1E97"/>
    <w:rsid w:val="009A2448"/>
    <w:rsid w:val="009A3FE7"/>
    <w:rsid w:val="009A517E"/>
    <w:rsid w:val="009A540F"/>
    <w:rsid w:val="009B4CD9"/>
    <w:rsid w:val="009B6550"/>
    <w:rsid w:val="009B729D"/>
    <w:rsid w:val="009C30E7"/>
    <w:rsid w:val="009C35F5"/>
    <w:rsid w:val="009C7B05"/>
    <w:rsid w:val="009D0E37"/>
    <w:rsid w:val="009D3A6F"/>
    <w:rsid w:val="009D4FCF"/>
    <w:rsid w:val="009E283B"/>
    <w:rsid w:val="009E335D"/>
    <w:rsid w:val="009E3871"/>
    <w:rsid w:val="009F011F"/>
    <w:rsid w:val="009F2385"/>
    <w:rsid w:val="009F2ED9"/>
    <w:rsid w:val="009F7B9D"/>
    <w:rsid w:val="00A02264"/>
    <w:rsid w:val="00A04047"/>
    <w:rsid w:val="00A0473D"/>
    <w:rsid w:val="00A063F4"/>
    <w:rsid w:val="00A075FF"/>
    <w:rsid w:val="00A1292D"/>
    <w:rsid w:val="00A1453C"/>
    <w:rsid w:val="00A14BEE"/>
    <w:rsid w:val="00A2015B"/>
    <w:rsid w:val="00A21E0C"/>
    <w:rsid w:val="00A26202"/>
    <w:rsid w:val="00A26258"/>
    <w:rsid w:val="00A26AAC"/>
    <w:rsid w:val="00A336A8"/>
    <w:rsid w:val="00A3474D"/>
    <w:rsid w:val="00A34DBC"/>
    <w:rsid w:val="00A40F63"/>
    <w:rsid w:val="00A41229"/>
    <w:rsid w:val="00A436DF"/>
    <w:rsid w:val="00A450A8"/>
    <w:rsid w:val="00A47877"/>
    <w:rsid w:val="00A478A3"/>
    <w:rsid w:val="00A51593"/>
    <w:rsid w:val="00A52958"/>
    <w:rsid w:val="00A53B95"/>
    <w:rsid w:val="00A624E3"/>
    <w:rsid w:val="00A66F80"/>
    <w:rsid w:val="00A676C7"/>
    <w:rsid w:val="00A70008"/>
    <w:rsid w:val="00A72BB8"/>
    <w:rsid w:val="00A7352C"/>
    <w:rsid w:val="00A744D2"/>
    <w:rsid w:val="00A751B5"/>
    <w:rsid w:val="00A82A85"/>
    <w:rsid w:val="00A831A1"/>
    <w:rsid w:val="00A84403"/>
    <w:rsid w:val="00A90F58"/>
    <w:rsid w:val="00A92E3F"/>
    <w:rsid w:val="00A92EFE"/>
    <w:rsid w:val="00A945D6"/>
    <w:rsid w:val="00AA4324"/>
    <w:rsid w:val="00AA4F16"/>
    <w:rsid w:val="00AA651D"/>
    <w:rsid w:val="00AB496E"/>
    <w:rsid w:val="00AB60DF"/>
    <w:rsid w:val="00AB72F2"/>
    <w:rsid w:val="00AC1353"/>
    <w:rsid w:val="00AC21FC"/>
    <w:rsid w:val="00AC3B6D"/>
    <w:rsid w:val="00AD1C29"/>
    <w:rsid w:val="00AD2F63"/>
    <w:rsid w:val="00AD7F35"/>
    <w:rsid w:val="00AE1973"/>
    <w:rsid w:val="00AE29DE"/>
    <w:rsid w:val="00AF00A0"/>
    <w:rsid w:val="00AF2BDD"/>
    <w:rsid w:val="00AF5305"/>
    <w:rsid w:val="00AF7760"/>
    <w:rsid w:val="00B0037C"/>
    <w:rsid w:val="00B00432"/>
    <w:rsid w:val="00B00CCE"/>
    <w:rsid w:val="00B01A81"/>
    <w:rsid w:val="00B02598"/>
    <w:rsid w:val="00B04DC2"/>
    <w:rsid w:val="00B05D15"/>
    <w:rsid w:val="00B0626F"/>
    <w:rsid w:val="00B073B4"/>
    <w:rsid w:val="00B125C8"/>
    <w:rsid w:val="00B1396B"/>
    <w:rsid w:val="00B239DE"/>
    <w:rsid w:val="00B25CD2"/>
    <w:rsid w:val="00B26D6A"/>
    <w:rsid w:val="00B3166E"/>
    <w:rsid w:val="00B318F8"/>
    <w:rsid w:val="00B32096"/>
    <w:rsid w:val="00B37200"/>
    <w:rsid w:val="00B40187"/>
    <w:rsid w:val="00B47E8E"/>
    <w:rsid w:val="00B5078B"/>
    <w:rsid w:val="00B51011"/>
    <w:rsid w:val="00B5121F"/>
    <w:rsid w:val="00B55A32"/>
    <w:rsid w:val="00B55EB5"/>
    <w:rsid w:val="00B650A5"/>
    <w:rsid w:val="00B66AF7"/>
    <w:rsid w:val="00B66CC7"/>
    <w:rsid w:val="00B703CB"/>
    <w:rsid w:val="00B70547"/>
    <w:rsid w:val="00B7410C"/>
    <w:rsid w:val="00B752C3"/>
    <w:rsid w:val="00B76B9D"/>
    <w:rsid w:val="00B7721C"/>
    <w:rsid w:val="00B77566"/>
    <w:rsid w:val="00B775C4"/>
    <w:rsid w:val="00B840BB"/>
    <w:rsid w:val="00B85527"/>
    <w:rsid w:val="00B871EE"/>
    <w:rsid w:val="00B926E2"/>
    <w:rsid w:val="00B92BCC"/>
    <w:rsid w:val="00B95BC4"/>
    <w:rsid w:val="00B973DC"/>
    <w:rsid w:val="00BA02D4"/>
    <w:rsid w:val="00BA25FF"/>
    <w:rsid w:val="00BA721B"/>
    <w:rsid w:val="00BB0DBB"/>
    <w:rsid w:val="00BB5BB1"/>
    <w:rsid w:val="00BC0FD4"/>
    <w:rsid w:val="00BC428F"/>
    <w:rsid w:val="00BC701E"/>
    <w:rsid w:val="00BD0247"/>
    <w:rsid w:val="00BD2C9F"/>
    <w:rsid w:val="00BD56D1"/>
    <w:rsid w:val="00BD6515"/>
    <w:rsid w:val="00BD6FB4"/>
    <w:rsid w:val="00BD7A55"/>
    <w:rsid w:val="00BE4479"/>
    <w:rsid w:val="00BE450D"/>
    <w:rsid w:val="00BE4FF1"/>
    <w:rsid w:val="00BF269C"/>
    <w:rsid w:val="00BF41D0"/>
    <w:rsid w:val="00BF5319"/>
    <w:rsid w:val="00BF7D80"/>
    <w:rsid w:val="00C03CD6"/>
    <w:rsid w:val="00C04967"/>
    <w:rsid w:val="00C04C54"/>
    <w:rsid w:val="00C051FF"/>
    <w:rsid w:val="00C0553E"/>
    <w:rsid w:val="00C076E7"/>
    <w:rsid w:val="00C077B9"/>
    <w:rsid w:val="00C079F3"/>
    <w:rsid w:val="00C10D03"/>
    <w:rsid w:val="00C12398"/>
    <w:rsid w:val="00C164E9"/>
    <w:rsid w:val="00C24D41"/>
    <w:rsid w:val="00C304F7"/>
    <w:rsid w:val="00C3521F"/>
    <w:rsid w:val="00C35F90"/>
    <w:rsid w:val="00C36FB3"/>
    <w:rsid w:val="00C37070"/>
    <w:rsid w:val="00C40747"/>
    <w:rsid w:val="00C42551"/>
    <w:rsid w:val="00C446EF"/>
    <w:rsid w:val="00C44EA1"/>
    <w:rsid w:val="00C510CB"/>
    <w:rsid w:val="00C52E59"/>
    <w:rsid w:val="00C561A1"/>
    <w:rsid w:val="00C6171E"/>
    <w:rsid w:val="00C63223"/>
    <w:rsid w:val="00C67201"/>
    <w:rsid w:val="00C67CA6"/>
    <w:rsid w:val="00C71B30"/>
    <w:rsid w:val="00C72C58"/>
    <w:rsid w:val="00C74290"/>
    <w:rsid w:val="00C775DB"/>
    <w:rsid w:val="00C80316"/>
    <w:rsid w:val="00C8261C"/>
    <w:rsid w:val="00C82DDA"/>
    <w:rsid w:val="00C83601"/>
    <w:rsid w:val="00C850A7"/>
    <w:rsid w:val="00C87412"/>
    <w:rsid w:val="00C9012B"/>
    <w:rsid w:val="00C934EB"/>
    <w:rsid w:val="00C93D87"/>
    <w:rsid w:val="00C95C4B"/>
    <w:rsid w:val="00C97448"/>
    <w:rsid w:val="00C97F6A"/>
    <w:rsid w:val="00CA03A3"/>
    <w:rsid w:val="00CA3D89"/>
    <w:rsid w:val="00CA66B7"/>
    <w:rsid w:val="00CA7B00"/>
    <w:rsid w:val="00CA7CA6"/>
    <w:rsid w:val="00CB6C2A"/>
    <w:rsid w:val="00CB6F0A"/>
    <w:rsid w:val="00CB762E"/>
    <w:rsid w:val="00CC323B"/>
    <w:rsid w:val="00CC438F"/>
    <w:rsid w:val="00CC5BFB"/>
    <w:rsid w:val="00CC6152"/>
    <w:rsid w:val="00CD49E7"/>
    <w:rsid w:val="00CD6396"/>
    <w:rsid w:val="00CE1960"/>
    <w:rsid w:val="00CE1D09"/>
    <w:rsid w:val="00CE3537"/>
    <w:rsid w:val="00CE39B2"/>
    <w:rsid w:val="00CF1B43"/>
    <w:rsid w:val="00CF1CAE"/>
    <w:rsid w:val="00CF6FCE"/>
    <w:rsid w:val="00D065C8"/>
    <w:rsid w:val="00D0695E"/>
    <w:rsid w:val="00D11E92"/>
    <w:rsid w:val="00D13B51"/>
    <w:rsid w:val="00D150BF"/>
    <w:rsid w:val="00D157EC"/>
    <w:rsid w:val="00D16CA4"/>
    <w:rsid w:val="00D17597"/>
    <w:rsid w:val="00D22E17"/>
    <w:rsid w:val="00D244D0"/>
    <w:rsid w:val="00D259B0"/>
    <w:rsid w:val="00D3231B"/>
    <w:rsid w:val="00D3775C"/>
    <w:rsid w:val="00D377EC"/>
    <w:rsid w:val="00D47E4A"/>
    <w:rsid w:val="00D5036E"/>
    <w:rsid w:val="00D50B5F"/>
    <w:rsid w:val="00D51923"/>
    <w:rsid w:val="00D55AC2"/>
    <w:rsid w:val="00D561BE"/>
    <w:rsid w:val="00D564B4"/>
    <w:rsid w:val="00D564BE"/>
    <w:rsid w:val="00D62D9B"/>
    <w:rsid w:val="00D64D7A"/>
    <w:rsid w:val="00D701A7"/>
    <w:rsid w:val="00D70D25"/>
    <w:rsid w:val="00D83119"/>
    <w:rsid w:val="00D84DE1"/>
    <w:rsid w:val="00D94838"/>
    <w:rsid w:val="00D95FB1"/>
    <w:rsid w:val="00D95FC0"/>
    <w:rsid w:val="00D97652"/>
    <w:rsid w:val="00DA1107"/>
    <w:rsid w:val="00DA53FC"/>
    <w:rsid w:val="00DA769E"/>
    <w:rsid w:val="00DA7777"/>
    <w:rsid w:val="00DB04D2"/>
    <w:rsid w:val="00DB21A3"/>
    <w:rsid w:val="00DB2260"/>
    <w:rsid w:val="00DC602C"/>
    <w:rsid w:val="00DC6FBE"/>
    <w:rsid w:val="00DD0431"/>
    <w:rsid w:val="00DD13D5"/>
    <w:rsid w:val="00DD33BF"/>
    <w:rsid w:val="00DD4090"/>
    <w:rsid w:val="00DE27A9"/>
    <w:rsid w:val="00DE31B9"/>
    <w:rsid w:val="00DE466C"/>
    <w:rsid w:val="00DF765E"/>
    <w:rsid w:val="00E0062F"/>
    <w:rsid w:val="00E03EE8"/>
    <w:rsid w:val="00E11A5E"/>
    <w:rsid w:val="00E17646"/>
    <w:rsid w:val="00E17916"/>
    <w:rsid w:val="00E20368"/>
    <w:rsid w:val="00E25F05"/>
    <w:rsid w:val="00E260FE"/>
    <w:rsid w:val="00E27E36"/>
    <w:rsid w:val="00E30122"/>
    <w:rsid w:val="00E371F4"/>
    <w:rsid w:val="00E37A53"/>
    <w:rsid w:val="00E37C60"/>
    <w:rsid w:val="00E439A1"/>
    <w:rsid w:val="00E45414"/>
    <w:rsid w:val="00E5106B"/>
    <w:rsid w:val="00E5188D"/>
    <w:rsid w:val="00E52362"/>
    <w:rsid w:val="00E52FAC"/>
    <w:rsid w:val="00E532A7"/>
    <w:rsid w:val="00E61E79"/>
    <w:rsid w:val="00E63626"/>
    <w:rsid w:val="00E656EB"/>
    <w:rsid w:val="00E672E7"/>
    <w:rsid w:val="00E675B7"/>
    <w:rsid w:val="00E70B93"/>
    <w:rsid w:val="00E76E4F"/>
    <w:rsid w:val="00E77D51"/>
    <w:rsid w:val="00E82FF0"/>
    <w:rsid w:val="00E84152"/>
    <w:rsid w:val="00E84CE2"/>
    <w:rsid w:val="00E86D56"/>
    <w:rsid w:val="00E86E6E"/>
    <w:rsid w:val="00E90F52"/>
    <w:rsid w:val="00E942A5"/>
    <w:rsid w:val="00E954C0"/>
    <w:rsid w:val="00E95620"/>
    <w:rsid w:val="00EA11F7"/>
    <w:rsid w:val="00EA1EAE"/>
    <w:rsid w:val="00EA29E1"/>
    <w:rsid w:val="00EA49D7"/>
    <w:rsid w:val="00EA5B1B"/>
    <w:rsid w:val="00EA7382"/>
    <w:rsid w:val="00EB3478"/>
    <w:rsid w:val="00EB6406"/>
    <w:rsid w:val="00EC023A"/>
    <w:rsid w:val="00EC0353"/>
    <w:rsid w:val="00EC0604"/>
    <w:rsid w:val="00EC083D"/>
    <w:rsid w:val="00EC169B"/>
    <w:rsid w:val="00EC5B4C"/>
    <w:rsid w:val="00EC6105"/>
    <w:rsid w:val="00EC63BD"/>
    <w:rsid w:val="00EC6817"/>
    <w:rsid w:val="00ED0B0A"/>
    <w:rsid w:val="00ED0EF8"/>
    <w:rsid w:val="00ED195D"/>
    <w:rsid w:val="00ED27DE"/>
    <w:rsid w:val="00ED28EF"/>
    <w:rsid w:val="00ED37C1"/>
    <w:rsid w:val="00ED4359"/>
    <w:rsid w:val="00ED7076"/>
    <w:rsid w:val="00EE15B8"/>
    <w:rsid w:val="00EE2587"/>
    <w:rsid w:val="00EE59DC"/>
    <w:rsid w:val="00EF00E0"/>
    <w:rsid w:val="00EF149C"/>
    <w:rsid w:val="00EF168B"/>
    <w:rsid w:val="00EF1A9A"/>
    <w:rsid w:val="00EF373F"/>
    <w:rsid w:val="00EF5D2F"/>
    <w:rsid w:val="00F004BC"/>
    <w:rsid w:val="00F029AB"/>
    <w:rsid w:val="00F0377A"/>
    <w:rsid w:val="00F04935"/>
    <w:rsid w:val="00F12ED4"/>
    <w:rsid w:val="00F141D2"/>
    <w:rsid w:val="00F150F2"/>
    <w:rsid w:val="00F24B58"/>
    <w:rsid w:val="00F269D9"/>
    <w:rsid w:val="00F27123"/>
    <w:rsid w:val="00F42EC7"/>
    <w:rsid w:val="00F463FF"/>
    <w:rsid w:val="00F47A7D"/>
    <w:rsid w:val="00F51F87"/>
    <w:rsid w:val="00F57920"/>
    <w:rsid w:val="00F61376"/>
    <w:rsid w:val="00F61D43"/>
    <w:rsid w:val="00F653F5"/>
    <w:rsid w:val="00F65E52"/>
    <w:rsid w:val="00F71E9F"/>
    <w:rsid w:val="00F7208A"/>
    <w:rsid w:val="00F73204"/>
    <w:rsid w:val="00F74D20"/>
    <w:rsid w:val="00F75158"/>
    <w:rsid w:val="00F761AB"/>
    <w:rsid w:val="00F77D4B"/>
    <w:rsid w:val="00F83098"/>
    <w:rsid w:val="00F85047"/>
    <w:rsid w:val="00F87895"/>
    <w:rsid w:val="00F918D9"/>
    <w:rsid w:val="00F920D4"/>
    <w:rsid w:val="00FA2ECD"/>
    <w:rsid w:val="00FA3FF5"/>
    <w:rsid w:val="00FA6718"/>
    <w:rsid w:val="00FB1853"/>
    <w:rsid w:val="00FC11DE"/>
    <w:rsid w:val="00FC26FA"/>
    <w:rsid w:val="00FC3A56"/>
    <w:rsid w:val="00FD0CE6"/>
    <w:rsid w:val="00FE1C12"/>
    <w:rsid w:val="00FE4D6D"/>
    <w:rsid w:val="00FE63D3"/>
    <w:rsid w:val="00FE67C3"/>
    <w:rsid w:val="00FF1250"/>
    <w:rsid w:val="00FF7161"/>
    <w:rsid w:val="00FF7498"/>
    <w:rsid w:val="00FF7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6AC80"/>
  <w15:docId w15:val="{7BA04C85-F007-4C91-B390-1230D26D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05"/>
    <w:pPr>
      <w:bidi/>
    </w:pPr>
    <w:rPr>
      <w:sz w:val="24"/>
      <w:szCs w:val="24"/>
      <w:lang w:eastAsia="ar-SA"/>
    </w:rPr>
  </w:style>
  <w:style w:type="paragraph" w:styleId="Heading1">
    <w:name w:val="heading 1"/>
    <w:basedOn w:val="Normal"/>
    <w:next w:val="Normal"/>
    <w:link w:val="Heading1Char"/>
    <w:qFormat/>
    <w:rsid w:val="002E553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7B05"/>
    <w:pPr>
      <w:bidi w:val="0"/>
      <w:ind w:left="-900"/>
      <w:jc w:val="lowKashida"/>
    </w:pPr>
  </w:style>
  <w:style w:type="paragraph" w:styleId="BodyTextIndent2">
    <w:name w:val="Body Text Indent 2"/>
    <w:basedOn w:val="Normal"/>
    <w:link w:val="BodyTextIndent2Char"/>
    <w:rsid w:val="009C7B05"/>
    <w:pPr>
      <w:bidi w:val="0"/>
      <w:ind w:left="-900"/>
    </w:pPr>
  </w:style>
  <w:style w:type="character" w:customStyle="1" w:styleId="longtext">
    <w:name w:val="long_text"/>
    <w:basedOn w:val="DefaultParagraphFont"/>
    <w:rsid w:val="006F1277"/>
  </w:style>
  <w:style w:type="character" w:customStyle="1" w:styleId="shorttext">
    <w:name w:val="short_text"/>
    <w:basedOn w:val="DefaultParagraphFont"/>
    <w:rsid w:val="0041058C"/>
  </w:style>
  <w:style w:type="paragraph" w:styleId="BalloonText">
    <w:name w:val="Balloon Text"/>
    <w:basedOn w:val="Normal"/>
    <w:link w:val="BalloonTextChar"/>
    <w:rsid w:val="00930E74"/>
    <w:rPr>
      <w:rFonts w:ascii="Tahoma" w:hAnsi="Tahoma"/>
      <w:sz w:val="16"/>
      <w:szCs w:val="16"/>
    </w:rPr>
  </w:style>
  <w:style w:type="character" w:customStyle="1" w:styleId="BalloonTextChar">
    <w:name w:val="Balloon Text Char"/>
    <w:link w:val="BalloonText"/>
    <w:rsid w:val="00930E74"/>
    <w:rPr>
      <w:rFonts w:ascii="Tahoma" w:hAnsi="Tahoma" w:cs="Tahoma"/>
      <w:sz w:val="16"/>
      <w:szCs w:val="16"/>
      <w:lang w:eastAsia="ar-SA"/>
    </w:rPr>
  </w:style>
  <w:style w:type="character" w:styleId="Hyperlink">
    <w:name w:val="Hyperlink"/>
    <w:rsid w:val="003A3C71"/>
    <w:rPr>
      <w:strike w:val="0"/>
      <w:dstrike w:val="0"/>
      <w:color w:val="000080"/>
      <w:sz w:val="21"/>
      <w:szCs w:val="21"/>
      <w:u w:val="none"/>
      <w:effect w:val="none"/>
    </w:rPr>
  </w:style>
  <w:style w:type="character" w:customStyle="1" w:styleId="hps">
    <w:name w:val="hps"/>
    <w:basedOn w:val="DefaultParagraphFont"/>
    <w:rsid w:val="003A3C71"/>
  </w:style>
  <w:style w:type="character" w:customStyle="1" w:styleId="BodyTextIndentChar">
    <w:name w:val="Body Text Indent Char"/>
    <w:link w:val="BodyTextIndent"/>
    <w:rsid w:val="00C850A7"/>
    <w:rPr>
      <w:sz w:val="24"/>
      <w:szCs w:val="24"/>
      <w:lang w:eastAsia="ar-SA"/>
    </w:rPr>
  </w:style>
  <w:style w:type="table" w:styleId="TableGrid">
    <w:name w:val="Table Grid"/>
    <w:basedOn w:val="TableNormal"/>
    <w:uiPriority w:val="59"/>
    <w:rsid w:val="000D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7D80"/>
    <w:pPr>
      <w:tabs>
        <w:tab w:val="center" w:pos="4153"/>
        <w:tab w:val="right" w:pos="8306"/>
      </w:tabs>
    </w:pPr>
  </w:style>
  <w:style w:type="character" w:customStyle="1" w:styleId="HeaderChar">
    <w:name w:val="Header Char"/>
    <w:link w:val="Header"/>
    <w:rsid w:val="00BF7D80"/>
    <w:rPr>
      <w:sz w:val="24"/>
      <w:szCs w:val="24"/>
      <w:lang w:eastAsia="ar-SA"/>
    </w:rPr>
  </w:style>
  <w:style w:type="paragraph" w:styleId="Footer">
    <w:name w:val="footer"/>
    <w:basedOn w:val="Normal"/>
    <w:link w:val="FooterChar"/>
    <w:uiPriority w:val="99"/>
    <w:rsid w:val="00BF7D80"/>
    <w:pPr>
      <w:tabs>
        <w:tab w:val="center" w:pos="4153"/>
        <w:tab w:val="right" w:pos="8306"/>
      </w:tabs>
    </w:pPr>
  </w:style>
  <w:style w:type="character" w:customStyle="1" w:styleId="FooterChar">
    <w:name w:val="Footer Char"/>
    <w:link w:val="Footer"/>
    <w:uiPriority w:val="99"/>
    <w:rsid w:val="00BF7D80"/>
    <w:rPr>
      <w:sz w:val="24"/>
      <w:szCs w:val="24"/>
      <w:lang w:eastAsia="ar-SA"/>
    </w:rPr>
  </w:style>
  <w:style w:type="character" w:styleId="CommentReference">
    <w:name w:val="annotation reference"/>
    <w:rsid w:val="00237EFC"/>
    <w:rPr>
      <w:sz w:val="16"/>
      <w:szCs w:val="16"/>
    </w:rPr>
  </w:style>
  <w:style w:type="paragraph" w:styleId="CommentText">
    <w:name w:val="annotation text"/>
    <w:basedOn w:val="Normal"/>
    <w:link w:val="CommentTextChar"/>
    <w:rsid w:val="00237EFC"/>
    <w:rPr>
      <w:sz w:val="20"/>
      <w:szCs w:val="20"/>
    </w:rPr>
  </w:style>
  <w:style w:type="character" w:customStyle="1" w:styleId="CommentTextChar">
    <w:name w:val="Comment Text Char"/>
    <w:link w:val="CommentText"/>
    <w:rsid w:val="00237EFC"/>
    <w:rPr>
      <w:lang w:val="en-US" w:eastAsia="ar-SA"/>
    </w:rPr>
  </w:style>
  <w:style w:type="paragraph" w:styleId="CommentSubject">
    <w:name w:val="annotation subject"/>
    <w:basedOn w:val="CommentText"/>
    <w:next w:val="CommentText"/>
    <w:link w:val="CommentSubjectChar"/>
    <w:rsid w:val="00237EFC"/>
    <w:rPr>
      <w:b/>
      <w:bCs/>
    </w:rPr>
  </w:style>
  <w:style w:type="character" w:customStyle="1" w:styleId="CommentSubjectChar">
    <w:name w:val="Comment Subject Char"/>
    <w:link w:val="CommentSubject"/>
    <w:rsid w:val="00237EFC"/>
    <w:rPr>
      <w:b/>
      <w:bCs/>
      <w:lang w:val="en-US" w:eastAsia="ar-SA"/>
    </w:rPr>
  </w:style>
  <w:style w:type="paragraph" w:styleId="Revision">
    <w:name w:val="Revision"/>
    <w:hidden/>
    <w:uiPriority w:val="99"/>
    <w:semiHidden/>
    <w:rsid w:val="00237EFC"/>
    <w:rPr>
      <w:sz w:val="24"/>
      <w:szCs w:val="24"/>
      <w:lang w:eastAsia="ar-SA"/>
    </w:rPr>
  </w:style>
  <w:style w:type="character" w:customStyle="1" w:styleId="Heading1Char">
    <w:name w:val="Heading 1 Char"/>
    <w:basedOn w:val="DefaultParagraphFont"/>
    <w:link w:val="Heading1"/>
    <w:rsid w:val="002E553F"/>
    <w:rPr>
      <w:rFonts w:ascii="Cambria" w:eastAsia="Times New Roman" w:hAnsi="Cambria" w:cs="Times New Roman"/>
      <w:b/>
      <w:bCs/>
      <w:kern w:val="32"/>
      <w:sz w:val="32"/>
      <w:szCs w:val="32"/>
      <w:lang w:eastAsia="ar-SA"/>
    </w:rPr>
  </w:style>
  <w:style w:type="character" w:customStyle="1" w:styleId="BodyTextIndent2Char">
    <w:name w:val="Body Text Indent 2 Char"/>
    <w:basedOn w:val="DefaultParagraphFont"/>
    <w:link w:val="BodyTextIndent2"/>
    <w:rsid w:val="00EA5B1B"/>
    <w:rPr>
      <w:sz w:val="24"/>
      <w:szCs w:val="24"/>
      <w:lang w:eastAsia="ar-SA"/>
    </w:rPr>
  </w:style>
  <w:style w:type="character" w:customStyle="1" w:styleId="alt-edited1">
    <w:name w:val="alt-edited1"/>
    <w:basedOn w:val="DefaultParagraphFont"/>
    <w:rsid w:val="00680F55"/>
    <w:rPr>
      <w:color w:val="4D90F0"/>
    </w:rPr>
  </w:style>
  <w:style w:type="paragraph" w:styleId="ListParagraph">
    <w:name w:val="List Paragraph"/>
    <w:basedOn w:val="Normal"/>
    <w:uiPriority w:val="34"/>
    <w:qFormat/>
    <w:rsid w:val="005A2DD6"/>
    <w:pPr>
      <w:ind w:left="720"/>
      <w:contextualSpacing/>
    </w:pPr>
  </w:style>
  <w:style w:type="paragraph" w:styleId="FootnoteText">
    <w:name w:val="footnote text"/>
    <w:basedOn w:val="Normal"/>
    <w:link w:val="FootnoteTextChar"/>
    <w:semiHidden/>
    <w:unhideWhenUsed/>
    <w:rsid w:val="00A436DF"/>
    <w:rPr>
      <w:sz w:val="20"/>
      <w:szCs w:val="20"/>
    </w:rPr>
  </w:style>
  <w:style w:type="character" w:customStyle="1" w:styleId="FootnoteTextChar">
    <w:name w:val="Footnote Text Char"/>
    <w:basedOn w:val="DefaultParagraphFont"/>
    <w:link w:val="FootnoteText"/>
    <w:semiHidden/>
    <w:rsid w:val="00A436DF"/>
    <w:rPr>
      <w:lang w:eastAsia="ar-SA"/>
    </w:rPr>
  </w:style>
  <w:style w:type="character" w:styleId="FootnoteReference">
    <w:name w:val="footnote reference"/>
    <w:basedOn w:val="DefaultParagraphFont"/>
    <w:semiHidden/>
    <w:unhideWhenUsed/>
    <w:rsid w:val="00A436DF"/>
    <w:rPr>
      <w:vertAlign w:val="superscript"/>
    </w:rPr>
  </w:style>
  <w:style w:type="character" w:customStyle="1" w:styleId="tlid-translation">
    <w:name w:val="tlid-translation"/>
    <w:basedOn w:val="DefaultParagraphFont"/>
    <w:rsid w:val="00AF00A0"/>
  </w:style>
  <w:style w:type="paragraph" w:styleId="EndnoteText">
    <w:name w:val="endnote text"/>
    <w:basedOn w:val="Normal"/>
    <w:link w:val="EndnoteTextChar"/>
    <w:semiHidden/>
    <w:unhideWhenUsed/>
    <w:rsid w:val="00EF5D2F"/>
    <w:rPr>
      <w:sz w:val="20"/>
      <w:szCs w:val="20"/>
    </w:rPr>
  </w:style>
  <w:style w:type="character" w:customStyle="1" w:styleId="EndnoteTextChar">
    <w:name w:val="Endnote Text Char"/>
    <w:basedOn w:val="DefaultParagraphFont"/>
    <w:link w:val="EndnoteText"/>
    <w:semiHidden/>
    <w:rsid w:val="00EF5D2F"/>
    <w:rPr>
      <w:lang w:eastAsia="ar-SA"/>
    </w:rPr>
  </w:style>
  <w:style w:type="character" w:styleId="EndnoteReference">
    <w:name w:val="endnote reference"/>
    <w:basedOn w:val="DefaultParagraphFont"/>
    <w:semiHidden/>
    <w:unhideWhenUsed/>
    <w:rsid w:val="00EF5D2F"/>
    <w:rPr>
      <w:vertAlign w:val="superscript"/>
    </w:rPr>
  </w:style>
  <w:style w:type="paragraph" w:styleId="BodyText">
    <w:name w:val="Body Text"/>
    <w:basedOn w:val="Normal"/>
    <w:link w:val="BodyTextChar"/>
    <w:unhideWhenUsed/>
    <w:rsid w:val="00443400"/>
    <w:pPr>
      <w:spacing w:after="120"/>
    </w:pPr>
  </w:style>
  <w:style w:type="character" w:customStyle="1" w:styleId="BodyTextChar">
    <w:name w:val="Body Text Char"/>
    <w:basedOn w:val="DefaultParagraphFont"/>
    <w:link w:val="BodyText"/>
    <w:rsid w:val="00443400"/>
    <w:rPr>
      <w:sz w:val="24"/>
      <w:szCs w:val="24"/>
      <w:lang w:eastAsia="ar-SA"/>
    </w:rPr>
  </w:style>
  <w:style w:type="character" w:customStyle="1" w:styleId="jlqj4b">
    <w:name w:val="jlqj4b"/>
    <w:basedOn w:val="DefaultParagraphFont"/>
    <w:rsid w:val="00D13B51"/>
  </w:style>
  <w:style w:type="character" w:customStyle="1" w:styleId="rynqvb">
    <w:name w:val="rynqvb"/>
    <w:basedOn w:val="DefaultParagraphFont"/>
    <w:rsid w:val="005D7771"/>
  </w:style>
  <w:style w:type="character" w:customStyle="1" w:styleId="hwtze">
    <w:name w:val="hwtze"/>
    <w:basedOn w:val="DefaultParagraphFont"/>
    <w:rsid w:val="00C97448"/>
  </w:style>
  <w:style w:type="character" w:customStyle="1" w:styleId="material-icons-extended">
    <w:name w:val="material-icons-extended"/>
    <w:basedOn w:val="DefaultParagraphFont"/>
    <w:rsid w:val="00C97448"/>
  </w:style>
  <w:style w:type="paragraph" w:styleId="HTMLPreformatted">
    <w:name w:val="HTML Preformatted"/>
    <w:basedOn w:val="Normal"/>
    <w:link w:val="HTMLPreformattedChar"/>
    <w:uiPriority w:val="99"/>
    <w:semiHidden/>
    <w:unhideWhenUsed/>
    <w:rsid w:val="00BD6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BD6515"/>
    <w:rPr>
      <w:rFonts w:ascii="Courier New" w:hAnsi="Courier New" w:cs="Courier New"/>
    </w:rPr>
  </w:style>
  <w:style w:type="character" w:customStyle="1" w:styleId="y2iqfc">
    <w:name w:val="y2iqfc"/>
    <w:basedOn w:val="DefaultParagraphFont"/>
    <w:rsid w:val="00BD6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6865">
      <w:bodyDiv w:val="1"/>
      <w:marLeft w:val="0"/>
      <w:marRight w:val="0"/>
      <w:marTop w:val="0"/>
      <w:marBottom w:val="0"/>
      <w:divBdr>
        <w:top w:val="none" w:sz="0" w:space="0" w:color="auto"/>
        <w:left w:val="none" w:sz="0" w:space="0" w:color="auto"/>
        <w:bottom w:val="none" w:sz="0" w:space="0" w:color="auto"/>
        <w:right w:val="none" w:sz="0" w:space="0" w:color="auto"/>
      </w:divBdr>
    </w:div>
    <w:div w:id="163934041">
      <w:bodyDiv w:val="1"/>
      <w:marLeft w:val="0"/>
      <w:marRight w:val="0"/>
      <w:marTop w:val="0"/>
      <w:marBottom w:val="0"/>
      <w:divBdr>
        <w:top w:val="none" w:sz="0" w:space="0" w:color="auto"/>
        <w:left w:val="none" w:sz="0" w:space="0" w:color="auto"/>
        <w:bottom w:val="none" w:sz="0" w:space="0" w:color="auto"/>
        <w:right w:val="none" w:sz="0" w:space="0" w:color="auto"/>
      </w:divBdr>
      <w:divsChild>
        <w:div w:id="1204100355">
          <w:marLeft w:val="0"/>
          <w:marRight w:val="0"/>
          <w:marTop w:val="0"/>
          <w:marBottom w:val="0"/>
          <w:divBdr>
            <w:top w:val="none" w:sz="0" w:space="0" w:color="auto"/>
            <w:left w:val="none" w:sz="0" w:space="0" w:color="auto"/>
            <w:bottom w:val="none" w:sz="0" w:space="0" w:color="auto"/>
            <w:right w:val="none" w:sz="0" w:space="0" w:color="auto"/>
          </w:divBdr>
          <w:divsChild>
            <w:div w:id="1003782075">
              <w:marLeft w:val="0"/>
              <w:marRight w:val="0"/>
              <w:marTop w:val="0"/>
              <w:marBottom w:val="0"/>
              <w:divBdr>
                <w:top w:val="none" w:sz="0" w:space="0" w:color="auto"/>
                <w:left w:val="none" w:sz="0" w:space="0" w:color="auto"/>
                <w:bottom w:val="none" w:sz="0" w:space="0" w:color="auto"/>
                <w:right w:val="none" w:sz="0" w:space="0" w:color="auto"/>
              </w:divBdr>
              <w:divsChild>
                <w:div w:id="1381171528">
                  <w:marLeft w:val="0"/>
                  <w:marRight w:val="0"/>
                  <w:marTop w:val="0"/>
                  <w:marBottom w:val="0"/>
                  <w:divBdr>
                    <w:top w:val="none" w:sz="0" w:space="0" w:color="auto"/>
                    <w:left w:val="none" w:sz="0" w:space="0" w:color="auto"/>
                    <w:bottom w:val="none" w:sz="0" w:space="0" w:color="auto"/>
                    <w:right w:val="none" w:sz="0" w:space="0" w:color="auto"/>
                  </w:divBdr>
                  <w:divsChild>
                    <w:div w:id="721636967">
                      <w:marLeft w:val="0"/>
                      <w:marRight w:val="0"/>
                      <w:marTop w:val="0"/>
                      <w:marBottom w:val="0"/>
                      <w:divBdr>
                        <w:top w:val="none" w:sz="0" w:space="0" w:color="auto"/>
                        <w:left w:val="none" w:sz="0" w:space="0" w:color="auto"/>
                        <w:bottom w:val="none" w:sz="0" w:space="0" w:color="auto"/>
                        <w:right w:val="none" w:sz="0" w:space="0" w:color="auto"/>
                      </w:divBdr>
                      <w:divsChild>
                        <w:div w:id="1104958030">
                          <w:marLeft w:val="0"/>
                          <w:marRight w:val="0"/>
                          <w:marTop w:val="0"/>
                          <w:marBottom w:val="0"/>
                          <w:divBdr>
                            <w:top w:val="none" w:sz="0" w:space="0" w:color="auto"/>
                            <w:left w:val="none" w:sz="0" w:space="0" w:color="auto"/>
                            <w:bottom w:val="none" w:sz="0" w:space="0" w:color="auto"/>
                            <w:right w:val="none" w:sz="0" w:space="0" w:color="auto"/>
                          </w:divBdr>
                          <w:divsChild>
                            <w:div w:id="1598977584">
                              <w:marLeft w:val="0"/>
                              <w:marRight w:val="0"/>
                              <w:marTop w:val="0"/>
                              <w:marBottom w:val="0"/>
                              <w:divBdr>
                                <w:top w:val="none" w:sz="0" w:space="0" w:color="auto"/>
                                <w:left w:val="none" w:sz="0" w:space="0" w:color="auto"/>
                                <w:bottom w:val="none" w:sz="0" w:space="0" w:color="auto"/>
                                <w:right w:val="none" w:sz="0" w:space="0" w:color="auto"/>
                              </w:divBdr>
                              <w:divsChild>
                                <w:div w:id="75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911275">
      <w:bodyDiv w:val="1"/>
      <w:marLeft w:val="0"/>
      <w:marRight w:val="0"/>
      <w:marTop w:val="0"/>
      <w:marBottom w:val="0"/>
      <w:divBdr>
        <w:top w:val="none" w:sz="0" w:space="0" w:color="auto"/>
        <w:left w:val="none" w:sz="0" w:space="0" w:color="auto"/>
        <w:bottom w:val="none" w:sz="0" w:space="0" w:color="auto"/>
        <w:right w:val="none" w:sz="0" w:space="0" w:color="auto"/>
      </w:divBdr>
      <w:divsChild>
        <w:div w:id="1789204619">
          <w:marLeft w:val="0"/>
          <w:marRight w:val="0"/>
          <w:marTop w:val="0"/>
          <w:marBottom w:val="0"/>
          <w:divBdr>
            <w:top w:val="none" w:sz="0" w:space="0" w:color="auto"/>
            <w:left w:val="none" w:sz="0" w:space="0" w:color="auto"/>
            <w:bottom w:val="none" w:sz="0" w:space="0" w:color="auto"/>
            <w:right w:val="none" w:sz="0" w:space="0" w:color="auto"/>
          </w:divBdr>
          <w:divsChild>
            <w:div w:id="965311846">
              <w:marLeft w:val="0"/>
              <w:marRight w:val="0"/>
              <w:marTop w:val="0"/>
              <w:marBottom w:val="0"/>
              <w:divBdr>
                <w:top w:val="none" w:sz="0" w:space="0" w:color="auto"/>
                <w:left w:val="none" w:sz="0" w:space="0" w:color="auto"/>
                <w:bottom w:val="none" w:sz="0" w:space="0" w:color="auto"/>
                <w:right w:val="none" w:sz="0" w:space="0" w:color="auto"/>
              </w:divBdr>
              <w:divsChild>
                <w:div w:id="829826636">
                  <w:marLeft w:val="0"/>
                  <w:marRight w:val="0"/>
                  <w:marTop w:val="0"/>
                  <w:marBottom w:val="0"/>
                  <w:divBdr>
                    <w:top w:val="none" w:sz="0" w:space="0" w:color="auto"/>
                    <w:left w:val="none" w:sz="0" w:space="0" w:color="auto"/>
                    <w:bottom w:val="none" w:sz="0" w:space="0" w:color="auto"/>
                    <w:right w:val="none" w:sz="0" w:space="0" w:color="auto"/>
                  </w:divBdr>
                  <w:divsChild>
                    <w:div w:id="464591555">
                      <w:marLeft w:val="0"/>
                      <w:marRight w:val="0"/>
                      <w:marTop w:val="0"/>
                      <w:marBottom w:val="0"/>
                      <w:divBdr>
                        <w:top w:val="none" w:sz="0" w:space="0" w:color="auto"/>
                        <w:left w:val="none" w:sz="0" w:space="0" w:color="auto"/>
                        <w:bottom w:val="none" w:sz="0" w:space="0" w:color="auto"/>
                        <w:right w:val="none" w:sz="0" w:space="0" w:color="auto"/>
                      </w:divBdr>
                      <w:divsChild>
                        <w:div w:id="677539455">
                          <w:marLeft w:val="0"/>
                          <w:marRight w:val="0"/>
                          <w:marTop w:val="0"/>
                          <w:marBottom w:val="0"/>
                          <w:divBdr>
                            <w:top w:val="none" w:sz="0" w:space="0" w:color="auto"/>
                            <w:left w:val="none" w:sz="0" w:space="0" w:color="auto"/>
                            <w:bottom w:val="none" w:sz="0" w:space="0" w:color="auto"/>
                            <w:right w:val="none" w:sz="0" w:space="0" w:color="auto"/>
                          </w:divBdr>
                          <w:divsChild>
                            <w:div w:id="1789620476">
                              <w:marLeft w:val="0"/>
                              <w:marRight w:val="0"/>
                              <w:marTop w:val="0"/>
                              <w:marBottom w:val="0"/>
                              <w:divBdr>
                                <w:top w:val="none" w:sz="0" w:space="0" w:color="auto"/>
                                <w:left w:val="none" w:sz="0" w:space="0" w:color="auto"/>
                                <w:bottom w:val="none" w:sz="0" w:space="0" w:color="auto"/>
                                <w:right w:val="none" w:sz="0" w:space="0" w:color="auto"/>
                              </w:divBdr>
                              <w:divsChild>
                                <w:div w:id="1312831728">
                                  <w:marLeft w:val="0"/>
                                  <w:marRight w:val="0"/>
                                  <w:marTop w:val="0"/>
                                  <w:marBottom w:val="0"/>
                                  <w:divBdr>
                                    <w:top w:val="single" w:sz="6" w:space="0" w:color="F5F5F5"/>
                                    <w:left w:val="single" w:sz="6" w:space="0" w:color="F5F5F5"/>
                                    <w:bottom w:val="single" w:sz="6" w:space="0" w:color="F5F5F5"/>
                                    <w:right w:val="single" w:sz="6" w:space="0" w:color="F5F5F5"/>
                                  </w:divBdr>
                                  <w:divsChild>
                                    <w:div w:id="649411183">
                                      <w:marLeft w:val="0"/>
                                      <w:marRight w:val="0"/>
                                      <w:marTop w:val="0"/>
                                      <w:marBottom w:val="0"/>
                                      <w:divBdr>
                                        <w:top w:val="none" w:sz="0" w:space="0" w:color="auto"/>
                                        <w:left w:val="none" w:sz="0" w:space="0" w:color="auto"/>
                                        <w:bottom w:val="none" w:sz="0" w:space="0" w:color="auto"/>
                                        <w:right w:val="none" w:sz="0" w:space="0" w:color="auto"/>
                                      </w:divBdr>
                                      <w:divsChild>
                                        <w:div w:id="7764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499616">
      <w:bodyDiv w:val="1"/>
      <w:marLeft w:val="0"/>
      <w:marRight w:val="0"/>
      <w:marTop w:val="0"/>
      <w:marBottom w:val="0"/>
      <w:divBdr>
        <w:top w:val="none" w:sz="0" w:space="0" w:color="auto"/>
        <w:left w:val="none" w:sz="0" w:space="0" w:color="auto"/>
        <w:bottom w:val="none" w:sz="0" w:space="0" w:color="auto"/>
        <w:right w:val="none" w:sz="0" w:space="0" w:color="auto"/>
      </w:divBdr>
    </w:div>
    <w:div w:id="615331894">
      <w:bodyDiv w:val="1"/>
      <w:marLeft w:val="0"/>
      <w:marRight w:val="0"/>
      <w:marTop w:val="0"/>
      <w:marBottom w:val="0"/>
      <w:divBdr>
        <w:top w:val="none" w:sz="0" w:space="0" w:color="auto"/>
        <w:left w:val="none" w:sz="0" w:space="0" w:color="auto"/>
        <w:bottom w:val="none" w:sz="0" w:space="0" w:color="auto"/>
        <w:right w:val="none" w:sz="0" w:space="0" w:color="auto"/>
      </w:divBdr>
    </w:div>
    <w:div w:id="649137918">
      <w:bodyDiv w:val="1"/>
      <w:marLeft w:val="0"/>
      <w:marRight w:val="0"/>
      <w:marTop w:val="0"/>
      <w:marBottom w:val="0"/>
      <w:divBdr>
        <w:top w:val="none" w:sz="0" w:space="0" w:color="auto"/>
        <w:left w:val="none" w:sz="0" w:space="0" w:color="auto"/>
        <w:bottom w:val="none" w:sz="0" w:space="0" w:color="auto"/>
        <w:right w:val="none" w:sz="0" w:space="0" w:color="auto"/>
      </w:divBdr>
    </w:div>
    <w:div w:id="951133526">
      <w:bodyDiv w:val="1"/>
      <w:marLeft w:val="0"/>
      <w:marRight w:val="0"/>
      <w:marTop w:val="0"/>
      <w:marBottom w:val="0"/>
      <w:divBdr>
        <w:top w:val="none" w:sz="0" w:space="0" w:color="auto"/>
        <w:left w:val="none" w:sz="0" w:space="0" w:color="auto"/>
        <w:bottom w:val="none" w:sz="0" w:space="0" w:color="auto"/>
        <w:right w:val="none" w:sz="0" w:space="0" w:color="auto"/>
      </w:divBdr>
      <w:divsChild>
        <w:div w:id="1945532386">
          <w:marLeft w:val="0"/>
          <w:marRight w:val="0"/>
          <w:marTop w:val="0"/>
          <w:marBottom w:val="0"/>
          <w:divBdr>
            <w:top w:val="none" w:sz="0" w:space="0" w:color="auto"/>
            <w:left w:val="none" w:sz="0" w:space="0" w:color="auto"/>
            <w:bottom w:val="none" w:sz="0" w:space="0" w:color="auto"/>
            <w:right w:val="none" w:sz="0" w:space="0" w:color="auto"/>
          </w:divBdr>
          <w:divsChild>
            <w:div w:id="656349856">
              <w:marLeft w:val="0"/>
              <w:marRight w:val="0"/>
              <w:marTop w:val="0"/>
              <w:marBottom w:val="0"/>
              <w:divBdr>
                <w:top w:val="none" w:sz="0" w:space="0" w:color="auto"/>
                <w:left w:val="none" w:sz="0" w:space="0" w:color="auto"/>
                <w:bottom w:val="none" w:sz="0" w:space="0" w:color="auto"/>
                <w:right w:val="none" w:sz="0" w:space="0" w:color="auto"/>
              </w:divBdr>
              <w:divsChild>
                <w:div w:id="1399281100">
                  <w:marLeft w:val="0"/>
                  <w:marRight w:val="0"/>
                  <w:marTop w:val="0"/>
                  <w:marBottom w:val="0"/>
                  <w:divBdr>
                    <w:top w:val="none" w:sz="0" w:space="0" w:color="auto"/>
                    <w:left w:val="none" w:sz="0" w:space="0" w:color="auto"/>
                    <w:bottom w:val="none" w:sz="0" w:space="0" w:color="auto"/>
                    <w:right w:val="none" w:sz="0" w:space="0" w:color="auto"/>
                  </w:divBdr>
                  <w:divsChild>
                    <w:div w:id="1344434072">
                      <w:marLeft w:val="0"/>
                      <w:marRight w:val="0"/>
                      <w:marTop w:val="0"/>
                      <w:marBottom w:val="0"/>
                      <w:divBdr>
                        <w:top w:val="none" w:sz="0" w:space="0" w:color="auto"/>
                        <w:left w:val="none" w:sz="0" w:space="0" w:color="auto"/>
                        <w:bottom w:val="none" w:sz="0" w:space="0" w:color="auto"/>
                        <w:right w:val="none" w:sz="0" w:space="0" w:color="auto"/>
                      </w:divBdr>
                      <w:divsChild>
                        <w:div w:id="550845693">
                          <w:marLeft w:val="0"/>
                          <w:marRight w:val="0"/>
                          <w:marTop w:val="0"/>
                          <w:marBottom w:val="0"/>
                          <w:divBdr>
                            <w:top w:val="none" w:sz="0" w:space="0" w:color="auto"/>
                            <w:left w:val="none" w:sz="0" w:space="0" w:color="auto"/>
                            <w:bottom w:val="none" w:sz="0" w:space="0" w:color="auto"/>
                            <w:right w:val="none" w:sz="0" w:space="0" w:color="auto"/>
                          </w:divBdr>
                          <w:divsChild>
                            <w:div w:id="1948003105">
                              <w:marLeft w:val="0"/>
                              <w:marRight w:val="0"/>
                              <w:marTop w:val="0"/>
                              <w:marBottom w:val="0"/>
                              <w:divBdr>
                                <w:top w:val="none" w:sz="0" w:space="0" w:color="auto"/>
                                <w:left w:val="none" w:sz="0" w:space="0" w:color="auto"/>
                                <w:bottom w:val="none" w:sz="0" w:space="0" w:color="auto"/>
                                <w:right w:val="none" w:sz="0" w:space="0" w:color="auto"/>
                              </w:divBdr>
                              <w:divsChild>
                                <w:div w:id="11273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23754">
      <w:bodyDiv w:val="1"/>
      <w:marLeft w:val="0"/>
      <w:marRight w:val="0"/>
      <w:marTop w:val="0"/>
      <w:marBottom w:val="0"/>
      <w:divBdr>
        <w:top w:val="none" w:sz="0" w:space="0" w:color="auto"/>
        <w:left w:val="none" w:sz="0" w:space="0" w:color="auto"/>
        <w:bottom w:val="none" w:sz="0" w:space="0" w:color="auto"/>
        <w:right w:val="none" w:sz="0" w:space="0" w:color="auto"/>
      </w:divBdr>
    </w:div>
    <w:div w:id="1011758407">
      <w:bodyDiv w:val="1"/>
      <w:marLeft w:val="0"/>
      <w:marRight w:val="0"/>
      <w:marTop w:val="0"/>
      <w:marBottom w:val="0"/>
      <w:divBdr>
        <w:top w:val="none" w:sz="0" w:space="0" w:color="auto"/>
        <w:left w:val="none" w:sz="0" w:space="0" w:color="auto"/>
        <w:bottom w:val="none" w:sz="0" w:space="0" w:color="auto"/>
        <w:right w:val="none" w:sz="0" w:space="0" w:color="auto"/>
      </w:divBdr>
      <w:divsChild>
        <w:div w:id="354574291">
          <w:marLeft w:val="0"/>
          <w:marRight w:val="0"/>
          <w:marTop w:val="0"/>
          <w:marBottom w:val="0"/>
          <w:divBdr>
            <w:top w:val="none" w:sz="0" w:space="0" w:color="auto"/>
            <w:left w:val="none" w:sz="0" w:space="0" w:color="auto"/>
            <w:bottom w:val="none" w:sz="0" w:space="0" w:color="auto"/>
            <w:right w:val="none" w:sz="0" w:space="0" w:color="auto"/>
          </w:divBdr>
          <w:divsChild>
            <w:div w:id="669529799">
              <w:marLeft w:val="0"/>
              <w:marRight w:val="0"/>
              <w:marTop w:val="0"/>
              <w:marBottom w:val="0"/>
              <w:divBdr>
                <w:top w:val="none" w:sz="0" w:space="0" w:color="auto"/>
                <w:left w:val="none" w:sz="0" w:space="0" w:color="auto"/>
                <w:bottom w:val="none" w:sz="0" w:space="0" w:color="auto"/>
                <w:right w:val="none" w:sz="0" w:space="0" w:color="auto"/>
              </w:divBdr>
              <w:divsChild>
                <w:div w:id="1178616677">
                  <w:marLeft w:val="0"/>
                  <w:marRight w:val="0"/>
                  <w:marTop w:val="0"/>
                  <w:marBottom w:val="0"/>
                  <w:divBdr>
                    <w:top w:val="none" w:sz="0" w:space="0" w:color="auto"/>
                    <w:left w:val="none" w:sz="0" w:space="0" w:color="auto"/>
                    <w:bottom w:val="none" w:sz="0" w:space="0" w:color="auto"/>
                    <w:right w:val="none" w:sz="0" w:space="0" w:color="auto"/>
                  </w:divBdr>
                  <w:divsChild>
                    <w:div w:id="983508399">
                      <w:marLeft w:val="0"/>
                      <w:marRight w:val="0"/>
                      <w:marTop w:val="0"/>
                      <w:marBottom w:val="0"/>
                      <w:divBdr>
                        <w:top w:val="none" w:sz="0" w:space="0" w:color="auto"/>
                        <w:left w:val="none" w:sz="0" w:space="0" w:color="auto"/>
                        <w:bottom w:val="none" w:sz="0" w:space="0" w:color="auto"/>
                        <w:right w:val="none" w:sz="0" w:space="0" w:color="auto"/>
                      </w:divBdr>
                      <w:divsChild>
                        <w:div w:id="1339500949">
                          <w:marLeft w:val="0"/>
                          <w:marRight w:val="0"/>
                          <w:marTop w:val="0"/>
                          <w:marBottom w:val="0"/>
                          <w:divBdr>
                            <w:top w:val="none" w:sz="0" w:space="0" w:color="auto"/>
                            <w:left w:val="none" w:sz="0" w:space="0" w:color="auto"/>
                            <w:bottom w:val="none" w:sz="0" w:space="0" w:color="auto"/>
                            <w:right w:val="none" w:sz="0" w:space="0" w:color="auto"/>
                          </w:divBdr>
                          <w:divsChild>
                            <w:div w:id="1593733578">
                              <w:marLeft w:val="0"/>
                              <w:marRight w:val="0"/>
                              <w:marTop w:val="0"/>
                              <w:marBottom w:val="0"/>
                              <w:divBdr>
                                <w:top w:val="none" w:sz="0" w:space="0" w:color="auto"/>
                                <w:left w:val="none" w:sz="0" w:space="0" w:color="auto"/>
                                <w:bottom w:val="none" w:sz="0" w:space="0" w:color="auto"/>
                                <w:right w:val="none" w:sz="0" w:space="0" w:color="auto"/>
                              </w:divBdr>
                            </w:div>
                            <w:div w:id="810946673">
                              <w:marLeft w:val="0"/>
                              <w:marRight w:val="0"/>
                              <w:marTop w:val="0"/>
                              <w:marBottom w:val="0"/>
                              <w:divBdr>
                                <w:top w:val="none" w:sz="0" w:space="0" w:color="auto"/>
                                <w:left w:val="none" w:sz="0" w:space="0" w:color="auto"/>
                                <w:bottom w:val="none" w:sz="0" w:space="0" w:color="auto"/>
                                <w:right w:val="none" w:sz="0" w:space="0" w:color="auto"/>
                              </w:divBdr>
                              <w:divsChild>
                                <w:div w:id="1225292950">
                                  <w:marLeft w:val="0"/>
                                  <w:marRight w:val="0"/>
                                  <w:marTop w:val="0"/>
                                  <w:marBottom w:val="0"/>
                                  <w:divBdr>
                                    <w:top w:val="none" w:sz="0" w:space="0" w:color="auto"/>
                                    <w:left w:val="none" w:sz="0" w:space="0" w:color="auto"/>
                                    <w:bottom w:val="none" w:sz="0" w:space="0" w:color="auto"/>
                                    <w:right w:val="none" w:sz="0" w:space="0" w:color="auto"/>
                                  </w:divBdr>
                                  <w:divsChild>
                                    <w:div w:id="395322095">
                                      <w:marLeft w:val="0"/>
                                      <w:marRight w:val="0"/>
                                      <w:marTop w:val="0"/>
                                      <w:marBottom w:val="0"/>
                                      <w:divBdr>
                                        <w:top w:val="none" w:sz="0" w:space="0" w:color="auto"/>
                                        <w:left w:val="none" w:sz="0" w:space="0" w:color="auto"/>
                                        <w:bottom w:val="none" w:sz="0" w:space="0" w:color="auto"/>
                                        <w:right w:val="none" w:sz="0" w:space="0" w:color="auto"/>
                                      </w:divBdr>
                                      <w:divsChild>
                                        <w:div w:id="20862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365100">
      <w:bodyDiv w:val="1"/>
      <w:marLeft w:val="0"/>
      <w:marRight w:val="0"/>
      <w:marTop w:val="0"/>
      <w:marBottom w:val="0"/>
      <w:divBdr>
        <w:top w:val="none" w:sz="0" w:space="0" w:color="auto"/>
        <w:left w:val="none" w:sz="0" w:space="0" w:color="auto"/>
        <w:bottom w:val="none" w:sz="0" w:space="0" w:color="auto"/>
        <w:right w:val="none" w:sz="0" w:space="0" w:color="auto"/>
      </w:divBdr>
      <w:divsChild>
        <w:div w:id="1433092670">
          <w:marLeft w:val="0"/>
          <w:marRight w:val="0"/>
          <w:marTop w:val="0"/>
          <w:marBottom w:val="0"/>
          <w:divBdr>
            <w:top w:val="none" w:sz="0" w:space="0" w:color="auto"/>
            <w:left w:val="none" w:sz="0" w:space="0" w:color="auto"/>
            <w:bottom w:val="none" w:sz="0" w:space="0" w:color="auto"/>
            <w:right w:val="none" w:sz="0" w:space="0" w:color="auto"/>
          </w:divBdr>
          <w:divsChild>
            <w:div w:id="1984506478">
              <w:marLeft w:val="0"/>
              <w:marRight w:val="0"/>
              <w:marTop w:val="0"/>
              <w:marBottom w:val="0"/>
              <w:divBdr>
                <w:top w:val="none" w:sz="0" w:space="0" w:color="auto"/>
                <w:left w:val="none" w:sz="0" w:space="0" w:color="auto"/>
                <w:bottom w:val="none" w:sz="0" w:space="0" w:color="auto"/>
                <w:right w:val="none" w:sz="0" w:space="0" w:color="auto"/>
              </w:divBdr>
              <w:divsChild>
                <w:div w:id="1181050446">
                  <w:marLeft w:val="0"/>
                  <w:marRight w:val="0"/>
                  <w:marTop w:val="0"/>
                  <w:marBottom w:val="0"/>
                  <w:divBdr>
                    <w:top w:val="none" w:sz="0" w:space="0" w:color="auto"/>
                    <w:left w:val="none" w:sz="0" w:space="0" w:color="auto"/>
                    <w:bottom w:val="none" w:sz="0" w:space="0" w:color="auto"/>
                    <w:right w:val="none" w:sz="0" w:space="0" w:color="auto"/>
                  </w:divBdr>
                  <w:divsChild>
                    <w:div w:id="604920663">
                      <w:marLeft w:val="0"/>
                      <w:marRight w:val="0"/>
                      <w:marTop w:val="0"/>
                      <w:marBottom w:val="0"/>
                      <w:divBdr>
                        <w:top w:val="none" w:sz="0" w:space="0" w:color="auto"/>
                        <w:left w:val="none" w:sz="0" w:space="0" w:color="auto"/>
                        <w:bottom w:val="none" w:sz="0" w:space="0" w:color="auto"/>
                        <w:right w:val="none" w:sz="0" w:space="0" w:color="auto"/>
                      </w:divBdr>
                      <w:divsChild>
                        <w:div w:id="97337980">
                          <w:marLeft w:val="0"/>
                          <w:marRight w:val="0"/>
                          <w:marTop w:val="0"/>
                          <w:marBottom w:val="0"/>
                          <w:divBdr>
                            <w:top w:val="none" w:sz="0" w:space="0" w:color="auto"/>
                            <w:left w:val="none" w:sz="0" w:space="0" w:color="auto"/>
                            <w:bottom w:val="none" w:sz="0" w:space="0" w:color="auto"/>
                            <w:right w:val="none" w:sz="0" w:space="0" w:color="auto"/>
                          </w:divBdr>
                          <w:divsChild>
                            <w:div w:id="1081952922">
                              <w:marLeft w:val="0"/>
                              <w:marRight w:val="0"/>
                              <w:marTop w:val="0"/>
                              <w:marBottom w:val="0"/>
                              <w:divBdr>
                                <w:top w:val="none" w:sz="0" w:space="0" w:color="auto"/>
                                <w:left w:val="none" w:sz="0" w:space="0" w:color="auto"/>
                                <w:bottom w:val="none" w:sz="0" w:space="0" w:color="auto"/>
                                <w:right w:val="none" w:sz="0" w:space="0" w:color="auto"/>
                              </w:divBdr>
                              <w:divsChild>
                                <w:div w:id="5599428">
                                  <w:marLeft w:val="0"/>
                                  <w:marRight w:val="0"/>
                                  <w:marTop w:val="0"/>
                                  <w:marBottom w:val="0"/>
                                  <w:divBdr>
                                    <w:top w:val="single" w:sz="6" w:space="0" w:color="F5F5F5"/>
                                    <w:left w:val="single" w:sz="6" w:space="0" w:color="F5F5F5"/>
                                    <w:bottom w:val="single" w:sz="6" w:space="0" w:color="F5F5F5"/>
                                    <w:right w:val="single" w:sz="6" w:space="0" w:color="F5F5F5"/>
                                  </w:divBdr>
                                  <w:divsChild>
                                    <w:div w:id="1624114099">
                                      <w:marLeft w:val="0"/>
                                      <w:marRight w:val="0"/>
                                      <w:marTop w:val="0"/>
                                      <w:marBottom w:val="0"/>
                                      <w:divBdr>
                                        <w:top w:val="none" w:sz="0" w:space="0" w:color="auto"/>
                                        <w:left w:val="none" w:sz="0" w:space="0" w:color="auto"/>
                                        <w:bottom w:val="none" w:sz="0" w:space="0" w:color="auto"/>
                                        <w:right w:val="none" w:sz="0" w:space="0" w:color="auto"/>
                                      </w:divBdr>
                                      <w:divsChild>
                                        <w:div w:id="17014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196299">
      <w:bodyDiv w:val="1"/>
      <w:marLeft w:val="0"/>
      <w:marRight w:val="0"/>
      <w:marTop w:val="0"/>
      <w:marBottom w:val="0"/>
      <w:divBdr>
        <w:top w:val="none" w:sz="0" w:space="0" w:color="auto"/>
        <w:left w:val="none" w:sz="0" w:space="0" w:color="auto"/>
        <w:bottom w:val="none" w:sz="0" w:space="0" w:color="auto"/>
        <w:right w:val="none" w:sz="0" w:space="0" w:color="auto"/>
      </w:divBdr>
      <w:divsChild>
        <w:div w:id="174420368">
          <w:marLeft w:val="0"/>
          <w:marRight w:val="0"/>
          <w:marTop w:val="0"/>
          <w:marBottom w:val="0"/>
          <w:divBdr>
            <w:top w:val="none" w:sz="0" w:space="0" w:color="auto"/>
            <w:left w:val="none" w:sz="0" w:space="0" w:color="auto"/>
            <w:bottom w:val="none" w:sz="0" w:space="0" w:color="auto"/>
            <w:right w:val="none" w:sz="0" w:space="0" w:color="auto"/>
          </w:divBdr>
          <w:divsChild>
            <w:div w:id="66348356">
              <w:marLeft w:val="0"/>
              <w:marRight w:val="0"/>
              <w:marTop w:val="0"/>
              <w:marBottom w:val="0"/>
              <w:divBdr>
                <w:top w:val="none" w:sz="0" w:space="0" w:color="auto"/>
                <w:left w:val="none" w:sz="0" w:space="0" w:color="auto"/>
                <w:bottom w:val="none" w:sz="0" w:space="0" w:color="auto"/>
                <w:right w:val="none" w:sz="0" w:space="0" w:color="auto"/>
              </w:divBdr>
              <w:divsChild>
                <w:div w:id="1476950101">
                  <w:marLeft w:val="0"/>
                  <w:marRight w:val="0"/>
                  <w:marTop w:val="0"/>
                  <w:marBottom w:val="0"/>
                  <w:divBdr>
                    <w:top w:val="none" w:sz="0" w:space="0" w:color="auto"/>
                    <w:left w:val="none" w:sz="0" w:space="0" w:color="auto"/>
                    <w:bottom w:val="none" w:sz="0" w:space="0" w:color="auto"/>
                    <w:right w:val="none" w:sz="0" w:space="0" w:color="auto"/>
                  </w:divBdr>
                  <w:divsChild>
                    <w:div w:id="1920555440">
                      <w:marLeft w:val="0"/>
                      <w:marRight w:val="0"/>
                      <w:marTop w:val="0"/>
                      <w:marBottom w:val="0"/>
                      <w:divBdr>
                        <w:top w:val="none" w:sz="0" w:space="0" w:color="auto"/>
                        <w:left w:val="none" w:sz="0" w:space="0" w:color="auto"/>
                        <w:bottom w:val="none" w:sz="0" w:space="0" w:color="auto"/>
                        <w:right w:val="none" w:sz="0" w:space="0" w:color="auto"/>
                      </w:divBdr>
                      <w:divsChild>
                        <w:div w:id="1998655128">
                          <w:marLeft w:val="0"/>
                          <w:marRight w:val="0"/>
                          <w:marTop w:val="0"/>
                          <w:marBottom w:val="0"/>
                          <w:divBdr>
                            <w:top w:val="none" w:sz="0" w:space="0" w:color="auto"/>
                            <w:left w:val="none" w:sz="0" w:space="0" w:color="auto"/>
                            <w:bottom w:val="none" w:sz="0" w:space="0" w:color="auto"/>
                            <w:right w:val="none" w:sz="0" w:space="0" w:color="auto"/>
                          </w:divBdr>
                          <w:divsChild>
                            <w:div w:id="717317667">
                              <w:marLeft w:val="0"/>
                              <w:marRight w:val="0"/>
                              <w:marTop w:val="0"/>
                              <w:marBottom w:val="0"/>
                              <w:divBdr>
                                <w:top w:val="none" w:sz="0" w:space="0" w:color="auto"/>
                                <w:left w:val="none" w:sz="0" w:space="0" w:color="auto"/>
                                <w:bottom w:val="none" w:sz="0" w:space="0" w:color="auto"/>
                                <w:right w:val="none" w:sz="0" w:space="0" w:color="auto"/>
                              </w:divBdr>
                              <w:divsChild>
                                <w:div w:id="2106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083716">
      <w:bodyDiv w:val="1"/>
      <w:marLeft w:val="0"/>
      <w:marRight w:val="0"/>
      <w:marTop w:val="0"/>
      <w:marBottom w:val="0"/>
      <w:divBdr>
        <w:top w:val="none" w:sz="0" w:space="0" w:color="auto"/>
        <w:left w:val="none" w:sz="0" w:space="0" w:color="auto"/>
        <w:bottom w:val="none" w:sz="0" w:space="0" w:color="auto"/>
        <w:right w:val="none" w:sz="0" w:space="0" w:color="auto"/>
      </w:divBdr>
      <w:divsChild>
        <w:div w:id="223373835">
          <w:marLeft w:val="0"/>
          <w:marRight w:val="0"/>
          <w:marTop w:val="0"/>
          <w:marBottom w:val="0"/>
          <w:divBdr>
            <w:top w:val="none" w:sz="0" w:space="0" w:color="auto"/>
            <w:left w:val="none" w:sz="0" w:space="0" w:color="auto"/>
            <w:bottom w:val="none" w:sz="0" w:space="0" w:color="auto"/>
            <w:right w:val="none" w:sz="0" w:space="0" w:color="auto"/>
          </w:divBdr>
          <w:divsChild>
            <w:div w:id="1382096471">
              <w:marLeft w:val="0"/>
              <w:marRight w:val="0"/>
              <w:marTop w:val="0"/>
              <w:marBottom w:val="0"/>
              <w:divBdr>
                <w:top w:val="none" w:sz="0" w:space="0" w:color="auto"/>
                <w:left w:val="none" w:sz="0" w:space="0" w:color="auto"/>
                <w:bottom w:val="none" w:sz="0" w:space="0" w:color="auto"/>
                <w:right w:val="none" w:sz="0" w:space="0" w:color="auto"/>
              </w:divBdr>
              <w:divsChild>
                <w:div w:id="1939170530">
                  <w:marLeft w:val="0"/>
                  <w:marRight w:val="0"/>
                  <w:marTop w:val="0"/>
                  <w:marBottom w:val="0"/>
                  <w:divBdr>
                    <w:top w:val="none" w:sz="0" w:space="0" w:color="auto"/>
                    <w:left w:val="none" w:sz="0" w:space="0" w:color="auto"/>
                    <w:bottom w:val="none" w:sz="0" w:space="0" w:color="auto"/>
                    <w:right w:val="none" w:sz="0" w:space="0" w:color="auto"/>
                  </w:divBdr>
                  <w:divsChild>
                    <w:div w:id="839849281">
                      <w:marLeft w:val="0"/>
                      <w:marRight w:val="0"/>
                      <w:marTop w:val="0"/>
                      <w:marBottom w:val="0"/>
                      <w:divBdr>
                        <w:top w:val="none" w:sz="0" w:space="0" w:color="auto"/>
                        <w:left w:val="none" w:sz="0" w:space="0" w:color="auto"/>
                        <w:bottom w:val="none" w:sz="0" w:space="0" w:color="auto"/>
                        <w:right w:val="none" w:sz="0" w:space="0" w:color="auto"/>
                      </w:divBdr>
                      <w:divsChild>
                        <w:div w:id="1282301873">
                          <w:marLeft w:val="0"/>
                          <w:marRight w:val="0"/>
                          <w:marTop w:val="0"/>
                          <w:marBottom w:val="0"/>
                          <w:divBdr>
                            <w:top w:val="none" w:sz="0" w:space="0" w:color="auto"/>
                            <w:left w:val="none" w:sz="0" w:space="0" w:color="auto"/>
                            <w:bottom w:val="none" w:sz="0" w:space="0" w:color="auto"/>
                            <w:right w:val="none" w:sz="0" w:space="0" w:color="auto"/>
                          </w:divBdr>
                          <w:divsChild>
                            <w:div w:id="1953321688">
                              <w:marLeft w:val="0"/>
                              <w:marRight w:val="0"/>
                              <w:marTop w:val="0"/>
                              <w:marBottom w:val="0"/>
                              <w:divBdr>
                                <w:top w:val="none" w:sz="0" w:space="0" w:color="auto"/>
                                <w:left w:val="none" w:sz="0" w:space="0" w:color="auto"/>
                                <w:bottom w:val="none" w:sz="0" w:space="0" w:color="auto"/>
                                <w:right w:val="none" w:sz="0" w:space="0" w:color="auto"/>
                              </w:divBdr>
                              <w:divsChild>
                                <w:div w:id="85735099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1926379027">
                                          <w:marLeft w:val="0"/>
                                          <w:marRight w:val="0"/>
                                          <w:marTop w:val="0"/>
                                          <w:marBottom w:val="413"/>
                                          <w:divBdr>
                                            <w:top w:val="none" w:sz="0" w:space="0" w:color="auto"/>
                                            <w:left w:val="none" w:sz="0" w:space="0" w:color="auto"/>
                                            <w:bottom w:val="none" w:sz="0" w:space="0" w:color="auto"/>
                                            <w:right w:val="none" w:sz="0" w:space="0" w:color="auto"/>
                                          </w:divBdr>
                                          <w:divsChild>
                                            <w:div w:id="14433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905007">
      <w:bodyDiv w:val="1"/>
      <w:marLeft w:val="0"/>
      <w:marRight w:val="0"/>
      <w:marTop w:val="0"/>
      <w:marBottom w:val="0"/>
      <w:divBdr>
        <w:top w:val="none" w:sz="0" w:space="0" w:color="auto"/>
        <w:left w:val="none" w:sz="0" w:space="0" w:color="auto"/>
        <w:bottom w:val="none" w:sz="0" w:space="0" w:color="auto"/>
        <w:right w:val="none" w:sz="0" w:space="0" w:color="auto"/>
      </w:divBdr>
    </w:div>
    <w:div w:id="1623267050">
      <w:bodyDiv w:val="1"/>
      <w:marLeft w:val="0"/>
      <w:marRight w:val="0"/>
      <w:marTop w:val="0"/>
      <w:marBottom w:val="0"/>
      <w:divBdr>
        <w:top w:val="none" w:sz="0" w:space="0" w:color="auto"/>
        <w:left w:val="none" w:sz="0" w:space="0" w:color="auto"/>
        <w:bottom w:val="none" w:sz="0" w:space="0" w:color="auto"/>
        <w:right w:val="none" w:sz="0" w:space="0" w:color="auto"/>
      </w:divBdr>
      <w:divsChild>
        <w:div w:id="1309941174">
          <w:marLeft w:val="0"/>
          <w:marRight w:val="0"/>
          <w:marTop w:val="0"/>
          <w:marBottom w:val="0"/>
          <w:divBdr>
            <w:top w:val="none" w:sz="0" w:space="0" w:color="auto"/>
            <w:left w:val="none" w:sz="0" w:space="0" w:color="auto"/>
            <w:bottom w:val="none" w:sz="0" w:space="0" w:color="auto"/>
            <w:right w:val="none" w:sz="0" w:space="0" w:color="auto"/>
          </w:divBdr>
          <w:divsChild>
            <w:div w:id="322389696">
              <w:marLeft w:val="0"/>
              <w:marRight w:val="0"/>
              <w:marTop w:val="0"/>
              <w:marBottom w:val="0"/>
              <w:divBdr>
                <w:top w:val="none" w:sz="0" w:space="0" w:color="auto"/>
                <w:left w:val="none" w:sz="0" w:space="0" w:color="auto"/>
                <w:bottom w:val="none" w:sz="0" w:space="0" w:color="auto"/>
                <w:right w:val="none" w:sz="0" w:space="0" w:color="auto"/>
              </w:divBdr>
              <w:divsChild>
                <w:div w:id="165051364">
                  <w:marLeft w:val="0"/>
                  <w:marRight w:val="0"/>
                  <w:marTop w:val="0"/>
                  <w:marBottom w:val="0"/>
                  <w:divBdr>
                    <w:top w:val="none" w:sz="0" w:space="0" w:color="auto"/>
                    <w:left w:val="none" w:sz="0" w:space="0" w:color="auto"/>
                    <w:bottom w:val="none" w:sz="0" w:space="0" w:color="auto"/>
                    <w:right w:val="none" w:sz="0" w:space="0" w:color="auto"/>
                  </w:divBdr>
                  <w:divsChild>
                    <w:div w:id="184560780">
                      <w:marLeft w:val="0"/>
                      <w:marRight w:val="0"/>
                      <w:marTop w:val="0"/>
                      <w:marBottom w:val="0"/>
                      <w:divBdr>
                        <w:top w:val="none" w:sz="0" w:space="0" w:color="auto"/>
                        <w:left w:val="none" w:sz="0" w:space="0" w:color="auto"/>
                        <w:bottom w:val="none" w:sz="0" w:space="0" w:color="auto"/>
                        <w:right w:val="none" w:sz="0" w:space="0" w:color="auto"/>
                      </w:divBdr>
                      <w:divsChild>
                        <w:div w:id="1776442611">
                          <w:marLeft w:val="0"/>
                          <w:marRight w:val="0"/>
                          <w:marTop w:val="0"/>
                          <w:marBottom w:val="0"/>
                          <w:divBdr>
                            <w:top w:val="none" w:sz="0" w:space="0" w:color="auto"/>
                            <w:left w:val="none" w:sz="0" w:space="0" w:color="auto"/>
                            <w:bottom w:val="none" w:sz="0" w:space="0" w:color="auto"/>
                            <w:right w:val="none" w:sz="0" w:space="0" w:color="auto"/>
                          </w:divBdr>
                          <w:divsChild>
                            <w:div w:id="1808350822">
                              <w:marLeft w:val="0"/>
                              <w:marRight w:val="0"/>
                              <w:marTop w:val="0"/>
                              <w:marBottom w:val="0"/>
                              <w:divBdr>
                                <w:top w:val="none" w:sz="0" w:space="0" w:color="auto"/>
                                <w:left w:val="none" w:sz="0" w:space="0" w:color="auto"/>
                                <w:bottom w:val="none" w:sz="0" w:space="0" w:color="auto"/>
                                <w:right w:val="none" w:sz="0" w:space="0" w:color="auto"/>
                              </w:divBdr>
                              <w:divsChild>
                                <w:div w:id="706492483">
                                  <w:marLeft w:val="0"/>
                                  <w:marRight w:val="0"/>
                                  <w:marTop w:val="0"/>
                                  <w:marBottom w:val="0"/>
                                  <w:divBdr>
                                    <w:top w:val="single" w:sz="6" w:space="0" w:color="F5F5F5"/>
                                    <w:left w:val="single" w:sz="6" w:space="0" w:color="F5F5F5"/>
                                    <w:bottom w:val="single" w:sz="6" w:space="0" w:color="F5F5F5"/>
                                    <w:right w:val="single" w:sz="6" w:space="0" w:color="F5F5F5"/>
                                  </w:divBdr>
                                  <w:divsChild>
                                    <w:div w:id="1953248264">
                                      <w:marLeft w:val="0"/>
                                      <w:marRight w:val="0"/>
                                      <w:marTop w:val="0"/>
                                      <w:marBottom w:val="0"/>
                                      <w:divBdr>
                                        <w:top w:val="none" w:sz="0" w:space="0" w:color="auto"/>
                                        <w:left w:val="none" w:sz="0" w:space="0" w:color="auto"/>
                                        <w:bottom w:val="none" w:sz="0" w:space="0" w:color="auto"/>
                                        <w:right w:val="none" w:sz="0" w:space="0" w:color="auto"/>
                                      </w:divBdr>
                                      <w:divsChild>
                                        <w:div w:id="16780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630906">
      <w:bodyDiv w:val="1"/>
      <w:marLeft w:val="0"/>
      <w:marRight w:val="0"/>
      <w:marTop w:val="0"/>
      <w:marBottom w:val="0"/>
      <w:divBdr>
        <w:top w:val="none" w:sz="0" w:space="0" w:color="auto"/>
        <w:left w:val="none" w:sz="0" w:space="0" w:color="auto"/>
        <w:bottom w:val="none" w:sz="0" w:space="0" w:color="auto"/>
        <w:right w:val="none" w:sz="0" w:space="0" w:color="auto"/>
      </w:divBdr>
      <w:divsChild>
        <w:div w:id="1738282278">
          <w:marLeft w:val="0"/>
          <w:marRight w:val="0"/>
          <w:marTop w:val="0"/>
          <w:marBottom w:val="0"/>
          <w:divBdr>
            <w:top w:val="none" w:sz="0" w:space="0" w:color="auto"/>
            <w:left w:val="none" w:sz="0" w:space="0" w:color="auto"/>
            <w:bottom w:val="none" w:sz="0" w:space="0" w:color="auto"/>
            <w:right w:val="none" w:sz="0" w:space="0" w:color="auto"/>
          </w:divBdr>
          <w:divsChild>
            <w:div w:id="1890796955">
              <w:marLeft w:val="0"/>
              <w:marRight w:val="0"/>
              <w:marTop w:val="0"/>
              <w:marBottom w:val="0"/>
              <w:divBdr>
                <w:top w:val="none" w:sz="0" w:space="0" w:color="auto"/>
                <w:left w:val="none" w:sz="0" w:space="0" w:color="auto"/>
                <w:bottom w:val="none" w:sz="0" w:space="0" w:color="auto"/>
                <w:right w:val="none" w:sz="0" w:space="0" w:color="auto"/>
              </w:divBdr>
              <w:divsChild>
                <w:div w:id="1420130275">
                  <w:marLeft w:val="0"/>
                  <w:marRight w:val="0"/>
                  <w:marTop w:val="0"/>
                  <w:marBottom w:val="0"/>
                  <w:divBdr>
                    <w:top w:val="none" w:sz="0" w:space="0" w:color="auto"/>
                    <w:left w:val="none" w:sz="0" w:space="0" w:color="auto"/>
                    <w:bottom w:val="none" w:sz="0" w:space="0" w:color="auto"/>
                    <w:right w:val="none" w:sz="0" w:space="0" w:color="auto"/>
                  </w:divBdr>
                  <w:divsChild>
                    <w:div w:id="509686803">
                      <w:marLeft w:val="0"/>
                      <w:marRight w:val="0"/>
                      <w:marTop w:val="0"/>
                      <w:marBottom w:val="0"/>
                      <w:divBdr>
                        <w:top w:val="none" w:sz="0" w:space="0" w:color="auto"/>
                        <w:left w:val="none" w:sz="0" w:space="0" w:color="auto"/>
                        <w:bottom w:val="none" w:sz="0" w:space="0" w:color="auto"/>
                        <w:right w:val="none" w:sz="0" w:space="0" w:color="auto"/>
                      </w:divBdr>
                      <w:divsChild>
                        <w:div w:id="31853756">
                          <w:marLeft w:val="0"/>
                          <w:marRight w:val="0"/>
                          <w:marTop w:val="0"/>
                          <w:marBottom w:val="0"/>
                          <w:divBdr>
                            <w:top w:val="none" w:sz="0" w:space="0" w:color="auto"/>
                            <w:left w:val="none" w:sz="0" w:space="0" w:color="auto"/>
                            <w:bottom w:val="none" w:sz="0" w:space="0" w:color="auto"/>
                            <w:right w:val="none" w:sz="0" w:space="0" w:color="auto"/>
                          </w:divBdr>
                          <w:divsChild>
                            <w:div w:id="1638101086">
                              <w:marLeft w:val="0"/>
                              <w:marRight w:val="0"/>
                              <w:marTop w:val="0"/>
                              <w:marBottom w:val="0"/>
                              <w:divBdr>
                                <w:top w:val="none" w:sz="0" w:space="0" w:color="auto"/>
                                <w:left w:val="none" w:sz="0" w:space="0" w:color="auto"/>
                                <w:bottom w:val="none" w:sz="0" w:space="0" w:color="auto"/>
                                <w:right w:val="none" w:sz="0" w:space="0" w:color="auto"/>
                              </w:divBdr>
                              <w:divsChild>
                                <w:div w:id="154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1555">
      <w:bodyDiv w:val="1"/>
      <w:marLeft w:val="0"/>
      <w:marRight w:val="0"/>
      <w:marTop w:val="0"/>
      <w:marBottom w:val="0"/>
      <w:divBdr>
        <w:top w:val="none" w:sz="0" w:space="0" w:color="auto"/>
        <w:left w:val="none" w:sz="0" w:space="0" w:color="auto"/>
        <w:bottom w:val="none" w:sz="0" w:space="0" w:color="auto"/>
        <w:right w:val="none" w:sz="0" w:space="0" w:color="auto"/>
      </w:divBdr>
      <w:divsChild>
        <w:div w:id="363674097">
          <w:marLeft w:val="0"/>
          <w:marRight w:val="0"/>
          <w:marTop w:val="0"/>
          <w:marBottom w:val="0"/>
          <w:divBdr>
            <w:top w:val="none" w:sz="0" w:space="0" w:color="auto"/>
            <w:left w:val="none" w:sz="0" w:space="0" w:color="auto"/>
            <w:bottom w:val="none" w:sz="0" w:space="0" w:color="auto"/>
            <w:right w:val="none" w:sz="0" w:space="0" w:color="auto"/>
          </w:divBdr>
          <w:divsChild>
            <w:div w:id="1128939635">
              <w:marLeft w:val="0"/>
              <w:marRight w:val="0"/>
              <w:marTop w:val="0"/>
              <w:marBottom w:val="0"/>
              <w:divBdr>
                <w:top w:val="none" w:sz="0" w:space="0" w:color="auto"/>
                <w:left w:val="none" w:sz="0" w:space="0" w:color="auto"/>
                <w:bottom w:val="none" w:sz="0" w:space="0" w:color="auto"/>
                <w:right w:val="none" w:sz="0" w:space="0" w:color="auto"/>
              </w:divBdr>
              <w:divsChild>
                <w:div w:id="763692174">
                  <w:marLeft w:val="0"/>
                  <w:marRight w:val="0"/>
                  <w:marTop w:val="0"/>
                  <w:marBottom w:val="0"/>
                  <w:divBdr>
                    <w:top w:val="none" w:sz="0" w:space="0" w:color="auto"/>
                    <w:left w:val="none" w:sz="0" w:space="0" w:color="auto"/>
                    <w:bottom w:val="none" w:sz="0" w:space="0" w:color="auto"/>
                    <w:right w:val="none" w:sz="0" w:space="0" w:color="auto"/>
                  </w:divBdr>
                  <w:divsChild>
                    <w:div w:id="1147822258">
                      <w:marLeft w:val="0"/>
                      <w:marRight w:val="0"/>
                      <w:marTop w:val="0"/>
                      <w:marBottom w:val="0"/>
                      <w:divBdr>
                        <w:top w:val="none" w:sz="0" w:space="0" w:color="auto"/>
                        <w:left w:val="none" w:sz="0" w:space="0" w:color="auto"/>
                        <w:bottom w:val="none" w:sz="0" w:space="0" w:color="auto"/>
                        <w:right w:val="none" w:sz="0" w:space="0" w:color="auto"/>
                      </w:divBdr>
                      <w:divsChild>
                        <w:div w:id="1032726739">
                          <w:marLeft w:val="0"/>
                          <w:marRight w:val="0"/>
                          <w:marTop w:val="0"/>
                          <w:marBottom w:val="0"/>
                          <w:divBdr>
                            <w:top w:val="none" w:sz="0" w:space="0" w:color="auto"/>
                            <w:left w:val="none" w:sz="0" w:space="0" w:color="auto"/>
                            <w:bottom w:val="none" w:sz="0" w:space="0" w:color="auto"/>
                            <w:right w:val="none" w:sz="0" w:space="0" w:color="auto"/>
                          </w:divBdr>
                          <w:divsChild>
                            <w:div w:id="261882745">
                              <w:marLeft w:val="0"/>
                              <w:marRight w:val="0"/>
                              <w:marTop w:val="0"/>
                              <w:marBottom w:val="0"/>
                              <w:divBdr>
                                <w:top w:val="none" w:sz="0" w:space="0" w:color="auto"/>
                                <w:left w:val="none" w:sz="0" w:space="0" w:color="auto"/>
                                <w:bottom w:val="none" w:sz="0" w:space="0" w:color="auto"/>
                                <w:right w:val="none" w:sz="0" w:space="0" w:color="auto"/>
                              </w:divBdr>
                              <w:divsChild>
                                <w:div w:id="1174148745">
                                  <w:marLeft w:val="0"/>
                                  <w:marRight w:val="0"/>
                                  <w:marTop w:val="0"/>
                                  <w:marBottom w:val="0"/>
                                  <w:divBdr>
                                    <w:top w:val="single" w:sz="6" w:space="0" w:color="F5F5F5"/>
                                    <w:left w:val="single" w:sz="6" w:space="0" w:color="F5F5F5"/>
                                    <w:bottom w:val="single" w:sz="6" w:space="0" w:color="F5F5F5"/>
                                    <w:right w:val="single" w:sz="6" w:space="0" w:color="F5F5F5"/>
                                  </w:divBdr>
                                  <w:divsChild>
                                    <w:div w:id="2005089626">
                                      <w:marLeft w:val="0"/>
                                      <w:marRight w:val="0"/>
                                      <w:marTop w:val="0"/>
                                      <w:marBottom w:val="0"/>
                                      <w:divBdr>
                                        <w:top w:val="none" w:sz="0" w:space="0" w:color="auto"/>
                                        <w:left w:val="none" w:sz="0" w:space="0" w:color="auto"/>
                                        <w:bottom w:val="none" w:sz="0" w:space="0" w:color="auto"/>
                                        <w:right w:val="none" w:sz="0" w:space="0" w:color="auto"/>
                                      </w:divBdr>
                                      <w:divsChild>
                                        <w:div w:id="492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108320">
      <w:bodyDiv w:val="1"/>
      <w:marLeft w:val="0"/>
      <w:marRight w:val="0"/>
      <w:marTop w:val="0"/>
      <w:marBottom w:val="0"/>
      <w:divBdr>
        <w:top w:val="none" w:sz="0" w:space="0" w:color="auto"/>
        <w:left w:val="none" w:sz="0" w:space="0" w:color="auto"/>
        <w:bottom w:val="none" w:sz="0" w:space="0" w:color="auto"/>
        <w:right w:val="none" w:sz="0" w:space="0" w:color="auto"/>
      </w:divBdr>
    </w:div>
    <w:div w:id="1722172749">
      <w:bodyDiv w:val="1"/>
      <w:marLeft w:val="0"/>
      <w:marRight w:val="0"/>
      <w:marTop w:val="0"/>
      <w:marBottom w:val="0"/>
      <w:divBdr>
        <w:top w:val="none" w:sz="0" w:space="0" w:color="auto"/>
        <w:left w:val="none" w:sz="0" w:space="0" w:color="auto"/>
        <w:bottom w:val="none" w:sz="0" w:space="0" w:color="auto"/>
        <w:right w:val="none" w:sz="0" w:space="0" w:color="auto"/>
      </w:divBdr>
      <w:divsChild>
        <w:div w:id="2024474233">
          <w:marLeft w:val="0"/>
          <w:marRight w:val="0"/>
          <w:marTop w:val="0"/>
          <w:marBottom w:val="0"/>
          <w:divBdr>
            <w:top w:val="none" w:sz="0" w:space="0" w:color="auto"/>
            <w:left w:val="none" w:sz="0" w:space="0" w:color="auto"/>
            <w:bottom w:val="none" w:sz="0" w:space="0" w:color="auto"/>
            <w:right w:val="none" w:sz="0" w:space="0" w:color="auto"/>
          </w:divBdr>
          <w:divsChild>
            <w:div w:id="14579610">
              <w:marLeft w:val="0"/>
              <w:marRight w:val="0"/>
              <w:marTop w:val="0"/>
              <w:marBottom w:val="0"/>
              <w:divBdr>
                <w:top w:val="none" w:sz="0" w:space="0" w:color="auto"/>
                <w:left w:val="none" w:sz="0" w:space="0" w:color="auto"/>
                <w:bottom w:val="none" w:sz="0" w:space="0" w:color="auto"/>
                <w:right w:val="none" w:sz="0" w:space="0" w:color="auto"/>
              </w:divBdr>
              <w:divsChild>
                <w:div w:id="1804303085">
                  <w:marLeft w:val="0"/>
                  <w:marRight w:val="0"/>
                  <w:marTop w:val="0"/>
                  <w:marBottom w:val="0"/>
                  <w:divBdr>
                    <w:top w:val="none" w:sz="0" w:space="0" w:color="auto"/>
                    <w:left w:val="none" w:sz="0" w:space="0" w:color="auto"/>
                    <w:bottom w:val="none" w:sz="0" w:space="0" w:color="auto"/>
                    <w:right w:val="none" w:sz="0" w:space="0" w:color="auto"/>
                  </w:divBdr>
                  <w:divsChild>
                    <w:div w:id="1691953708">
                      <w:marLeft w:val="0"/>
                      <w:marRight w:val="0"/>
                      <w:marTop w:val="0"/>
                      <w:marBottom w:val="0"/>
                      <w:divBdr>
                        <w:top w:val="none" w:sz="0" w:space="0" w:color="auto"/>
                        <w:left w:val="none" w:sz="0" w:space="0" w:color="auto"/>
                        <w:bottom w:val="none" w:sz="0" w:space="0" w:color="auto"/>
                        <w:right w:val="none" w:sz="0" w:space="0" w:color="auto"/>
                      </w:divBdr>
                      <w:divsChild>
                        <w:div w:id="1291088153">
                          <w:marLeft w:val="0"/>
                          <w:marRight w:val="0"/>
                          <w:marTop w:val="0"/>
                          <w:marBottom w:val="0"/>
                          <w:divBdr>
                            <w:top w:val="none" w:sz="0" w:space="0" w:color="auto"/>
                            <w:left w:val="none" w:sz="0" w:space="0" w:color="auto"/>
                            <w:bottom w:val="none" w:sz="0" w:space="0" w:color="auto"/>
                            <w:right w:val="none" w:sz="0" w:space="0" w:color="auto"/>
                          </w:divBdr>
                          <w:divsChild>
                            <w:div w:id="1448354780">
                              <w:marLeft w:val="0"/>
                              <w:marRight w:val="0"/>
                              <w:marTop w:val="0"/>
                              <w:marBottom w:val="0"/>
                              <w:divBdr>
                                <w:top w:val="none" w:sz="0" w:space="0" w:color="auto"/>
                                <w:left w:val="none" w:sz="0" w:space="0" w:color="auto"/>
                                <w:bottom w:val="none" w:sz="0" w:space="0" w:color="auto"/>
                                <w:right w:val="none" w:sz="0" w:space="0" w:color="auto"/>
                              </w:divBdr>
                              <w:divsChild>
                                <w:div w:id="1971351836">
                                  <w:marLeft w:val="0"/>
                                  <w:marRight w:val="0"/>
                                  <w:marTop w:val="0"/>
                                  <w:marBottom w:val="0"/>
                                  <w:divBdr>
                                    <w:top w:val="none" w:sz="0" w:space="0" w:color="auto"/>
                                    <w:left w:val="none" w:sz="0" w:space="0" w:color="auto"/>
                                    <w:bottom w:val="none" w:sz="0" w:space="0" w:color="auto"/>
                                    <w:right w:val="none" w:sz="0" w:space="0" w:color="auto"/>
                                  </w:divBdr>
                                  <w:divsChild>
                                    <w:div w:id="2085225785">
                                      <w:marLeft w:val="0"/>
                                      <w:marRight w:val="0"/>
                                      <w:marTop w:val="0"/>
                                      <w:marBottom w:val="0"/>
                                      <w:divBdr>
                                        <w:top w:val="none" w:sz="0" w:space="0" w:color="auto"/>
                                        <w:left w:val="none" w:sz="0" w:space="0" w:color="auto"/>
                                        <w:bottom w:val="none" w:sz="0" w:space="0" w:color="auto"/>
                                        <w:right w:val="none" w:sz="0" w:space="0" w:color="auto"/>
                                      </w:divBdr>
                                      <w:divsChild>
                                        <w:div w:id="468089477">
                                          <w:marLeft w:val="0"/>
                                          <w:marRight w:val="0"/>
                                          <w:marTop w:val="0"/>
                                          <w:marBottom w:val="413"/>
                                          <w:divBdr>
                                            <w:top w:val="none" w:sz="0" w:space="0" w:color="auto"/>
                                            <w:left w:val="none" w:sz="0" w:space="0" w:color="auto"/>
                                            <w:bottom w:val="none" w:sz="0" w:space="0" w:color="auto"/>
                                            <w:right w:val="none" w:sz="0" w:space="0" w:color="auto"/>
                                          </w:divBdr>
                                          <w:divsChild>
                                            <w:div w:id="18284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720496">
      <w:bodyDiv w:val="1"/>
      <w:marLeft w:val="0"/>
      <w:marRight w:val="0"/>
      <w:marTop w:val="0"/>
      <w:marBottom w:val="0"/>
      <w:divBdr>
        <w:top w:val="none" w:sz="0" w:space="0" w:color="auto"/>
        <w:left w:val="none" w:sz="0" w:space="0" w:color="auto"/>
        <w:bottom w:val="none" w:sz="0" w:space="0" w:color="auto"/>
        <w:right w:val="none" w:sz="0" w:space="0" w:color="auto"/>
      </w:divBdr>
    </w:div>
    <w:div w:id="1769613918">
      <w:bodyDiv w:val="1"/>
      <w:marLeft w:val="0"/>
      <w:marRight w:val="0"/>
      <w:marTop w:val="0"/>
      <w:marBottom w:val="0"/>
      <w:divBdr>
        <w:top w:val="none" w:sz="0" w:space="0" w:color="auto"/>
        <w:left w:val="none" w:sz="0" w:space="0" w:color="auto"/>
        <w:bottom w:val="none" w:sz="0" w:space="0" w:color="auto"/>
        <w:right w:val="none" w:sz="0" w:space="0" w:color="auto"/>
      </w:divBdr>
    </w:div>
    <w:div w:id="1789202226">
      <w:bodyDiv w:val="1"/>
      <w:marLeft w:val="0"/>
      <w:marRight w:val="0"/>
      <w:marTop w:val="0"/>
      <w:marBottom w:val="0"/>
      <w:divBdr>
        <w:top w:val="none" w:sz="0" w:space="0" w:color="auto"/>
        <w:left w:val="none" w:sz="0" w:space="0" w:color="auto"/>
        <w:bottom w:val="none" w:sz="0" w:space="0" w:color="auto"/>
        <w:right w:val="none" w:sz="0" w:space="0" w:color="auto"/>
      </w:divBdr>
      <w:divsChild>
        <w:div w:id="1082608298">
          <w:marLeft w:val="0"/>
          <w:marRight w:val="0"/>
          <w:marTop w:val="0"/>
          <w:marBottom w:val="0"/>
          <w:divBdr>
            <w:top w:val="none" w:sz="0" w:space="0" w:color="auto"/>
            <w:left w:val="none" w:sz="0" w:space="0" w:color="auto"/>
            <w:bottom w:val="none" w:sz="0" w:space="0" w:color="auto"/>
            <w:right w:val="none" w:sz="0" w:space="0" w:color="auto"/>
          </w:divBdr>
          <w:divsChild>
            <w:div w:id="81611116">
              <w:marLeft w:val="0"/>
              <w:marRight w:val="0"/>
              <w:marTop w:val="0"/>
              <w:marBottom w:val="0"/>
              <w:divBdr>
                <w:top w:val="none" w:sz="0" w:space="0" w:color="auto"/>
                <w:left w:val="none" w:sz="0" w:space="0" w:color="auto"/>
                <w:bottom w:val="none" w:sz="0" w:space="0" w:color="auto"/>
                <w:right w:val="none" w:sz="0" w:space="0" w:color="auto"/>
              </w:divBdr>
              <w:divsChild>
                <w:div w:id="1043558201">
                  <w:marLeft w:val="0"/>
                  <w:marRight w:val="0"/>
                  <w:marTop w:val="0"/>
                  <w:marBottom w:val="0"/>
                  <w:divBdr>
                    <w:top w:val="none" w:sz="0" w:space="0" w:color="auto"/>
                    <w:left w:val="none" w:sz="0" w:space="0" w:color="auto"/>
                    <w:bottom w:val="none" w:sz="0" w:space="0" w:color="auto"/>
                    <w:right w:val="none" w:sz="0" w:space="0" w:color="auto"/>
                  </w:divBdr>
                  <w:divsChild>
                    <w:div w:id="1179006174">
                      <w:marLeft w:val="0"/>
                      <w:marRight w:val="0"/>
                      <w:marTop w:val="0"/>
                      <w:marBottom w:val="0"/>
                      <w:divBdr>
                        <w:top w:val="none" w:sz="0" w:space="0" w:color="auto"/>
                        <w:left w:val="none" w:sz="0" w:space="0" w:color="auto"/>
                        <w:bottom w:val="none" w:sz="0" w:space="0" w:color="auto"/>
                        <w:right w:val="none" w:sz="0" w:space="0" w:color="auto"/>
                      </w:divBdr>
                      <w:divsChild>
                        <w:div w:id="1014956374">
                          <w:marLeft w:val="0"/>
                          <w:marRight w:val="0"/>
                          <w:marTop w:val="0"/>
                          <w:marBottom w:val="0"/>
                          <w:divBdr>
                            <w:top w:val="none" w:sz="0" w:space="0" w:color="auto"/>
                            <w:left w:val="none" w:sz="0" w:space="0" w:color="auto"/>
                            <w:bottom w:val="none" w:sz="0" w:space="0" w:color="auto"/>
                            <w:right w:val="none" w:sz="0" w:space="0" w:color="auto"/>
                          </w:divBdr>
                          <w:divsChild>
                            <w:div w:id="1776704990">
                              <w:marLeft w:val="0"/>
                              <w:marRight w:val="0"/>
                              <w:marTop w:val="0"/>
                              <w:marBottom w:val="0"/>
                              <w:divBdr>
                                <w:top w:val="none" w:sz="0" w:space="0" w:color="auto"/>
                                <w:left w:val="none" w:sz="0" w:space="0" w:color="auto"/>
                                <w:bottom w:val="none" w:sz="0" w:space="0" w:color="auto"/>
                                <w:right w:val="none" w:sz="0" w:space="0" w:color="auto"/>
                              </w:divBdr>
                              <w:divsChild>
                                <w:div w:id="229925848">
                                  <w:marLeft w:val="0"/>
                                  <w:marRight w:val="0"/>
                                  <w:marTop w:val="0"/>
                                  <w:marBottom w:val="0"/>
                                  <w:divBdr>
                                    <w:top w:val="none" w:sz="0" w:space="0" w:color="auto"/>
                                    <w:left w:val="none" w:sz="0" w:space="0" w:color="auto"/>
                                    <w:bottom w:val="none" w:sz="0" w:space="0" w:color="auto"/>
                                    <w:right w:val="none" w:sz="0" w:space="0" w:color="auto"/>
                                  </w:divBdr>
                                  <w:divsChild>
                                    <w:div w:id="1101529342">
                                      <w:marLeft w:val="0"/>
                                      <w:marRight w:val="0"/>
                                      <w:marTop w:val="0"/>
                                      <w:marBottom w:val="0"/>
                                      <w:divBdr>
                                        <w:top w:val="none" w:sz="0" w:space="0" w:color="auto"/>
                                        <w:left w:val="none" w:sz="0" w:space="0" w:color="auto"/>
                                        <w:bottom w:val="none" w:sz="0" w:space="0" w:color="auto"/>
                                        <w:right w:val="none" w:sz="0" w:space="0" w:color="auto"/>
                                      </w:divBdr>
                                      <w:divsChild>
                                        <w:div w:id="1465272357">
                                          <w:marLeft w:val="0"/>
                                          <w:marRight w:val="0"/>
                                          <w:marTop w:val="0"/>
                                          <w:marBottom w:val="413"/>
                                          <w:divBdr>
                                            <w:top w:val="none" w:sz="0" w:space="0" w:color="auto"/>
                                            <w:left w:val="none" w:sz="0" w:space="0" w:color="auto"/>
                                            <w:bottom w:val="none" w:sz="0" w:space="0" w:color="auto"/>
                                            <w:right w:val="none" w:sz="0" w:space="0" w:color="auto"/>
                                          </w:divBdr>
                                          <w:divsChild>
                                            <w:div w:id="15250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215038">
      <w:bodyDiv w:val="1"/>
      <w:marLeft w:val="0"/>
      <w:marRight w:val="0"/>
      <w:marTop w:val="0"/>
      <w:marBottom w:val="0"/>
      <w:divBdr>
        <w:top w:val="none" w:sz="0" w:space="0" w:color="auto"/>
        <w:left w:val="none" w:sz="0" w:space="0" w:color="auto"/>
        <w:bottom w:val="none" w:sz="0" w:space="0" w:color="auto"/>
        <w:right w:val="none" w:sz="0" w:space="0" w:color="auto"/>
      </w:divBdr>
    </w:div>
    <w:div w:id="1949195047">
      <w:bodyDiv w:val="1"/>
      <w:marLeft w:val="0"/>
      <w:marRight w:val="0"/>
      <w:marTop w:val="0"/>
      <w:marBottom w:val="0"/>
      <w:divBdr>
        <w:top w:val="none" w:sz="0" w:space="0" w:color="auto"/>
        <w:left w:val="none" w:sz="0" w:space="0" w:color="auto"/>
        <w:bottom w:val="none" w:sz="0" w:space="0" w:color="auto"/>
        <w:right w:val="none" w:sz="0" w:space="0" w:color="auto"/>
      </w:divBdr>
      <w:divsChild>
        <w:div w:id="1756703229">
          <w:marLeft w:val="0"/>
          <w:marRight w:val="0"/>
          <w:marTop w:val="0"/>
          <w:marBottom w:val="0"/>
          <w:divBdr>
            <w:top w:val="none" w:sz="0" w:space="0" w:color="auto"/>
            <w:left w:val="none" w:sz="0" w:space="0" w:color="auto"/>
            <w:bottom w:val="none" w:sz="0" w:space="0" w:color="auto"/>
            <w:right w:val="none" w:sz="0" w:space="0" w:color="auto"/>
          </w:divBdr>
          <w:divsChild>
            <w:div w:id="376318198">
              <w:marLeft w:val="0"/>
              <w:marRight w:val="0"/>
              <w:marTop w:val="0"/>
              <w:marBottom w:val="0"/>
              <w:divBdr>
                <w:top w:val="none" w:sz="0" w:space="0" w:color="auto"/>
                <w:left w:val="none" w:sz="0" w:space="0" w:color="auto"/>
                <w:bottom w:val="none" w:sz="0" w:space="0" w:color="auto"/>
                <w:right w:val="none" w:sz="0" w:space="0" w:color="auto"/>
              </w:divBdr>
              <w:divsChild>
                <w:div w:id="1968270374">
                  <w:marLeft w:val="0"/>
                  <w:marRight w:val="0"/>
                  <w:marTop w:val="0"/>
                  <w:marBottom w:val="0"/>
                  <w:divBdr>
                    <w:top w:val="none" w:sz="0" w:space="0" w:color="auto"/>
                    <w:left w:val="none" w:sz="0" w:space="0" w:color="auto"/>
                    <w:bottom w:val="none" w:sz="0" w:space="0" w:color="auto"/>
                    <w:right w:val="none" w:sz="0" w:space="0" w:color="auto"/>
                  </w:divBdr>
                  <w:divsChild>
                    <w:div w:id="1614703700">
                      <w:marLeft w:val="0"/>
                      <w:marRight w:val="0"/>
                      <w:marTop w:val="0"/>
                      <w:marBottom w:val="0"/>
                      <w:divBdr>
                        <w:top w:val="none" w:sz="0" w:space="0" w:color="auto"/>
                        <w:left w:val="none" w:sz="0" w:space="0" w:color="auto"/>
                        <w:bottom w:val="none" w:sz="0" w:space="0" w:color="auto"/>
                        <w:right w:val="none" w:sz="0" w:space="0" w:color="auto"/>
                      </w:divBdr>
                      <w:divsChild>
                        <w:div w:id="1381900666">
                          <w:marLeft w:val="0"/>
                          <w:marRight w:val="0"/>
                          <w:marTop w:val="0"/>
                          <w:marBottom w:val="0"/>
                          <w:divBdr>
                            <w:top w:val="none" w:sz="0" w:space="0" w:color="auto"/>
                            <w:left w:val="none" w:sz="0" w:space="0" w:color="auto"/>
                            <w:bottom w:val="none" w:sz="0" w:space="0" w:color="auto"/>
                            <w:right w:val="none" w:sz="0" w:space="0" w:color="auto"/>
                          </w:divBdr>
                          <w:divsChild>
                            <w:div w:id="1623851153">
                              <w:marLeft w:val="0"/>
                              <w:marRight w:val="0"/>
                              <w:marTop w:val="0"/>
                              <w:marBottom w:val="0"/>
                              <w:divBdr>
                                <w:top w:val="none" w:sz="0" w:space="0" w:color="auto"/>
                                <w:left w:val="none" w:sz="0" w:space="0" w:color="auto"/>
                                <w:bottom w:val="none" w:sz="0" w:space="0" w:color="auto"/>
                                <w:right w:val="none" w:sz="0" w:space="0" w:color="auto"/>
                              </w:divBdr>
                              <w:divsChild>
                                <w:div w:id="850411917">
                                  <w:marLeft w:val="0"/>
                                  <w:marRight w:val="0"/>
                                  <w:marTop w:val="0"/>
                                  <w:marBottom w:val="0"/>
                                  <w:divBdr>
                                    <w:top w:val="none" w:sz="0" w:space="0" w:color="auto"/>
                                    <w:left w:val="none" w:sz="0" w:space="0" w:color="auto"/>
                                    <w:bottom w:val="none" w:sz="0" w:space="0" w:color="auto"/>
                                    <w:right w:val="none" w:sz="0" w:space="0" w:color="auto"/>
                                  </w:divBdr>
                                  <w:divsChild>
                                    <w:div w:id="621037838">
                                      <w:marLeft w:val="0"/>
                                      <w:marRight w:val="0"/>
                                      <w:marTop w:val="0"/>
                                      <w:marBottom w:val="0"/>
                                      <w:divBdr>
                                        <w:top w:val="none" w:sz="0" w:space="0" w:color="auto"/>
                                        <w:left w:val="none" w:sz="0" w:space="0" w:color="auto"/>
                                        <w:bottom w:val="none" w:sz="0" w:space="0" w:color="auto"/>
                                        <w:right w:val="none" w:sz="0" w:space="0" w:color="auto"/>
                                      </w:divBdr>
                                      <w:divsChild>
                                        <w:div w:id="1892763477">
                                          <w:marLeft w:val="0"/>
                                          <w:marRight w:val="0"/>
                                          <w:marTop w:val="0"/>
                                          <w:marBottom w:val="495"/>
                                          <w:divBdr>
                                            <w:top w:val="none" w:sz="0" w:space="0" w:color="auto"/>
                                            <w:left w:val="none" w:sz="0" w:space="0" w:color="auto"/>
                                            <w:bottom w:val="none" w:sz="0" w:space="0" w:color="auto"/>
                                            <w:right w:val="none" w:sz="0" w:space="0" w:color="auto"/>
                                          </w:divBdr>
                                          <w:divsChild>
                                            <w:div w:id="8087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162510">
      <w:bodyDiv w:val="1"/>
      <w:marLeft w:val="0"/>
      <w:marRight w:val="0"/>
      <w:marTop w:val="0"/>
      <w:marBottom w:val="0"/>
      <w:divBdr>
        <w:top w:val="none" w:sz="0" w:space="0" w:color="auto"/>
        <w:left w:val="none" w:sz="0" w:space="0" w:color="auto"/>
        <w:bottom w:val="none" w:sz="0" w:space="0" w:color="auto"/>
        <w:right w:val="none" w:sz="0" w:space="0" w:color="auto"/>
      </w:divBdr>
      <w:divsChild>
        <w:div w:id="1410611654">
          <w:marLeft w:val="0"/>
          <w:marRight w:val="0"/>
          <w:marTop w:val="0"/>
          <w:marBottom w:val="0"/>
          <w:divBdr>
            <w:top w:val="none" w:sz="0" w:space="0" w:color="auto"/>
            <w:left w:val="none" w:sz="0" w:space="0" w:color="auto"/>
            <w:bottom w:val="none" w:sz="0" w:space="0" w:color="auto"/>
            <w:right w:val="none" w:sz="0" w:space="0" w:color="auto"/>
          </w:divBdr>
          <w:divsChild>
            <w:div w:id="1332176445">
              <w:marLeft w:val="0"/>
              <w:marRight w:val="0"/>
              <w:marTop w:val="0"/>
              <w:marBottom w:val="0"/>
              <w:divBdr>
                <w:top w:val="none" w:sz="0" w:space="0" w:color="auto"/>
                <w:left w:val="none" w:sz="0" w:space="0" w:color="auto"/>
                <w:bottom w:val="none" w:sz="0" w:space="0" w:color="auto"/>
                <w:right w:val="none" w:sz="0" w:space="0" w:color="auto"/>
              </w:divBdr>
              <w:divsChild>
                <w:div w:id="1065832469">
                  <w:marLeft w:val="0"/>
                  <w:marRight w:val="0"/>
                  <w:marTop w:val="0"/>
                  <w:marBottom w:val="0"/>
                  <w:divBdr>
                    <w:top w:val="none" w:sz="0" w:space="0" w:color="auto"/>
                    <w:left w:val="none" w:sz="0" w:space="0" w:color="auto"/>
                    <w:bottom w:val="none" w:sz="0" w:space="0" w:color="auto"/>
                    <w:right w:val="none" w:sz="0" w:space="0" w:color="auto"/>
                  </w:divBdr>
                  <w:divsChild>
                    <w:div w:id="2014065019">
                      <w:marLeft w:val="0"/>
                      <w:marRight w:val="0"/>
                      <w:marTop w:val="0"/>
                      <w:marBottom w:val="0"/>
                      <w:divBdr>
                        <w:top w:val="none" w:sz="0" w:space="0" w:color="auto"/>
                        <w:left w:val="none" w:sz="0" w:space="0" w:color="auto"/>
                        <w:bottom w:val="none" w:sz="0" w:space="0" w:color="auto"/>
                        <w:right w:val="none" w:sz="0" w:space="0" w:color="auto"/>
                      </w:divBdr>
                      <w:divsChild>
                        <w:div w:id="128594737">
                          <w:marLeft w:val="0"/>
                          <w:marRight w:val="0"/>
                          <w:marTop w:val="0"/>
                          <w:marBottom w:val="0"/>
                          <w:divBdr>
                            <w:top w:val="none" w:sz="0" w:space="0" w:color="auto"/>
                            <w:left w:val="none" w:sz="0" w:space="0" w:color="auto"/>
                            <w:bottom w:val="none" w:sz="0" w:space="0" w:color="auto"/>
                            <w:right w:val="none" w:sz="0" w:space="0" w:color="auto"/>
                          </w:divBdr>
                          <w:divsChild>
                            <w:div w:id="1067415354">
                              <w:marLeft w:val="0"/>
                              <w:marRight w:val="0"/>
                              <w:marTop w:val="0"/>
                              <w:marBottom w:val="0"/>
                              <w:divBdr>
                                <w:top w:val="none" w:sz="0" w:space="0" w:color="auto"/>
                                <w:left w:val="none" w:sz="0" w:space="0" w:color="auto"/>
                                <w:bottom w:val="none" w:sz="0" w:space="0" w:color="auto"/>
                                <w:right w:val="none" w:sz="0" w:space="0" w:color="auto"/>
                              </w:divBdr>
                              <w:divsChild>
                                <w:div w:id="1514567556">
                                  <w:marLeft w:val="0"/>
                                  <w:marRight w:val="0"/>
                                  <w:marTop w:val="0"/>
                                  <w:marBottom w:val="0"/>
                                  <w:divBdr>
                                    <w:top w:val="none" w:sz="0" w:space="0" w:color="auto"/>
                                    <w:left w:val="none" w:sz="0" w:space="0" w:color="auto"/>
                                    <w:bottom w:val="none" w:sz="0" w:space="0" w:color="auto"/>
                                    <w:right w:val="none" w:sz="0" w:space="0" w:color="auto"/>
                                  </w:divBdr>
                                  <w:divsChild>
                                    <w:div w:id="1583639141">
                                      <w:marLeft w:val="0"/>
                                      <w:marRight w:val="60"/>
                                      <w:marTop w:val="0"/>
                                      <w:marBottom w:val="0"/>
                                      <w:divBdr>
                                        <w:top w:val="none" w:sz="0" w:space="0" w:color="auto"/>
                                        <w:left w:val="none" w:sz="0" w:space="0" w:color="auto"/>
                                        <w:bottom w:val="none" w:sz="0" w:space="0" w:color="auto"/>
                                        <w:right w:val="none" w:sz="0" w:space="0" w:color="auto"/>
                                      </w:divBdr>
                                      <w:divsChild>
                                        <w:div w:id="1610552571">
                                          <w:marLeft w:val="0"/>
                                          <w:marRight w:val="0"/>
                                          <w:marTop w:val="0"/>
                                          <w:marBottom w:val="0"/>
                                          <w:divBdr>
                                            <w:top w:val="none" w:sz="0" w:space="0" w:color="auto"/>
                                            <w:left w:val="none" w:sz="0" w:space="0" w:color="auto"/>
                                            <w:bottom w:val="none" w:sz="0" w:space="0" w:color="auto"/>
                                            <w:right w:val="none" w:sz="0" w:space="0" w:color="auto"/>
                                          </w:divBdr>
                                          <w:divsChild>
                                            <w:div w:id="1404178849">
                                              <w:marLeft w:val="0"/>
                                              <w:marRight w:val="0"/>
                                              <w:marTop w:val="0"/>
                                              <w:marBottom w:val="120"/>
                                              <w:divBdr>
                                                <w:top w:val="single" w:sz="6" w:space="0" w:color="F5F5F5"/>
                                                <w:left w:val="single" w:sz="6" w:space="0" w:color="F5F5F5"/>
                                                <w:bottom w:val="single" w:sz="6" w:space="0" w:color="F5F5F5"/>
                                                <w:right w:val="single" w:sz="6" w:space="0" w:color="F5F5F5"/>
                                              </w:divBdr>
                                              <w:divsChild>
                                                <w:div w:id="1218590726">
                                                  <w:marLeft w:val="0"/>
                                                  <w:marRight w:val="0"/>
                                                  <w:marTop w:val="0"/>
                                                  <w:marBottom w:val="0"/>
                                                  <w:divBdr>
                                                    <w:top w:val="none" w:sz="0" w:space="0" w:color="auto"/>
                                                    <w:left w:val="none" w:sz="0" w:space="0" w:color="auto"/>
                                                    <w:bottom w:val="none" w:sz="0" w:space="0" w:color="auto"/>
                                                    <w:right w:val="none" w:sz="0" w:space="0" w:color="auto"/>
                                                  </w:divBdr>
                                                  <w:divsChild>
                                                    <w:div w:id="492264403">
                                                      <w:marLeft w:val="0"/>
                                                      <w:marRight w:val="0"/>
                                                      <w:marTop w:val="0"/>
                                                      <w:marBottom w:val="0"/>
                                                      <w:divBdr>
                                                        <w:top w:val="none" w:sz="0" w:space="0" w:color="auto"/>
                                                        <w:left w:val="none" w:sz="0" w:space="0" w:color="auto"/>
                                                        <w:bottom w:val="none" w:sz="0" w:space="0" w:color="auto"/>
                                                        <w:right w:val="none" w:sz="0" w:space="0" w:color="auto"/>
                                                      </w:divBdr>
                                                    </w:div>
                                                  </w:divsChild>
                                                </w:div>
                                                <w:div w:id="1473979599">
                                                  <w:marLeft w:val="0"/>
                                                  <w:marRight w:val="0"/>
                                                  <w:marTop w:val="0"/>
                                                  <w:marBottom w:val="0"/>
                                                  <w:divBdr>
                                                    <w:top w:val="none" w:sz="0" w:space="0" w:color="auto"/>
                                                    <w:left w:val="none" w:sz="0" w:space="0" w:color="auto"/>
                                                    <w:bottom w:val="none" w:sz="0" w:space="0" w:color="auto"/>
                                                    <w:right w:val="none" w:sz="0" w:space="0" w:color="auto"/>
                                                  </w:divBdr>
                                                  <w:divsChild>
                                                    <w:div w:id="3452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0565993">
      <w:bodyDiv w:val="1"/>
      <w:marLeft w:val="0"/>
      <w:marRight w:val="0"/>
      <w:marTop w:val="0"/>
      <w:marBottom w:val="0"/>
      <w:divBdr>
        <w:top w:val="none" w:sz="0" w:space="0" w:color="auto"/>
        <w:left w:val="none" w:sz="0" w:space="0" w:color="auto"/>
        <w:bottom w:val="none" w:sz="0" w:space="0" w:color="auto"/>
        <w:right w:val="none" w:sz="0" w:space="0" w:color="auto"/>
      </w:divBdr>
    </w:div>
    <w:div w:id="2103530049">
      <w:bodyDiv w:val="1"/>
      <w:marLeft w:val="0"/>
      <w:marRight w:val="0"/>
      <w:marTop w:val="0"/>
      <w:marBottom w:val="0"/>
      <w:divBdr>
        <w:top w:val="none" w:sz="0" w:space="0" w:color="auto"/>
        <w:left w:val="none" w:sz="0" w:space="0" w:color="auto"/>
        <w:bottom w:val="none" w:sz="0" w:space="0" w:color="auto"/>
        <w:right w:val="none" w:sz="0" w:space="0" w:color="auto"/>
      </w:divBdr>
      <w:divsChild>
        <w:div w:id="656148253">
          <w:marLeft w:val="0"/>
          <w:marRight w:val="0"/>
          <w:marTop w:val="0"/>
          <w:marBottom w:val="0"/>
          <w:divBdr>
            <w:top w:val="none" w:sz="0" w:space="0" w:color="auto"/>
            <w:left w:val="none" w:sz="0" w:space="0" w:color="auto"/>
            <w:bottom w:val="none" w:sz="0" w:space="0" w:color="auto"/>
            <w:right w:val="none" w:sz="0" w:space="0" w:color="auto"/>
          </w:divBdr>
          <w:divsChild>
            <w:div w:id="2108964939">
              <w:marLeft w:val="0"/>
              <w:marRight w:val="0"/>
              <w:marTop w:val="0"/>
              <w:marBottom w:val="0"/>
              <w:divBdr>
                <w:top w:val="none" w:sz="0" w:space="0" w:color="auto"/>
                <w:left w:val="none" w:sz="0" w:space="0" w:color="auto"/>
                <w:bottom w:val="none" w:sz="0" w:space="0" w:color="auto"/>
                <w:right w:val="none" w:sz="0" w:space="0" w:color="auto"/>
              </w:divBdr>
              <w:divsChild>
                <w:div w:id="650864377">
                  <w:marLeft w:val="0"/>
                  <w:marRight w:val="0"/>
                  <w:marTop w:val="0"/>
                  <w:marBottom w:val="0"/>
                  <w:divBdr>
                    <w:top w:val="none" w:sz="0" w:space="0" w:color="auto"/>
                    <w:left w:val="none" w:sz="0" w:space="0" w:color="auto"/>
                    <w:bottom w:val="none" w:sz="0" w:space="0" w:color="auto"/>
                    <w:right w:val="none" w:sz="0" w:space="0" w:color="auto"/>
                  </w:divBdr>
                  <w:divsChild>
                    <w:div w:id="631326923">
                      <w:marLeft w:val="0"/>
                      <w:marRight w:val="0"/>
                      <w:marTop w:val="0"/>
                      <w:marBottom w:val="0"/>
                      <w:divBdr>
                        <w:top w:val="none" w:sz="0" w:space="0" w:color="auto"/>
                        <w:left w:val="none" w:sz="0" w:space="0" w:color="auto"/>
                        <w:bottom w:val="none" w:sz="0" w:space="0" w:color="auto"/>
                        <w:right w:val="none" w:sz="0" w:space="0" w:color="auto"/>
                      </w:divBdr>
                      <w:divsChild>
                        <w:div w:id="1921400293">
                          <w:marLeft w:val="0"/>
                          <w:marRight w:val="0"/>
                          <w:marTop w:val="0"/>
                          <w:marBottom w:val="0"/>
                          <w:divBdr>
                            <w:top w:val="none" w:sz="0" w:space="0" w:color="auto"/>
                            <w:left w:val="none" w:sz="0" w:space="0" w:color="auto"/>
                            <w:bottom w:val="none" w:sz="0" w:space="0" w:color="auto"/>
                            <w:right w:val="none" w:sz="0" w:space="0" w:color="auto"/>
                          </w:divBdr>
                          <w:divsChild>
                            <w:div w:id="1932467398">
                              <w:marLeft w:val="0"/>
                              <w:marRight w:val="0"/>
                              <w:marTop w:val="0"/>
                              <w:marBottom w:val="0"/>
                              <w:divBdr>
                                <w:top w:val="none" w:sz="0" w:space="0" w:color="auto"/>
                                <w:left w:val="none" w:sz="0" w:space="0" w:color="auto"/>
                                <w:bottom w:val="none" w:sz="0" w:space="0" w:color="auto"/>
                                <w:right w:val="none" w:sz="0" w:space="0" w:color="auto"/>
                              </w:divBdr>
                              <w:divsChild>
                                <w:div w:id="1466772306">
                                  <w:marLeft w:val="0"/>
                                  <w:marRight w:val="0"/>
                                  <w:marTop w:val="0"/>
                                  <w:marBottom w:val="0"/>
                                  <w:divBdr>
                                    <w:top w:val="none" w:sz="0" w:space="0" w:color="auto"/>
                                    <w:left w:val="none" w:sz="0" w:space="0" w:color="auto"/>
                                    <w:bottom w:val="none" w:sz="0" w:space="0" w:color="auto"/>
                                    <w:right w:val="none" w:sz="0" w:space="0" w:color="auto"/>
                                  </w:divBdr>
                                  <w:divsChild>
                                    <w:div w:id="349335418">
                                      <w:marLeft w:val="0"/>
                                      <w:marRight w:val="0"/>
                                      <w:marTop w:val="0"/>
                                      <w:marBottom w:val="0"/>
                                      <w:divBdr>
                                        <w:top w:val="none" w:sz="0" w:space="0" w:color="auto"/>
                                        <w:left w:val="none" w:sz="0" w:space="0" w:color="auto"/>
                                        <w:bottom w:val="none" w:sz="0" w:space="0" w:color="auto"/>
                                        <w:right w:val="none" w:sz="0" w:space="0" w:color="auto"/>
                                      </w:divBdr>
                                      <w:divsChild>
                                        <w:div w:id="1078866644">
                                          <w:marLeft w:val="0"/>
                                          <w:marRight w:val="0"/>
                                          <w:marTop w:val="0"/>
                                          <w:marBottom w:val="413"/>
                                          <w:divBdr>
                                            <w:top w:val="none" w:sz="0" w:space="0" w:color="auto"/>
                                            <w:left w:val="none" w:sz="0" w:space="0" w:color="auto"/>
                                            <w:bottom w:val="none" w:sz="0" w:space="0" w:color="auto"/>
                                            <w:right w:val="none" w:sz="0" w:space="0" w:color="auto"/>
                                          </w:divBdr>
                                          <w:divsChild>
                                            <w:div w:id="13135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Simplified Arabic" pitchFamily="18" charset="-78"/>
                <a:cs typeface="Simplified Arabic" pitchFamily="18" charset="-78"/>
              </a:defRPr>
            </a:pPr>
            <a:r>
              <a:rPr lang="en-US"/>
              <a:t>Year</a:t>
            </a:r>
            <a:endParaRPr lang="ar-SA"/>
          </a:p>
        </c:rich>
      </c:tx>
      <c:layout>
        <c:manualLayout>
          <c:xMode val="edge"/>
          <c:yMode val="edge"/>
          <c:x val="0.46529388819314704"/>
          <c:y val="0.85942386298535112"/>
        </c:manualLayout>
      </c:layout>
      <c:overlay val="0"/>
    </c:title>
    <c:autoTitleDeleted val="0"/>
    <c:plotArea>
      <c:layout>
        <c:manualLayout>
          <c:layoutTarget val="inner"/>
          <c:xMode val="edge"/>
          <c:yMode val="edge"/>
          <c:x val="0.14116851956219387"/>
          <c:y val="5.6094042996770364E-2"/>
          <c:w val="0.85883139001355535"/>
          <c:h val="0.68936412968395899"/>
        </c:manualLayout>
      </c:layout>
      <c:barChart>
        <c:barDir val="col"/>
        <c:grouping val="clustered"/>
        <c:varyColors val="0"/>
        <c:ser>
          <c:idx val="0"/>
          <c:order val="0"/>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Sheet1!$A$1:$P$1</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Sheet1!$A$2:$P$2</c:f>
              <c:numCache>
                <c:formatCode>General</c:formatCode>
                <c:ptCount val="16"/>
                <c:pt idx="0">
                  <c:v>70</c:v>
                </c:pt>
                <c:pt idx="1">
                  <c:v>20</c:v>
                </c:pt>
                <c:pt idx="2">
                  <c:v>14</c:v>
                </c:pt>
                <c:pt idx="3">
                  <c:v>14</c:v>
                </c:pt>
                <c:pt idx="4">
                  <c:v>20</c:v>
                </c:pt>
                <c:pt idx="5">
                  <c:v>7</c:v>
                </c:pt>
                <c:pt idx="6">
                  <c:v>35</c:v>
                </c:pt>
                <c:pt idx="7">
                  <c:v>30</c:v>
                </c:pt>
                <c:pt idx="8">
                  <c:v>31</c:v>
                </c:pt>
                <c:pt idx="9">
                  <c:v>48</c:v>
                </c:pt>
                <c:pt idx="10">
                  <c:v>89</c:v>
                </c:pt>
                <c:pt idx="11">
                  <c:v>88</c:v>
                </c:pt>
                <c:pt idx="12">
                  <c:v>98</c:v>
                </c:pt>
                <c:pt idx="13">
                  <c:v>70</c:v>
                </c:pt>
                <c:pt idx="14">
                  <c:v>24</c:v>
                </c:pt>
                <c:pt idx="15">
                  <c:v>104</c:v>
                </c:pt>
              </c:numCache>
            </c:numRef>
          </c:val>
          <c:extLst>
            <c:ext xmlns:c16="http://schemas.microsoft.com/office/drawing/2014/chart" uri="{C3380CC4-5D6E-409C-BE32-E72D297353CC}">
              <c16:uniqueId val="{00000000-013B-4EED-94B6-C073E37FC31C}"/>
            </c:ext>
          </c:extLst>
        </c:ser>
        <c:dLbls>
          <c:showLegendKey val="0"/>
          <c:showVal val="0"/>
          <c:showCatName val="0"/>
          <c:showSerName val="0"/>
          <c:showPercent val="0"/>
          <c:showBubbleSize val="0"/>
        </c:dLbls>
        <c:gapWidth val="150"/>
        <c:axId val="204982912"/>
        <c:axId val="206242176"/>
      </c:barChart>
      <c:catAx>
        <c:axId val="204982912"/>
        <c:scaling>
          <c:orientation val="minMax"/>
        </c:scaling>
        <c:delete val="0"/>
        <c:axPos val="b"/>
        <c:numFmt formatCode="General" sourceLinked="0"/>
        <c:majorTickMark val="none"/>
        <c:minorTickMark val="none"/>
        <c:tickLblPos val="nextTo"/>
        <c:spPr>
          <a:ln w="3175">
            <a:solidFill>
              <a:srgbClr val="000000"/>
            </a:solidFill>
            <a:prstDash val="solid"/>
          </a:ln>
        </c:spPr>
        <c:txPr>
          <a:bodyPr rot="5400000" vert="horz" anchor="ctr" anchorCtr="0"/>
          <a:lstStyle/>
          <a:p>
            <a:pPr>
              <a:defRPr sz="800" b="0" i="0" u="none" strike="noStrike" baseline="0">
                <a:solidFill>
                  <a:srgbClr val="000000"/>
                </a:solidFill>
                <a:latin typeface="Arial"/>
                <a:ea typeface="Arial"/>
                <a:cs typeface="Arial"/>
              </a:defRPr>
            </a:pPr>
            <a:endParaRPr lang="en-US"/>
          </a:p>
        </c:txPr>
        <c:crossAx val="206242176"/>
        <c:crossesAt val="5"/>
        <c:auto val="1"/>
        <c:lblAlgn val="ctr"/>
        <c:lblOffset val="100"/>
        <c:tickLblSkip val="1"/>
        <c:tickMarkSkip val="1"/>
        <c:noMultiLvlLbl val="0"/>
      </c:catAx>
      <c:valAx>
        <c:axId val="206242176"/>
        <c:scaling>
          <c:orientation val="minMax"/>
        </c:scaling>
        <c:delete val="0"/>
        <c:axPos val="l"/>
        <c:title>
          <c:tx>
            <c:rich>
              <a:bodyPr/>
              <a:lstStyle/>
              <a:p>
                <a:pPr>
                  <a:defRPr sz="900"/>
                </a:pPr>
                <a:r>
                  <a:rPr lang="en-US" sz="900">
                    <a:latin typeface="Simplified Arabic" pitchFamily="18" charset="-78"/>
                    <a:cs typeface="Simplified Arabic" pitchFamily="18" charset="-78"/>
                  </a:rPr>
                  <a:t>Demolition Operations</a:t>
                </a:r>
              </a:p>
            </c:rich>
          </c:tx>
          <c:layout>
            <c:manualLayout>
              <c:xMode val="edge"/>
              <c:yMode val="edge"/>
              <c:x val="1.0971355624541281E-3"/>
              <c:y val="0.16831648409632985"/>
            </c:manualLayout>
          </c:layout>
          <c:overlay val="0"/>
        </c:title>
        <c:numFmt formatCode="#,##0" sourceLinked="0"/>
        <c:majorTickMark val="none"/>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04982912"/>
        <c:crosses val="autoZero"/>
        <c:crossBetween val="between"/>
      </c:valAx>
      <c:spPr>
        <a:noFill/>
        <a:ln w="25400">
          <a:noFill/>
        </a:ln>
      </c:spPr>
    </c:plotArea>
    <c:plotVisOnly val="1"/>
    <c:dispBlanksAs val="gap"/>
    <c:showDLblsOverMax val="0"/>
  </c:chart>
  <c:spPr>
    <a:noFill/>
  </c:spPr>
  <c:txPr>
    <a:bodyPr/>
    <a:lstStyle/>
    <a:p>
      <a:pPr>
        <a:defRPr sz="45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02060-15E3-47C0-B4B5-69CA37EF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confiscation of land is the reason for the Land Day</vt:lpstr>
    </vt:vector>
  </TitlesOfParts>
  <Company>Hewlett-Packard Company</Company>
  <LinksUpToDate>false</LinksUpToDate>
  <CharactersWithSpaces>6417</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confiscation of land is the reason for the Land Day</dc:title>
  <dc:creator>arabi</dc:creator>
  <cp:lastModifiedBy>LOAY SHEHADEH</cp:lastModifiedBy>
  <cp:revision>7</cp:revision>
  <cp:lastPrinted>2026-03-29T10:40:00Z</cp:lastPrinted>
  <dcterms:created xsi:type="dcterms:W3CDTF">2026-03-29T10:48:00Z</dcterms:created>
  <dcterms:modified xsi:type="dcterms:W3CDTF">2026-03-29T12:09:00Z</dcterms:modified>
</cp:coreProperties>
</file>