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870F5" w14:textId="77777777" w:rsidR="005E6CAC" w:rsidRDefault="005E6CAC" w:rsidP="005E6CAC">
      <w:pPr>
        <w:shd w:val="clear" w:color="auto" w:fill="FFFFFF"/>
        <w:bidi w:val="0"/>
        <w:spacing w:before="100" w:beforeAutospacing="1" w:after="100" w:afterAutospacing="1"/>
        <w:jc w:val="both"/>
        <w:rPr>
          <w:rFonts w:ascii="Arial" w:hAnsi="Arial" w:cs="Arial"/>
          <w:b/>
          <w:bCs/>
          <w:color w:val="000000"/>
          <w:sz w:val="32"/>
          <w:szCs w:val="32"/>
          <w:rtl/>
          <w:lang w:eastAsia="en-US"/>
        </w:rPr>
      </w:pPr>
    </w:p>
    <w:p w14:paraId="51A23DFF" w14:textId="465D4B24" w:rsidR="005E6CAC" w:rsidRDefault="005E6CAC" w:rsidP="005E6CAC">
      <w:pPr>
        <w:shd w:val="clear" w:color="auto" w:fill="FFFFFF"/>
        <w:bidi w:val="0"/>
        <w:spacing w:before="100" w:beforeAutospacing="1" w:after="100" w:afterAutospacing="1"/>
        <w:jc w:val="both"/>
        <w:rPr>
          <w:rFonts w:ascii="Arial" w:hAnsi="Arial" w:cs="Arial"/>
          <w:b/>
          <w:bCs/>
          <w:color w:val="000000"/>
          <w:sz w:val="32"/>
          <w:szCs w:val="32"/>
          <w:rtl/>
          <w:lang w:eastAsia="en-US"/>
        </w:rPr>
      </w:pPr>
      <w:r w:rsidRPr="005E6CAC">
        <w:rPr>
          <w:rFonts w:ascii="Arial" w:hAnsi="Arial" w:cs="Arial"/>
          <w:b/>
          <w:bCs/>
          <w:color w:val="000000"/>
          <w:sz w:val="32"/>
          <w:szCs w:val="32"/>
          <w:lang w:eastAsia="en-US"/>
        </w:rPr>
        <w:t xml:space="preserve">Dr. Ola </w:t>
      </w:r>
      <w:proofErr w:type="spellStart"/>
      <w:proofErr w:type="gramStart"/>
      <w:r w:rsidRPr="005E6CAC">
        <w:rPr>
          <w:rFonts w:ascii="Arial" w:hAnsi="Arial" w:cs="Arial"/>
          <w:b/>
          <w:bCs/>
          <w:color w:val="000000"/>
          <w:sz w:val="32"/>
          <w:szCs w:val="32"/>
          <w:lang w:eastAsia="en-US"/>
        </w:rPr>
        <w:t>Awad</w:t>
      </w:r>
      <w:proofErr w:type="spellEnd"/>
      <w:r w:rsidRPr="005E6CAC">
        <w:rPr>
          <w:rFonts w:ascii="Arial" w:hAnsi="Arial" w:cs="Arial"/>
          <w:b/>
          <w:bCs/>
          <w:color w:val="000000"/>
          <w:sz w:val="32"/>
          <w:szCs w:val="32"/>
          <w:lang w:eastAsia="en-US"/>
        </w:rPr>
        <w:t>,</w:t>
      </w:r>
      <w:proofErr w:type="gramEnd"/>
      <w:r w:rsidRPr="005E6CAC">
        <w:rPr>
          <w:rFonts w:ascii="Arial" w:hAnsi="Arial" w:cs="Arial"/>
          <w:b/>
          <w:bCs/>
          <w:color w:val="000000"/>
          <w:sz w:val="32"/>
          <w:szCs w:val="32"/>
          <w:lang w:eastAsia="en-US"/>
        </w:rPr>
        <w:t xml:space="preserve"> reviews the conditions of the Palestinian people via statistical figures and findings, on the </w:t>
      </w:r>
      <w:r w:rsidRPr="005E6CAC">
        <w:rPr>
          <w:rFonts w:ascii="Arial" w:hAnsi="Arial" w:cs="Arial" w:hint="cs"/>
          <w:b/>
          <w:bCs/>
          <w:color w:val="000000"/>
          <w:sz w:val="32"/>
          <w:szCs w:val="32"/>
          <w:rtl/>
          <w:lang w:eastAsia="en-US"/>
        </w:rPr>
        <w:t>7</w:t>
      </w:r>
      <w:r w:rsidRPr="005E6CAC">
        <w:rPr>
          <w:rFonts w:ascii="Arial" w:hAnsi="Arial" w:cs="Arial"/>
          <w:b/>
          <w:bCs/>
          <w:color w:val="000000"/>
          <w:sz w:val="32"/>
          <w:szCs w:val="32"/>
          <w:lang w:eastAsia="en-US"/>
        </w:rPr>
        <w:t>7</w:t>
      </w:r>
      <w:r w:rsidRPr="005E6CAC">
        <w:rPr>
          <w:rFonts w:ascii="Arial" w:hAnsi="Arial" w:cs="Arial"/>
          <w:b/>
          <w:bCs/>
          <w:color w:val="000000"/>
          <w:sz w:val="32"/>
          <w:szCs w:val="32"/>
          <w:vertAlign w:val="superscript"/>
          <w:lang w:eastAsia="en-US"/>
        </w:rPr>
        <w:t>th</w:t>
      </w:r>
      <w:r w:rsidRPr="005E6CAC">
        <w:rPr>
          <w:rFonts w:ascii="Arial" w:hAnsi="Arial" w:cs="Arial"/>
          <w:b/>
          <w:bCs/>
          <w:color w:val="000000"/>
          <w:sz w:val="32"/>
          <w:szCs w:val="32"/>
          <w:lang w:eastAsia="en-US"/>
        </w:rPr>
        <w:t> Annual Commemoration of the Palestinian Nakba.</w:t>
      </w:r>
    </w:p>
    <w:p w14:paraId="0FC6663F" w14:textId="77777777" w:rsidR="005E6CAC" w:rsidRPr="005E6CAC" w:rsidRDefault="005E6CAC" w:rsidP="005E6CAC">
      <w:pPr>
        <w:shd w:val="clear" w:color="auto" w:fill="FFFFFF"/>
        <w:bidi w:val="0"/>
        <w:spacing w:before="100" w:beforeAutospacing="1" w:after="100" w:afterAutospacing="1"/>
        <w:jc w:val="both"/>
        <w:rPr>
          <w:rFonts w:ascii="Arial" w:hAnsi="Arial" w:cs="Arial"/>
          <w:color w:val="2D2D2D"/>
          <w:sz w:val="32"/>
          <w:szCs w:val="32"/>
          <w:lang w:eastAsia="en-US"/>
        </w:rPr>
      </w:pPr>
    </w:p>
    <w:p w14:paraId="58313FD8" w14:textId="57AE0E90" w:rsidR="005E6CAC" w:rsidRPr="005E6CAC" w:rsidRDefault="005E6CAC" w:rsidP="005E6CAC">
      <w:pPr>
        <w:shd w:val="clear" w:color="auto" w:fill="FFFFFF"/>
        <w:bidi w:val="0"/>
        <w:spacing w:before="100" w:beforeAutospacing="1" w:after="100" w:afterAutospacing="1"/>
        <w:jc w:val="both"/>
        <w:rPr>
          <w:rFonts w:ascii="Arial" w:hAnsi="Arial" w:cs="Arial"/>
          <w:color w:val="2D2D2D"/>
          <w:sz w:val="28"/>
          <w:szCs w:val="28"/>
          <w:lang w:eastAsia="en-US"/>
        </w:rPr>
      </w:pPr>
      <w:r w:rsidRPr="005E6CAC">
        <w:rPr>
          <w:rFonts w:ascii="Arial" w:hAnsi="Arial" w:cs="Arial"/>
          <w:b/>
          <w:bCs/>
          <w:color w:val="000000"/>
          <w:sz w:val="28"/>
          <w:szCs w:val="28"/>
          <w:lang w:eastAsia="en-US"/>
        </w:rPr>
        <w:t xml:space="preserve">H.E. Dr. Ola </w:t>
      </w:r>
      <w:proofErr w:type="spellStart"/>
      <w:r w:rsidRPr="005E6CAC">
        <w:rPr>
          <w:rFonts w:ascii="Arial" w:hAnsi="Arial" w:cs="Arial"/>
          <w:b/>
          <w:bCs/>
          <w:color w:val="000000"/>
          <w:sz w:val="28"/>
          <w:szCs w:val="28"/>
          <w:lang w:eastAsia="en-US"/>
        </w:rPr>
        <w:t>Awad</w:t>
      </w:r>
      <w:proofErr w:type="spellEnd"/>
      <w:r w:rsidRPr="005E6CAC">
        <w:rPr>
          <w:rFonts w:ascii="Arial" w:hAnsi="Arial" w:cs="Arial"/>
          <w:b/>
          <w:bCs/>
          <w:color w:val="000000"/>
          <w:sz w:val="28"/>
          <w:szCs w:val="28"/>
          <w:lang w:eastAsia="en-US"/>
        </w:rPr>
        <w:t>, President of the Palestinian Central Bureau of Statistics (PCBS), via figures, historical and current data, reviewed the geographical,</w:t>
      </w:r>
      <w:r w:rsidRPr="005E6CAC">
        <w:rPr>
          <w:rFonts w:ascii="Arial" w:hAnsi="Arial" w:cs="Arial" w:hint="cs"/>
          <w:b/>
          <w:bCs/>
          <w:color w:val="000000"/>
          <w:sz w:val="28"/>
          <w:szCs w:val="28"/>
          <w:rtl/>
          <w:lang w:eastAsia="en-US"/>
        </w:rPr>
        <w:t xml:space="preserve">   </w:t>
      </w:r>
      <w:r w:rsidRPr="005E6CAC">
        <w:rPr>
          <w:rFonts w:ascii="Arial" w:hAnsi="Arial" w:cs="Arial"/>
          <w:b/>
          <w:bCs/>
          <w:color w:val="000000"/>
          <w:sz w:val="28"/>
          <w:szCs w:val="28"/>
          <w:lang w:eastAsia="en-US"/>
        </w:rPr>
        <w:t>demographical and economic situation of the Palestinian People on the </w:t>
      </w:r>
      <w:r w:rsidRPr="005E6CAC">
        <w:rPr>
          <w:rFonts w:ascii="Arial" w:hAnsi="Arial" w:cs="Arial" w:hint="cs"/>
          <w:b/>
          <w:bCs/>
          <w:color w:val="000000"/>
          <w:sz w:val="28"/>
          <w:szCs w:val="28"/>
          <w:rtl/>
          <w:lang w:eastAsia="en-US"/>
        </w:rPr>
        <w:t>7</w:t>
      </w:r>
      <w:r w:rsidRPr="005E6CAC">
        <w:rPr>
          <w:rFonts w:ascii="Arial" w:hAnsi="Arial" w:cs="Arial"/>
          <w:b/>
          <w:bCs/>
          <w:color w:val="000000"/>
          <w:sz w:val="28"/>
          <w:szCs w:val="28"/>
          <w:lang w:eastAsia="en-US"/>
        </w:rPr>
        <w:t>7</w:t>
      </w:r>
      <w:r w:rsidRPr="005E6CAC">
        <w:rPr>
          <w:rFonts w:ascii="Arial" w:hAnsi="Arial" w:cs="Arial"/>
          <w:b/>
          <w:bCs/>
          <w:color w:val="000000"/>
          <w:sz w:val="28"/>
          <w:szCs w:val="28"/>
          <w:vertAlign w:val="superscript"/>
          <w:lang w:eastAsia="en-US"/>
        </w:rPr>
        <w:t>th</w:t>
      </w:r>
      <w:proofErr w:type="gramStart"/>
      <w:r w:rsidRPr="005E6CAC">
        <w:rPr>
          <w:rFonts w:ascii="Arial" w:hAnsi="Arial" w:cs="Arial"/>
          <w:b/>
          <w:bCs/>
          <w:color w:val="000000"/>
          <w:sz w:val="28"/>
          <w:szCs w:val="28"/>
          <w:lang w:eastAsia="en-US"/>
        </w:rPr>
        <w:t>  Annual</w:t>
      </w:r>
      <w:proofErr w:type="gramEnd"/>
      <w:r w:rsidRPr="005E6CAC">
        <w:rPr>
          <w:rFonts w:ascii="Arial" w:hAnsi="Arial" w:cs="Arial"/>
          <w:b/>
          <w:bCs/>
          <w:color w:val="000000"/>
          <w:sz w:val="28"/>
          <w:szCs w:val="28"/>
          <w:lang w:eastAsia="en-US"/>
        </w:rPr>
        <w:t xml:space="preserve"> Commemoration of the Palestinian Nakba, which occur takes place on May, 15</w:t>
      </w:r>
      <w:r w:rsidRPr="005E6CAC">
        <w:rPr>
          <w:rFonts w:ascii="Arial" w:hAnsi="Arial" w:cs="Arial"/>
          <w:b/>
          <w:bCs/>
          <w:color w:val="000000"/>
          <w:sz w:val="28"/>
          <w:szCs w:val="28"/>
          <w:vertAlign w:val="superscript"/>
          <w:lang w:eastAsia="en-US"/>
        </w:rPr>
        <w:t>th</w:t>
      </w:r>
    </w:p>
    <w:p w14:paraId="7644EA53" w14:textId="77777777" w:rsidR="002B0A17" w:rsidRPr="004B4BB0" w:rsidRDefault="002B0A17" w:rsidP="002B0A17">
      <w:pPr>
        <w:pStyle w:val="BodyTextIndent"/>
        <w:ind w:left="0"/>
        <w:jc w:val="center"/>
        <w:rPr>
          <w:b/>
          <w:bCs/>
          <w:sz w:val="18"/>
          <w:szCs w:val="18"/>
          <w:lang w:bidi="ar-JO"/>
        </w:rPr>
      </w:pPr>
    </w:p>
    <w:p w14:paraId="10450ED6" w14:textId="1BD65E41" w:rsidR="00AF637E" w:rsidRPr="005E6CAC" w:rsidRDefault="00AF637E" w:rsidP="00C54AE2">
      <w:pPr>
        <w:bidi w:val="0"/>
        <w:jc w:val="center"/>
        <w:rPr>
          <w:b/>
          <w:bCs/>
          <w:sz w:val="28"/>
          <w:szCs w:val="28"/>
        </w:rPr>
      </w:pPr>
      <w:r w:rsidRPr="005E6CAC">
        <w:rPr>
          <w:b/>
          <w:bCs/>
          <w:sz w:val="28"/>
          <w:szCs w:val="28"/>
        </w:rPr>
        <w:t xml:space="preserve">The Nakba: </w:t>
      </w:r>
      <w:r w:rsidR="00C54AE2" w:rsidRPr="005E6CAC">
        <w:rPr>
          <w:b/>
          <w:bCs/>
          <w:sz w:val="28"/>
          <w:szCs w:val="28"/>
        </w:rPr>
        <w:t xml:space="preserve">Continuous </w:t>
      </w:r>
      <w:r w:rsidRPr="005E6CAC">
        <w:rPr>
          <w:b/>
          <w:bCs/>
          <w:sz w:val="28"/>
          <w:szCs w:val="28"/>
        </w:rPr>
        <w:t xml:space="preserve">Ethnic cleansing, displacement of </w:t>
      </w:r>
      <w:r w:rsidR="00466982" w:rsidRPr="005E6CAC">
        <w:rPr>
          <w:b/>
          <w:bCs/>
          <w:sz w:val="28"/>
          <w:szCs w:val="28"/>
        </w:rPr>
        <w:t xml:space="preserve">the </w:t>
      </w:r>
      <w:r w:rsidRPr="005E6CAC">
        <w:rPr>
          <w:b/>
          <w:bCs/>
          <w:sz w:val="28"/>
          <w:szCs w:val="28"/>
        </w:rPr>
        <w:t>Palestinians</w:t>
      </w:r>
      <w:r w:rsidR="00C54AE2" w:rsidRPr="005E6CAC">
        <w:rPr>
          <w:b/>
          <w:bCs/>
          <w:sz w:val="28"/>
          <w:szCs w:val="28"/>
        </w:rPr>
        <w:t>, colonialism</w:t>
      </w:r>
      <w:r w:rsidR="00466982" w:rsidRPr="005E6CAC">
        <w:rPr>
          <w:b/>
          <w:bCs/>
          <w:sz w:val="28"/>
          <w:szCs w:val="28"/>
        </w:rPr>
        <w:t>,</w:t>
      </w:r>
      <w:r w:rsidRPr="005E6CAC">
        <w:rPr>
          <w:b/>
          <w:bCs/>
          <w:sz w:val="28"/>
          <w:szCs w:val="28"/>
        </w:rPr>
        <w:t xml:space="preserve"> and </w:t>
      </w:r>
      <w:r w:rsidR="00C54AE2" w:rsidRPr="005E6CAC">
        <w:rPr>
          <w:b/>
          <w:bCs/>
          <w:sz w:val="28"/>
          <w:szCs w:val="28"/>
        </w:rPr>
        <w:t xml:space="preserve">taking over </w:t>
      </w:r>
      <w:r w:rsidR="00466982" w:rsidRPr="005E6CAC">
        <w:rPr>
          <w:b/>
          <w:bCs/>
          <w:sz w:val="28"/>
          <w:szCs w:val="28"/>
        </w:rPr>
        <w:t xml:space="preserve">the </w:t>
      </w:r>
      <w:r w:rsidR="00C54AE2" w:rsidRPr="005E6CAC">
        <w:rPr>
          <w:b/>
          <w:bCs/>
          <w:sz w:val="28"/>
          <w:szCs w:val="28"/>
        </w:rPr>
        <w:t>Palestinian Lands</w:t>
      </w:r>
    </w:p>
    <w:p w14:paraId="4456E1E3" w14:textId="719F360D" w:rsidR="00AF637E" w:rsidRPr="005E6CAC" w:rsidRDefault="00AF637E" w:rsidP="00466982">
      <w:pPr>
        <w:bidi w:val="0"/>
        <w:jc w:val="both"/>
        <w:rPr>
          <w:sz w:val="26"/>
          <w:szCs w:val="26"/>
        </w:rPr>
      </w:pPr>
      <w:r w:rsidRPr="005E6CAC">
        <w:rPr>
          <w:i/>
          <w:iCs/>
          <w:sz w:val="26"/>
          <w:szCs w:val="26"/>
        </w:rPr>
        <w:t>Nakba</w:t>
      </w:r>
      <w:r w:rsidRPr="005E6CAC">
        <w:rPr>
          <w:sz w:val="26"/>
          <w:szCs w:val="26"/>
        </w:rPr>
        <w:t xml:space="preserve"> in Palestine describes a process of ethnic cleansing in which an unarmed native nation </w:t>
      </w:r>
      <w:proofErr w:type="gramStart"/>
      <w:r w:rsidRPr="005E6CAC">
        <w:rPr>
          <w:sz w:val="26"/>
          <w:szCs w:val="26"/>
        </w:rPr>
        <w:t>was destroyed</w:t>
      </w:r>
      <w:proofErr w:type="gramEnd"/>
      <w:r w:rsidRPr="005E6CAC">
        <w:rPr>
          <w:sz w:val="26"/>
          <w:szCs w:val="26"/>
        </w:rPr>
        <w:t xml:space="preserve">. The </w:t>
      </w:r>
      <w:r w:rsidRPr="005E6CAC">
        <w:rPr>
          <w:i/>
          <w:iCs/>
          <w:sz w:val="26"/>
          <w:szCs w:val="26"/>
        </w:rPr>
        <w:t>Nakba</w:t>
      </w:r>
      <w:r w:rsidRPr="005E6CAC">
        <w:rPr>
          <w:sz w:val="26"/>
          <w:szCs w:val="26"/>
        </w:rPr>
        <w:t xml:space="preserve"> resulted in the displacement </w:t>
      </w:r>
      <w:r w:rsidR="00DB69BC" w:rsidRPr="005E6CAC">
        <w:rPr>
          <w:sz w:val="26"/>
          <w:szCs w:val="26"/>
        </w:rPr>
        <w:t>of 957</w:t>
      </w:r>
      <w:r w:rsidR="00C92BC5" w:rsidRPr="005E6CAC">
        <w:rPr>
          <w:sz w:val="26"/>
          <w:szCs w:val="26"/>
        </w:rPr>
        <w:t xml:space="preserve"> </w:t>
      </w:r>
      <w:r w:rsidR="00722D20" w:rsidRPr="005E6CAC">
        <w:rPr>
          <w:sz w:val="26"/>
          <w:szCs w:val="26"/>
        </w:rPr>
        <w:t xml:space="preserve">thousand </w:t>
      </w:r>
      <w:r w:rsidRPr="005E6CAC">
        <w:rPr>
          <w:sz w:val="26"/>
          <w:szCs w:val="26"/>
        </w:rPr>
        <w:t xml:space="preserve">Palestinians out of the 1.4 million Palestinians who were living in 1,300 villages and towns. The majority of the displaced Palestinians ended up in the West Bank and Gaza Strip and </w:t>
      </w:r>
      <w:r w:rsidR="008F48A5" w:rsidRPr="005E6CAC">
        <w:rPr>
          <w:sz w:val="26"/>
          <w:szCs w:val="26"/>
        </w:rPr>
        <w:t>neighboring Arab countries</w:t>
      </w:r>
      <w:r w:rsidRPr="005E6CAC">
        <w:rPr>
          <w:sz w:val="26"/>
          <w:szCs w:val="26"/>
        </w:rPr>
        <w:t xml:space="preserve">. Furthermore, thousands of Palestinians – who stayed in the land controlled by </w:t>
      </w:r>
      <w:r w:rsidR="00466982" w:rsidRPr="005E6CAC">
        <w:rPr>
          <w:sz w:val="26"/>
          <w:szCs w:val="26"/>
        </w:rPr>
        <w:t xml:space="preserve">the </w:t>
      </w:r>
      <w:r w:rsidRPr="005E6CAC">
        <w:rPr>
          <w:sz w:val="26"/>
          <w:szCs w:val="26"/>
        </w:rPr>
        <w:t xml:space="preserve">Israeli occupation in 1948 – </w:t>
      </w:r>
      <w:proofErr w:type="gramStart"/>
      <w:r w:rsidRPr="005E6CAC">
        <w:rPr>
          <w:sz w:val="26"/>
          <w:szCs w:val="26"/>
        </w:rPr>
        <w:t>were driven</w:t>
      </w:r>
      <w:proofErr w:type="gramEnd"/>
      <w:r w:rsidRPr="005E6CAC">
        <w:rPr>
          <w:sz w:val="26"/>
          <w:szCs w:val="26"/>
        </w:rPr>
        <w:t xml:space="preserve"> out of their homes and lands </w:t>
      </w:r>
      <w:r w:rsidR="00466982" w:rsidRPr="005E6CAC">
        <w:rPr>
          <w:sz w:val="26"/>
          <w:szCs w:val="26"/>
        </w:rPr>
        <w:t xml:space="preserve">that </w:t>
      </w:r>
      <w:r w:rsidRPr="005E6CAC">
        <w:rPr>
          <w:sz w:val="26"/>
          <w:szCs w:val="26"/>
        </w:rPr>
        <w:t>were seized.</w:t>
      </w:r>
    </w:p>
    <w:p w14:paraId="2C40CA33" w14:textId="77777777" w:rsidR="004D7549" w:rsidRPr="005E6CAC" w:rsidRDefault="004D7549" w:rsidP="004D7549">
      <w:pPr>
        <w:bidi w:val="0"/>
        <w:jc w:val="both"/>
        <w:rPr>
          <w:sz w:val="26"/>
          <w:szCs w:val="26"/>
        </w:rPr>
      </w:pPr>
    </w:p>
    <w:p w14:paraId="1B21D41D" w14:textId="43D43926" w:rsidR="00AF637E" w:rsidRPr="005E6CAC" w:rsidRDefault="00AF637E" w:rsidP="00BF477C">
      <w:pPr>
        <w:bidi w:val="0"/>
        <w:jc w:val="both"/>
        <w:rPr>
          <w:sz w:val="26"/>
          <w:szCs w:val="26"/>
        </w:rPr>
      </w:pPr>
      <w:r w:rsidRPr="005E6CAC">
        <w:rPr>
          <w:sz w:val="26"/>
          <w:szCs w:val="26"/>
        </w:rPr>
        <w:t xml:space="preserve">According to the historical documentary evidence, </w:t>
      </w:r>
      <w:r w:rsidR="00466982" w:rsidRPr="005E6CAC">
        <w:rPr>
          <w:sz w:val="26"/>
          <w:szCs w:val="26"/>
        </w:rPr>
        <w:t xml:space="preserve">the </w:t>
      </w:r>
      <w:r w:rsidRPr="005E6CAC">
        <w:rPr>
          <w:sz w:val="26"/>
          <w:szCs w:val="26"/>
        </w:rPr>
        <w:t xml:space="preserve">Israeli </w:t>
      </w:r>
      <w:r w:rsidR="00542533" w:rsidRPr="005E6CAC">
        <w:rPr>
          <w:sz w:val="26"/>
          <w:szCs w:val="26"/>
        </w:rPr>
        <w:t xml:space="preserve">occupation </w:t>
      </w:r>
      <w:r w:rsidRPr="005E6CAC">
        <w:rPr>
          <w:sz w:val="26"/>
          <w:szCs w:val="26"/>
        </w:rPr>
        <w:t xml:space="preserve">controlled 774 towns and villages and destroyed 531 Palestinian towns and villages during the </w:t>
      </w:r>
      <w:r w:rsidRPr="005E6CAC">
        <w:rPr>
          <w:i/>
          <w:iCs/>
          <w:sz w:val="26"/>
          <w:szCs w:val="26"/>
        </w:rPr>
        <w:t>Nakba</w:t>
      </w:r>
      <w:r w:rsidRPr="005E6CAC">
        <w:rPr>
          <w:sz w:val="26"/>
          <w:szCs w:val="26"/>
        </w:rPr>
        <w:t>. The atrocities of Zionist forces also included more than 70 massacres in which more than 15 thou</w:t>
      </w:r>
      <w:r w:rsidR="009F6925" w:rsidRPr="005E6CAC">
        <w:rPr>
          <w:sz w:val="26"/>
          <w:szCs w:val="26"/>
        </w:rPr>
        <w:t>sand Palestinians were martyred</w:t>
      </w:r>
      <w:r w:rsidR="009C08DD" w:rsidRPr="005E6CAC">
        <w:rPr>
          <w:sz w:val="26"/>
          <w:szCs w:val="26"/>
        </w:rPr>
        <w:t xml:space="preserve">. </w:t>
      </w:r>
      <w:r w:rsidR="009F6925" w:rsidRPr="005E6CAC">
        <w:rPr>
          <w:sz w:val="26"/>
          <w:szCs w:val="26"/>
        </w:rPr>
        <w:t xml:space="preserve">The Israeli occupation has been waging its aggression since the Nakba, and has escalated </w:t>
      </w:r>
      <w:r w:rsidR="00542533" w:rsidRPr="005E6CAC">
        <w:rPr>
          <w:sz w:val="26"/>
          <w:szCs w:val="26"/>
        </w:rPr>
        <w:t xml:space="preserve">it </w:t>
      </w:r>
      <w:r w:rsidR="009F6925" w:rsidRPr="005E6CAC">
        <w:rPr>
          <w:sz w:val="26"/>
          <w:szCs w:val="26"/>
        </w:rPr>
        <w:t xml:space="preserve">sharply during the current aggression against Gaza Strip </w:t>
      </w:r>
      <w:r w:rsidR="00F4338D" w:rsidRPr="005E6CAC">
        <w:rPr>
          <w:sz w:val="26"/>
          <w:szCs w:val="26"/>
        </w:rPr>
        <w:t xml:space="preserve">and </w:t>
      </w:r>
      <w:r w:rsidR="009C08DD" w:rsidRPr="005E6CAC">
        <w:rPr>
          <w:sz w:val="26"/>
          <w:szCs w:val="26"/>
        </w:rPr>
        <w:t xml:space="preserve">the </w:t>
      </w:r>
      <w:r w:rsidR="00F4338D" w:rsidRPr="005E6CAC">
        <w:rPr>
          <w:sz w:val="26"/>
          <w:szCs w:val="26"/>
        </w:rPr>
        <w:t xml:space="preserve">West Bank </w:t>
      </w:r>
      <w:r w:rsidR="009F6925" w:rsidRPr="005E6CAC">
        <w:rPr>
          <w:sz w:val="26"/>
          <w:szCs w:val="26"/>
        </w:rPr>
        <w:t xml:space="preserve">since October </w:t>
      </w:r>
      <w:proofErr w:type="gramStart"/>
      <w:r w:rsidR="009F6925" w:rsidRPr="005E6CAC">
        <w:rPr>
          <w:sz w:val="26"/>
          <w:szCs w:val="26"/>
        </w:rPr>
        <w:t>7</w:t>
      </w:r>
      <w:r w:rsidR="00542533" w:rsidRPr="005E6CAC">
        <w:rPr>
          <w:sz w:val="26"/>
          <w:szCs w:val="26"/>
          <w:vertAlign w:val="superscript"/>
        </w:rPr>
        <w:t>th</w:t>
      </w:r>
      <w:proofErr w:type="gramEnd"/>
      <w:r w:rsidR="009F6925" w:rsidRPr="005E6CAC">
        <w:rPr>
          <w:sz w:val="26"/>
          <w:szCs w:val="26"/>
        </w:rPr>
        <w:t>, 2023.</w:t>
      </w:r>
    </w:p>
    <w:p w14:paraId="45D0623F" w14:textId="77777777" w:rsidR="005140A0" w:rsidRPr="005E6CAC" w:rsidRDefault="005140A0" w:rsidP="005140A0">
      <w:pPr>
        <w:bidi w:val="0"/>
        <w:jc w:val="both"/>
        <w:rPr>
          <w:sz w:val="26"/>
          <w:szCs w:val="26"/>
        </w:rPr>
      </w:pPr>
    </w:p>
    <w:p w14:paraId="5D9E385B" w14:textId="77777777" w:rsidR="005140A0" w:rsidRPr="005E6CAC" w:rsidRDefault="005140A0" w:rsidP="005140A0">
      <w:pPr>
        <w:pStyle w:val="BodyTextIndent"/>
        <w:ind w:left="0"/>
        <w:jc w:val="center"/>
        <w:rPr>
          <w:sz w:val="28"/>
          <w:szCs w:val="28"/>
        </w:rPr>
      </w:pPr>
      <w:r w:rsidRPr="005E6CAC">
        <w:rPr>
          <w:b/>
          <w:bCs/>
          <w:sz w:val="28"/>
          <w:szCs w:val="28"/>
        </w:rPr>
        <w:t>Demographic Reality: 77 years after the Nakba, a tenfold increase in the Palestinian population</w:t>
      </w:r>
    </w:p>
    <w:p w14:paraId="19E4E95B" w14:textId="10C7FF34" w:rsidR="005140A0" w:rsidRPr="005E6CAC" w:rsidRDefault="005140A0" w:rsidP="002A2127">
      <w:pPr>
        <w:pStyle w:val="BodyTextIndent"/>
        <w:ind w:left="0"/>
        <w:jc w:val="both"/>
        <w:rPr>
          <w:sz w:val="26"/>
          <w:szCs w:val="26"/>
        </w:rPr>
      </w:pPr>
      <w:r w:rsidRPr="005E6CAC">
        <w:rPr>
          <w:sz w:val="26"/>
          <w:szCs w:val="26"/>
        </w:rPr>
        <w:t xml:space="preserve"> The population of historic Palestine in 1914 was approximately 690</w:t>
      </w:r>
      <w:r w:rsidR="00E03FD5" w:rsidRPr="005E6CAC">
        <w:rPr>
          <w:sz w:val="26"/>
          <w:szCs w:val="26"/>
        </w:rPr>
        <w:t xml:space="preserve"> thousand</w:t>
      </w:r>
      <w:r w:rsidRPr="005E6CAC">
        <w:rPr>
          <w:sz w:val="26"/>
          <w:szCs w:val="26"/>
        </w:rPr>
        <w:t>, of whom Jews constituted only 8%. In 1948, the population exceeded 2 million, approximately 31.5% of whom were Jews. The largest influx of Jewish immigrants, 225</w:t>
      </w:r>
      <w:r w:rsidR="002A2127" w:rsidRPr="005E6CAC">
        <w:rPr>
          <w:sz w:val="26"/>
          <w:szCs w:val="26"/>
        </w:rPr>
        <w:t xml:space="preserve"> thousand,</w:t>
      </w:r>
      <w:r w:rsidRPr="005E6CAC">
        <w:rPr>
          <w:sz w:val="26"/>
          <w:szCs w:val="26"/>
        </w:rPr>
        <w:t xml:space="preserve"> occurred between 1932 and 1939. Between 1940 and 1947, more than 93</w:t>
      </w:r>
      <w:r w:rsidR="00E03FD5" w:rsidRPr="005E6CAC">
        <w:rPr>
          <w:sz w:val="26"/>
          <w:szCs w:val="26"/>
        </w:rPr>
        <w:t xml:space="preserve"> thousand </w:t>
      </w:r>
      <w:r w:rsidRPr="005E6CAC">
        <w:rPr>
          <w:sz w:val="26"/>
          <w:szCs w:val="26"/>
        </w:rPr>
        <w:t>Jews arrived in Palestine. Thus, between 1932 and 1947, Palestine forcibly received approximately 318</w:t>
      </w:r>
      <w:r w:rsidR="00E03FD5" w:rsidRPr="005E6CAC">
        <w:rPr>
          <w:sz w:val="26"/>
          <w:szCs w:val="26"/>
        </w:rPr>
        <w:t xml:space="preserve"> thousand </w:t>
      </w:r>
      <w:r w:rsidRPr="005E6CAC">
        <w:rPr>
          <w:sz w:val="26"/>
          <w:szCs w:val="26"/>
        </w:rPr>
        <w:t>Jews, and from 1948 until 2023, more than 3.3 million Jews have arrived.</w:t>
      </w:r>
    </w:p>
    <w:p w14:paraId="7DD909EB" w14:textId="77777777" w:rsidR="005140A0" w:rsidRPr="005E6CAC" w:rsidRDefault="005140A0" w:rsidP="005140A0">
      <w:pPr>
        <w:pStyle w:val="BodyTextIndent"/>
        <w:ind w:left="0"/>
        <w:jc w:val="both"/>
        <w:rPr>
          <w:sz w:val="26"/>
          <w:szCs w:val="26"/>
        </w:rPr>
      </w:pPr>
    </w:p>
    <w:p w14:paraId="0A5E6F9D" w14:textId="62711F2C" w:rsidR="005140A0" w:rsidRPr="005E6CAC" w:rsidRDefault="005140A0" w:rsidP="00E03FD5">
      <w:pPr>
        <w:pStyle w:val="BodyTextIndent"/>
        <w:ind w:left="0"/>
        <w:jc w:val="both"/>
        <w:rPr>
          <w:sz w:val="26"/>
          <w:szCs w:val="26"/>
        </w:rPr>
      </w:pPr>
      <w:r w:rsidRPr="005E6CAC">
        <w:rPr>
          <w:sz w:val="26"/>
          <w:szCs w:val="26"/>
        </w:rPr>
        <w:t xml:space="preserve"> Despite the displacement of 957 thousand Palestinians in 1948 and more than 200</w:t>
      </w:r>
      <w:r w:rsidR="00E03FD5" w:rsidRPr="005E6CAC">
        <w:rPr>
          <w:sz w:val="26"/>
          <w:szCs w:val="26"/>
        </w:rPr>
        <w:t xml:space="preserve"> thousand </w:t>
      </w:r>
      <w:r w:rsidRPr="005E6CAC">
        <w:rPr>
          <w:sz w:val="26"/>
          <w:szCs w:val="26"/>
        </w:rPr>
        <w:t xml:space="preserve">Palestinians after the war of June 1967, the estimated population of the State of Palestine reached approximately 5.5 million Palestinians by mid-2025 ((3.4 million in the West Bank and 2.1 million in Gaza Strip (a 10% decrease compared to the population estimates for Gaza Strip for 2025)). Based on revised population estimates prepared by the Palestinian Central Bureau of Statistics, there were 15.2 million Palestinians in the world by mid-2025, </w:t>
      </w:r>
      <w:r w:rsidR="00DB69BC" w:rsidRPr="005E6CAC">
        <w:rPr>
          <w:sz w:val="26"/>
          <w:szCs w:val="26"/>
        </w:rPr>
        <w:t xml:space="preserve">more than </w:t>
      </w:r>
      <w:r w:rsidRPr="005E6CAC">
        <w:rPr>
          <w:sz w:val="26"/>
          <w:szCs w:val="26"/>
        </w:rPr>
        <w:t>half of whom were outside historic Palestine</w:t>
      </w:r>
      <w:r w:rsidR="00DB69BC" w:rsidRPr="005E6CAC">
        <w:rPr>
          <w:sz w:val="26"/>
          <w:szCs w:val="26"/>
        </w:rPr>
        <w:t xml:space="preserve"> (7.8 million, of them 6.5 million in Arab countries)</w:t>
      </w:r>
      <w:r w:rsidRPr="005E6CAC">
        <w:rPr>
          <w:sz w:val="26"/>
          <w:szCs w:val="26"/>
        </w:rPr>
        <w:t>. Their number reached approximately 7.</w:t>
      </w:r>
      <w:r w:rsidR="00DB69BC" w:rsidRPr="005E6CAC">
        <w:rPr>
          <w:sz w:val="26"/>
          <w:szCs w:val="26"/>
        </w:rPr>
        <w:t>4</w:t>
      </w:r>
      <w:r w:rsidRPr="005E6CAC">
        <w:rPr>
          <w:sz w:val="26"/>
          <w:szCs w:val="26"/>
        </w:rPr>
        <w:t xml:space="preserve"> million Palestinians in historic Palestine, while the number of Israelis reached 7.4 million, </w:t>
      </w:r>
      <w:r w:rsidRPr="005E6CAC">
        <w:rPr>
          <w:sz w:val="26"/>
          <w:szCs w:val="26"/>
        </w:rPr>
        <w:lastRenderedPageBreak/>
        <w:t xml:space="preserve">according to estimates by the Israeli Central Bureau of Statistics. Thus, the number of Palestinians and Israelis in historic Palestine was equal by mid-2025. </w:t>
      </w:r>
    </w:p>
    <w:p w14:paraId="7BD325BD" w14:textId="77777777" w:rsidR="00AF637E" w:rsidRPr="005E6CAC" w:rsidRDefault="00AF637E" w:rsidP="00AF637E">
      <w:pPr>
        <w:rPr>
          <w:sz w:val="26"/>
          <w:szCs w:val="26"/>
        </w:rPr>
      </w:pPr>
    </w:p>
    <w:p w14:paraId="6E5BAF41" w14:textId="37A56EC3" w:rsidR="00AF637E" w:rsidRPr="005E6CAC" w:rsidRDefault="00AF637E" w:rsidP="00F4338D">
      <w:pPr>
        <w:pStyle w:val="BodyText"/>
        <w:bidi w:val="0"/>
        <w:spacing w:after="0"/>
        <w:jc w:val="center"/>
        <w:rPr>
          <w:rStyle w:val="shorttext"/>
          <w:rFonts w:asciiTheme="majorBidi" w:hAnsiTheme="majorBidi" w:cstheme="majorBidi"/>
          <w:b/>
          <w:bCs/>
          <w:sz w:val="28"/>
          <w:szCs w:val="28"/>
          <w:rtl/>
        </w:rPr>
      </w:pPr>
      <w:r w:rsidRPr="005E6CAC">
        <w:rPr>
          <w:rStyle w:val="shorttext"/>
          <w:rFonts w:asciiTheme="majorBidi" w:hAnsiTheme="majorBidi" w:cstheme="majorBidi"/>
          <w:b/>
          <w:bCs/>
          <w:sz w:val="28"/>
          <w:szCs w:val="28"/>
        </w:rPr>
        <w:t>More than 1</w:t>
      </w:r>
      <w:r w:rsidR="00F4338D" w:rsidRPr="005E6CAC">
        <w:rPr>
          <w:rStyle w:val="shorttext"/>
          <w:rFonts w:asciiTheme="majorBidi" w:hAnsiTheme="majorBidi" w:cstheme="majorBidi"/>
          <w:b/>
          <w:bCs/>
          <w:sz w:val="28"/>
          <w:szCs w:val="28"/>
        </w:rPr>
        <w:t>5</w:t>
      </w:r>
      <w:r w:rsidRPr="005E6CAC">
        <w:rPr>
          <w:rStyle w:val="shorttext"/>
          <w:rFonts w:asciiTheme="majorBidi" w:hAnsiTheme="majorBidi" w:cstheme="majorBidi"/>
          <w:b/>
          <w:bCs/>
          <w:sz w:val="28"/>
          <w:szCs w:val="28"/>
        </w:rPr>
        <w:t>4 Thousand Martyrs since the</w:t>
      </w:r>
      <w:r w:rsidRPr="005E6CAC">
        <w:rPr>
          <w:b/>
          <w:bCs/>
          <w:sz w:val="28"/>
          <w:szCs w:val="28"/>
        </w:rPr>
        <w:t xml:space="preserve"> Nakba,</w:t>
      </w:r>
      <w:r w:rsidRPr="005E6CAC">
        <w:rPr>
          <w:rStyle w:val="shorttext"/>
          <w:rFonts w:asciiTheme="majorBidi" w:hAnsiTheme="majorBidi" w:cstheme="majorBidi"/>
          <w:b/>
          <w:bCs/>
          <w:sz w:val="28"/>
          <w:szCs w:val="28"/>
        </w:rPr>
        <w:t xml:space="preserve"> 1948</w:t>
      </w:r>
    </w:p>
    <w:p w14:paraId="4E5F4A85" w14:textId="621AE955" w:rsidR="00AF637E" w:rsidRPr="005E6CAC" w:rsidRDefault="00AF637E" w:rsidP="00CB654B">
      <w:pPr>
        <w:pStyle w:val="BodyTextIndent"/>
        <w:ind w:left="0"/>
        <w:jc w:val="both"/>
        <w:rPr>
          <w:sz w:val="26"/>
          <w:szCs w:val="26"/>
        </w:rPr>
      </w:pPr>
      <w:r w:rsidRPr="005E6CAC">
        <w:rPr>
          <w:sz w:val="26"/>
          <w:szCs w:val="26"/>
        </w:rPr>
        <w:t xml:space="preserve">The number of </w:t>
      </w:r>
      <w:r w:rsidR="00466982" w:rsidRPr="005E6CAC">
        <w:rPr>
          <w:sz w:val="26"/>
          <w:szCs w:val="26"/>
        </w:rPr>
        <w:t xml:space="preserve">the </w:t>
      </w:r>
      <w:r w:rsidRPr="005E6CAC">
        <w:rPr>
          <w:sz w:val="26"/>
          <w:szCs w:val="26"/>
        </w:rPr>
        <w:t>Palestinian and Arab martyrs killed since the Nakba in 1948 and until this day (inside and outside Palestine) reached more than 1</w:t>
      </w:r>
      <w:r w:rsidR="00F4338D" w:rsidRPr="005E6CAC">
        <w:rPr>
          <w:sz w:val="26"/>
          <w:szCs w:val="26"/>
        </w:rPr>
        <w:t>5</w:t>
      </w:r>
      <w:r w:rsidRPr="005E6CAC">
        <w:rPr>
          <w:sz w:val="26"/>
          <w:szCs w:val="26"/>
        </w:rPr>
        <w:t>4 thousand martyrs</w:t>
      </w:r>
      <w:r w:rsidRPr="005E6CAC">
        <w:rPr>
          <w:rStyle w:val="FootnoteReference"/>
          <w:sz w:val="26"/>
          <w:szCs w:val="26"/>
          <w:rtl/>
        </w:rPr>
        <w:footnoteReference w:id="1"/>
      </w:r>
      <w:r w:rsidRPr="005E6CAC">
        <w:rPr>
          <w:sz w:val="26"/>
          <w:szCs w:val="26"/>
        </w:rPr>
        <w:t xml:space="preserve">. Moreover, the number of martyrs killed in Al-Aqsa Intifada </w:t>
      </w:r>
      <w:r w:rsidR="00466982" w:rsidRPr="005E6CAC">
        <w:rPr>
          <w:sz w:val="26"/>
          <w:szCs w:val="26"/>
        </w:rPr>
        <w:t xml:space="preserve">during </w:t>
      </w:r>
      <w:r w:rsidRPr="005E6CAC">
        <w:rPr>
          <w:sz w:val="26"/>
          <w:szCs w:val="26"/>
        </w:rPr>
        <w:t xml:space="preserve">September </w:t>
      </w:r>
      <w:proofErr w:type="gramStart"/>
      <w:r w:rsidRPr="005E6CAC">
        <w:rPr>
          <w:sz w:val="26"/>
          <w:szCs w:val="26"/>
        </w:rPr>
        <w:t>29</w:t>
      </w:r>
      <w:r w:rsidRPr="005E6CAC">
        <w:rPr>
          <w:sz w:val="26"/>
          <w:szCs w:val="26"/>
          <w:vertAlign w:val="superscript"/>
        </w:rPr>
        <w:t>th</w:t>
      </w:r>
      <w:proofErr w:type="gramEnd"/>
      <w:r w:rsidR="00BA072D" w:rsidRPr="005E6CAC">
        <w:rPr>
          <w:sz w:val="26"/>
          <w:szCs w:val="26"/>
        </w:rPr>
        <w:t xml:space="preserve">, </w:t>
      </w:r>
      <w:r w:rsidRPr="005E6CAC">
        <w:rPr>
          <w:sz w:val="26"/>
          <w:szCs w:val="26"/>
        </w:rPr>
        <w:t xml:space="preserve">2000 </w:t>
      </w:r>
      <w:r w:rsidR="00466982" w:rsidRPr="005E6CAC">
        <w:rPr>
          <w:sz w:val="26"/>
          <w:szCs w:val="26"/>
        </w:rPr>
        <w:t xml:space="preserve">- </w:t>
      </w:r>
      <w:r w:rsidR="00E84675" w:rsidRPr="005E6CAC">
        <w:rPr>
          <w:sz w:val="26"/>
          <w:szCs w:val="26"/>
        </w:rPr>
        <w:t>May</w:t>
      </w:r>
      <w:r w:rsidRPr="005E6CAC">
        <w:rPr>
          <w:sz w:val="26"/>
          <w:szCs w:val="26"/>
        </w:rPr>
        <w:t xml:space="preserve"> </w:t>
      </w:r>
      <w:r w:rsidR="00E84675" w:rsidRPr="005E6CAC">
        <w:rPr>
          <w:sz w:val="26"/>
          <w:szCs w:val="26"/>
        </w:rPr>
        <w:t>08</w:t>
      </w:r>
      <w:r w:rsidRPr="005E6CAC">
        <w:rPr>
          <w:sz w:val="26"/>
          <w:szCs w:val="26"/>
          <w:vertAlign w:val="superscript"/>
        </w:rPr>
        <w:t>th</w:t>
      </w:r>
      <w:r w:rsidR="00E40E38" w:rsidRPr="005E6CAC">
        <w:rPr>
          <w:sz w:val="26"/>
          <w:szCs w:val="26"/>
        </w:rPr>
        <w:t xml:space="preserve">, </w:t>
      </w:r>
      <w:r w:rsidRPr="005E6CAC">
        <w:rPr>
          <w:sz w:val="26"/>
          <w:szCs w:val="26"/>
        </w:rPr>
        <w:t>202</w:t>
      </w:r>
      <w:r w:rsidR="00623A18" w:rsidRPr="005E6CAC">
        <w:rPr>
          <w:sz w:val="26"/>
          <w:szCs w:val="26"/>
        </w:rPr>
        <w:t>5</w:t>
      </w:r>
      <w:r w:rsidRPr="005E6CAC">
        <w:rPr>
          <w:sz w:val="26"/>
          <w:szCs w:val="26"/>
        </w:rPr>
        <w:t xml:space="preserve"> was about </w:t>
      </w:r>
      <w:r w:rsidR="00F4338D" w:rsidRPr="005E6CAC">
        <w:rPr>
          <w:sz w:val="26"/>
          <w:szCs w:val="26"/>
        </w:rPr>
        <w:t>64</w:t>
      </w:r>
      <w:r w:rsidR="002A2127" w:rsidRPr="005E6CAC">
        <w:rPr>
          <w:sz w:val="26"/>
          <w:szCs w:val="26"/>
        </w:rPr>
        <w:t>.5 thousand</w:t>
      </w:r>
      <w:r w:rsidRPr="005E6CAC">
        <w:rPr>
          <w:sz w:val="26"/>
          <w:szCs w:val="26"/>
        </w:rPr>
        <w:t xml:space="preserve">. </w:t>
      </w:r>
      <w:proofErr w:type="gramStart"/>
      <w:r w:rsidRPr="005E6CAC">
        <w:rPr>
          <w:sz w:val="26"/>
          <w:szCs w:val="26"/>
        </w:rPr>
        <w:t xml:space="preserve">The number of martyrs in Palestine since the start of the Israeli occupation aggression </w:t>
      </w:r>
      <w:r w:rsidR="00180E9D" w:rsidRPr="005E6CAC">
        <w:rPr>
          <w:sz w:val="26"/>
          <w:szCs w:val="26"/>
        </w:rPr>
        <w:t xml:space="preserve">against Gaza Strip </w:t>
      </w:r>
      <w:r w:rsidR="00466982" w:rsidRPr="005E6CAC">
        <w:rPr>
          <w:sz w:val="26"/>
          <w:szCs w:val="26"/>
        </w:rPr>
        <w:t xml:space="preserve">during </w:t>
      </w:r>
      <w:r w:rsidRPr="005E6CAC">
        <w:rPr>
          <w:sz w:val="26"/>
          <w:szCs w:val="26"/>
        </w:rPr>
        <w:t>October 7</w:t>
      </w:r>
      <w:r w:rsidRPr="005E6CAC">
        <w:rPr>
          <w:sz w:val="26"/>
          <w:szCs w:val="26"/>
          <w:vertAlign w:val="superscript"/>
        </w:rPr>
        <w:t>th</w:t>
      </w:r>
      <w:r w:rsidRPr="005E6CAC">
        <w:rPr>
          <w:sz w:val="26"/>
          <w:szCs w:val="26"/>
        </w:rPr>
        <w:t xml:space="preserve">, 2023 </w:t>
      </w:r>
      <w:r w:rsidR="00466982" w:rsidRPr="005E6CAC">
        <w:rPr>
          <w:sz w:val="26"/>
          <w:szCs w:val="26"/>
        </w:rPr>
        <w:t xml:space="preserve">- </w:t>
      </w:r>
      <w:r w:rsidR="009A6BA9" w:rsidRPr="005E6CAC">
        <w:rPr>
          <w:sz w:val="26"/>
          <w:szCs w:val="26"/>
        </w:rPr>
        <w:t>May</w:t>
      </w:r>
      <w:r w:rsidRPr="005E6CAC">
        <w:rPr>
          <w:sz w:val="26"/>
          <w:szCs w:val="26"/>
        </w:rPr>
        <w:t xml:space="preserve"> </w:t>
      </w:r>
      <w:r w:rsidR="00080356" w:rsidRPr="005E6CAC">
        <w:rPr>
          <w:sz w:val="26"/>
          <w:szCs w:val="26"/>
        </w:rPr>
        <w:t>0</w:t>
      </w:r>
      <w:r w:rsidR="00F91DF3" w:rsidRPr="005E6CAC">
        <w:rPr>
          <w:sz w:val="26"/>
          <w:szCs w:val="26"/>
        </w:rPr>
        <w:t>8</w:t>
      </w:r>
      <w:r w:rsidR="001112A0" w:rsidRPr="005E6CAC">
        <w:rPr>
          <w:sz w:val="26"/>
          <w:szCs w:val="26"/>
          <w:vertAlign w:val="superscript"/>
        </w:rPr>
        <w:t>th</w:t>
      </w:r>
      <w:r w:rsidR="00275DB7" w:rsidRPr="005E6CAC">
        <w:rPr>
          <w:sz w:val="26"/>
          <w:szCs w:val="26"/>
        </w:rPr>
        <w:t xml:space="preserve">, </w:t>
      </w:r>
      <w:r w:rsidRPr="005E6CAC">
        <w:rPr>
          <w:sz w:val="26"/>
          <w:szCs w:val="26"/>
        </w:rPr>
        <w:t>202</w:t>
      </w:r>
      <w:r w:rsidR="00F4338D" w:rsidRPr="005E6CAC">
        <w:rPr>
          <w:sz w:val="26"/>
          <w:szCs w:val="26"/>
        </w:rPr>
        <w:t>5</w:t>
      </w:r>
      <w:r w:rsidRPr="005E6CAC">
        <w:rPr>
          <w:sz w:val="26"/>
          <w:szCs w:val="26"/>
        </w:rPr>
        <w:t xml:space="preserve"> reached </w:t>
      </w:r>
      <w:r w:rsidR="009C08DD" w:rsidRPr="005E6CAC">
        <w:rPr>
          <w:sz w:val="26"/>
          <w:szCs w:val="26"/>
        </w:rPr>
        <w:t xml:space="preserve">more </w:t>
      </w:r>
      <w:r w:rsidR="005527F9" w:rsidRPr="005E6CAC">
        <w:rPr>
          <w:sz w:val="26"/>
          <w:szCs w:val="26"/>
        </w:rPr>
        <w:t>than</w:t>
      </w:r>
      <w:r w:rsidR="008D4B66" w:rsidRPr="005E6CAC">
        <w:rPr>
          <w:sz w:val="26"/>
          <w:szCs w:val="26"/>
        </w:rPr>
        <w:t xml:space="preserve"> </w:t>
      </w:r>
      <w:r w:rsidR="00F4338D" w:rsidRPr="005E6CAC">
        <w:rPr>
          <w:sz w:val="26"/>
          <w:szCs w:val="26"/>
        </w:rPr>
        <w:t>52</w:t>
      </w:r>
      <w:r w:rsidR="00CB654B" w:rsidRPr="005E6CAC">
        <w:rPr>
          <w:sz w:val="26"/>
          <w:szCs w:val="26"/>
        </w:rPr>
        <w:t>.</w:t>
      </w:r>
      <w:r w:rsidR="006937FD" w:rsidRPr="005E6CAC">
        <w:rPr>
          <w:sz w:val="26"/>
          <w:szCs w:val="26"/>
        </w:rPr>
        <w:t>6</w:t>
      </w:r>
      <w:r w:rsidR="00CB654B" w:rsidRPr="005E6CAC">
        <w:rPr>
          <w:sz w:val="26"/>
          <w:szCs w:val="26"/>
        </w:rPr>
        <w:t xml:space="preserve"> thousand</w:t>
      </w:r>
      <w:r w:rsidR="006937FD" w:rsidRPr="005E6CAC">
        <w:rPr>
          <w:sz w:val="26"/>
          <w:szCs w:val="26"/>
        </w:rPr>
        <w:t xml:space="preserve"> </w:t>
      </w:r>
      <w:r w:rsidRPr="005E6CAC">
        <w:rPr>
          <w:sz w:val="26"/>
          <w:szCs w:val="26"/>
        </w:rPr>
        <w:t xml:space="preserve">martyrs; more than </w:t>
      </w:r>
      <w:r w:rsidR="00F4338D" w:rsidRPr="005E6CAC">
        <w:rPr>
          <w:sz w:val="26"/>
          <w:szCs w:val="26"/>
        </w:rPr>
        <w:t>18</w:t>
      </w:r>
      <w:r w:rsidR="00E03FD5" w:rsidRPr="005E6CAC">
        <w:rPr>
          <w:sz w:val="26"/>
          <w:szCs w:val="26"/>
        </w:rPr>
        <w:t xml:space="preserve"> thousand</w:t>
      </w:r>
      <w:r w:rsidRPr="005E6CAC">
        <w:rPr>
          <w:sz w:val="26"/>
          <w:szCs w:val="26"/>
        </w:rPr>
        <w:t xml:space="preserve"> children and more than </w:t>
      </w:r>
      <w:r w:rsidR="00F4338D" w:rsidRPr="005E6CAC">
        <w:rPr>
          <w:sz w:val="26"/>
          <w:szCs w:val="26"/>
        </w:rPr>
        <w:t>12</w:t>
      </w:r>
      <w:r w:rsidR="00E03FD5" w:rsidRPr="005E6CAC">
        <w:rPr>
          <w:sz w:val="26"/>
          <w:szCs w:val="26"/>
        </w:rPr>
        <w:t xml:space="preserve"> thousand </w:t>
      </w:r>
      <w:r w:rsidRPr="005E6CAC">
        <w:rPr>
          <w:sz w:val="26"/>
          <w:szCs w:val="26"/>
        </w:rPr>
        <w:t xml:space="preserve">women, in addition to more than </w:t>
      </w:r>
      <w:r w:rsidR="00F4338D" w:rsidRPr="005E6CAC">
        <w:rPr>
          <w:sz w:val="26"/>
          <w:szCs w:val="26"/>
        </w:rPr>
        <w:t>211</w:t>
      </w:r>
      <w:r w:rsidRPr="005E6CAC">
        <w:rPr>
          <w:sz w:val="26"/>
          <w:szCs w:val="26"/>
        </w:rPr>
        <w:t xml:space="preserve"> journalists were martyred</w:t>
      </w:r>
      <w:r w:rsidR="006937FD" w:rsidRPr="005E6CAC">
        <w:rPr>
          <w:sz w:val="26"/>
          <w:szCs w:val="26"/>
        </w:rPr>
        <w:t xml:space="preserve"> (representing </w:t>
      </w:r>
      <w:r w:rsidR="002E17CB" w:rsidRPr="005E6CAC">
        <w:rPr>
          <w:sz w:val="26"/>
          <w:szCs w:val="26"/>
        </w:rPr>
        <w:t xml:space="preserve">34% </w:t>
      </w:r>
      <w:r w:rsidR="00275DB7" w:rsidRPr="005E6CAC">
        <w:rPr>
          <w:sz w:val="26"/>
          <w:szCs w:val="26"/>
        </w:rPr>
        <w:t xml:space="preserve">of the </w:t>
      </w:r>
      <w:r w:rsidR="00FE7DF9" w:rsidRPr="005E6CAC">
        <w:rPr>
          <w:sz w:val="26"/>
          <w:szCs w:val="26"/>
        </w:rPr>
        <w:t xml:space="preserve">total </w:t>
      </w:r>
      <w:r w:rsidR="00275DB7" w:rsidRPr="005E6CAC">
        <w:rPr>
          <w:sz w:val="26"/>
          <w:szCs w:val="26"/>
        </w:rPr>
        <w:t xml:space="preserve">number of </w:t>
      </w:r>
      <w:r w:rsidR="00FE7DF9" w:rsidRPr="005E6CAC">
        <w:rPr>
          <w:sz w:val="26"/>
          <w:szCs w:val="26"/>
        </w:rPr>
        <w:t>martyrs</w:t>
      </w:r>
      <w:r w:rsidR="008B6CC6" w:rsidRPr="005E6CAC">
        <w:rPr>
          <w:sz w:val="26"/>
          <w:szCs w:val="26"/>
        </w:rPr>
        <w:t xml:space="preserve"> </w:t>
      </w:r>
      <w:r w:rsidR="005A317A" w:rsidRPr="005E6CAC">
        <w:rPr>
          <w:sz w:val="26"/>
          <w:szCs w:val="26"/>
        </w:rPr>
        <w:t xml:space="preserve">since </w:t>
      </w:r>
      <w:r w:rsidR="004C2E5A" w:rsidRPr="005E6CAC">
        <w:rPr>
          <w:sz w:val="26"/>
          <w:szCs w:val="26"/>
        </w:rPr>
        <w:t xml:space="preserve">the </w:t>
      </w:r>
      <w:r w:rsidR="001246A1" w:rsidRPr="005E6CAC">
        <w:rPr>
          <w:sz w:val="26"/>
          <w:szCs w:val="26"/>
        </w:rPr>
        <w:t>Nakba</w:t>
      </w:r>
      <w:r w:rsidR="002B1075" w:rsidRPr="005E6CAC">
        <w:rPr>
          <w:sz w:val="26"/>
          <w:szCs w:val="26"/>
        </w:rPr>
        <w:t>)</w:t>
      </w:r>
      <w:r w:rsidR="009C08DD" w:rsidRPr="005E6CAC">
        <w:rPr>
          <w:sz w:val="26"/>
          <w:szCs w:val="26"/>
        </w:rPr>
        <w:t>.</w:t>
      </w:r>
      <w:proofErr w:type="gramEnd"/>
      <w:r w:rsidRPr="005E6CAC">
        <w:rPr>
          <w:sz w:val="26"/>
          <w:szCs w:val="26"/>
        </w:rPr>
        <w:t xml:space="preserve"> </w:t>
      </w:r>
      <w:r w:rsidR="00FE50E4" w:rsidRPr="005E6CAC">
        <w:rPr>
          <w:sz w:val="26"/>
          <w:szCs w:val="26"/>
        </w:rPr>
        <w:t>In addition</w:t>
      </w:r>
      <w:r w:rsidR="009C08DD" w:rsidRPr="005E6CAC">
        <w:rPr>
          <w:sz w:val="26"/>
          <w:szCs w:val="26"/>
        </w:rPr>
        <w:t>,</w:t>
      </w:r>
      <w:r w:rsidR="00FE50E4" w:rsidRPr="005E6CAC">
        <w:rPr>
          <w:sz w:val="26"/>
          <w:szCs w:val="26"/>
        </w:rPr>
        <w:t xml:space="preserve"> </w:t>
      </w:r>
      <w:r w:rsidR="00BF477C" w:rsidRPr="005E6CAC">
        <w:rPr>
          <w:sz w:val="26"/>
          <w:szCs w:val="26"/>
        </w:rPr>
        <w:t xml:space="preserve">there were </w:t>
      </w:r>
      <w:r w:rsidR="00FE50E4" w:rsidRPr="005E6CAC">
        <w:rPr>
          <w:sz w:val="26"/>
          <w:szCs w:val="26"/>
        </w:rPr>
        <w:t>more than 125</w:t>
      </w:r>
      <w:r w:rsidR="00E03FD5" w:rsidRPr="005E6CAC">
        <w:rPr>
          <w:sz w:val="26"/>
          <w:szCs w:val="26"/>
        </w:rPr>
        <w:t xml:space="preserve"> thousand </w:t>
      </w:r>
      <w:r w:rsidR="00FE50E4" w:rsidRPr="005E6CAC">
        <w:rPr>
          <w:sz w:val="26"/>
          <w:szCs w:val="26"/>
        </w:rPr>
        <w:t>wounded</w:t>
      </w:r>
      <w:r w:rsidR="00466982" w:rsidRPr="005E6CAC">
        <w:rPr>
          <w:sz w:val="26"/>
          <w:szCs w:val="26"/>
        </w:rPr>
        <w:t xml:space="preserve"> individuals</w:t>
      </w:r>
      <w:r w:rsidR="00FE50E4" w:rsidRPr="005E6CAC">
        <w:rPr>
          <w:sz w:val="26"/>
          <w:szCs w:val="26"/>
        </w:rPr>
        <w:t xml:space="preserve"> </w:t>
      </w:r>
      <w:r w:rsidRPr="005E6CAC">
        <w:rPr>
          <w:sz w:val="26"/>
          <w:szCs w:val="26"/>
        </w:rPr>
        <w:t>according to the records of the Palestinian Ministry of Health in Gaza Strip</w:t>
      </w:r>
      <w:r w:rsidR="009A15DD" w:rsidRPr="005E6CAC">
        <w:rPr>
          <w:sz w:val="26"/>
          <w:szCs w:val="26"/>
        </w:rPr>
        <w:t xml:space="preserve">. </w:t>
      </w:r>
      <w:r w:rsidRPr="005E6CAC">
        <w:rPr>
          <w:sz w:val="26"/>
          <w:szCs w:val="26"/>
        </w:rPr>
        <w:t>In addition</w:t>
      </w:r>
      <w:r w:rsidR="002010DF" w:rsidRPr="005E6CAC">
        <w:rPr>
          <w:sz w:val="26"/>
          <w:szCs w:val="26"/>
        </w:rPr>
        <w:t>,</w:t>
      </w:r>
      <w:r w:rsidRPr="005E6CAC">
        <w:rPr>
          <w:sz w:val="26"/>
          <w:szCs w:val="26"/>
        </w:rPr>
        <w:t xml:space="preserve"> more than </w:t>
      </w:r>
      <w:r w:rsidR="00F4338D" w:rsidRPr="005E6CAC">
        <w:rPr>
          <w:sz w:val="26"/>
          <w:szCs w:val="26"/>
        </w:rPr>
        <w:t>11</w:t>
      </w:r>
      <w:r w:rsidR="00E03FD5" w:rsidRPr="005E6CAC">
        <w:rPr>
          <w:sz w:val="26"/>
          <w:szCs w:val="26"/>
        </w:rPr>
        <w:t xml:space="preserve"> thousand </w:t>
      </w:r>
      <w:r w:rsidRPr="005E6CAC">
        <w:rPr>
          <w:sz w:val="26"/>
          <w:szCs w:val="26"/>
        </w:rPr>
        <w:t>citizens, most of whom were women and children</w:t>
      </w:r>
      <w:r w:rsidR="002010DF" w:rsidRPr="005E6CAC">
        <w:rPr>
          <w:sz w:val="26"/>
          <w:szCs w:val="26"/>
        </w:rPr>
        <w:t>, were gone missing</w:t>
      </w:r>
      <w:r w:rsidRPr="005E6CAC">
        <w:rPr>
          <w:sz w:val="26"/>
          <w:szCs w:val="26"/>
        </w:rPr>
        <w:t xml:space="preserve">. While the number of martyrs reached </w:t>
      </w:r>
      <w:r w:rsidR="00F4338D" w:rsidRPr="005E6CAC">
        <w:rPr>
          <w:sz w:val="26"/>
          <w:szCs w:val="26"/>
        </w:rPr>
        <w:t>964</w:t>
      </w:r>
      <w:r w:rsidRPr="005E6CAC">
        <w:rPr>
          <w:sz w:val="26"/>
          <w:szCs w:val="26"/>
        </w:rPr>
        <w:t xml:space="preserve"> in the West Bank since the start of the Israeli occupation aggression on October </w:t>
      </w:r>
      <w:proofErr w:type="gramStart"/>
      <w:r w:rsidRPr="005E6CAC">
        <w:rPr>
          <w:sz w:val="26"/>
          <w:szCs w:val="26"/>
        </w:rPr>
        <w:t>7</w:t>
      </w:r>
      <w:r w:rsidRPr="005E6CAC">
        <w:rPr>
          <w:sz w:val="26"/>
          <w:szCs w:val="26"/>
          <w:vertAlign w:val="superscript"/>
        </w:rPr>
        <w:t>th</w:t>
      </w:r>
      <w:proofErr w:type="gramEnd"/>
      <w:r w:rsidRPr="005E6CAC">
        <w:rPr>
          <w:sz w:val="26"/>
          <w:szCs w:val="26"/>
        </w:rPr>
        <w:t>, 2023.</w:t>
      </w:r>
    </w:p>
    <w:p w14:paraId="3170DE13" w14:textId="77777777" w:rsidR="008F48A5" w:rsidRPr="005E6CAC" w:rsidRDefault="008F48A5" w:rsidP="008F48A5">
      <w:pPr>
        <w:pStyle w:val="BodyTextIndent"/>
        <w:ind w:left="0"/>
        <w:jc w:val="both"/>
        <w:rPr>
          <w:sz w:val="26"/>
          <w:szCs w:val="26"/>
        </w:rPr>
      </w:pPr>
    </w:p>
    <w:p w14:paraId="6CFA3B85" w14:textId="1D89093E" w:rsidR="008F48A5" w:rsidRPr="005E6CAC" w:rsidRDefault="008F48A5" w:rsidP="00237D69">
      <w:pPr>
        <w:pStyle w:val="BodyTextIndent"/>
        <w:ind w:left="0"/>
        <w:jc w:val="center"/>
        <w:rPr>
          <w:b/>
          <w:bCs/>
          <w:sz w:val="28"/>
          <w:szCs w:val="28"/>
        </w:rPr>
      </w:pPr>
      <w:r w:rsidRPr="005E6CAC">
        <w:rPr>
          <w:b/>
          <w:bCs/>
          <w:sz w:val="28"/>
          <w:szCs w:val="28"/>
        </w:rPr>
        <w:t xml:space="preserve">Two million Palestinians </w:t>
      </w:r>
      <w:proofErr w:type="gramStart"/>
      <w:r w:rsidRPr="005E6CAC">
        <w:rPr>
          <w:b/>
          <w:bCs/>
          <w:sz w:val="28"/>
          <w:szCs w:val="28"/>
        </w:rPr>
        <w:t xml:space="preserve">were </w:t>
      </w:r>
      <w:r w:rsidR="0078231C" w:rsidRPr="005E6CAC">
        <w:rPr>
          <w:b/>
          <w:bCs/>
          <w:sz w:val="28"/>
          <w:szCs w:val="28"/>
        </w:rPr>
        <w:t>displaced</w:t>
      </w:r>
      <w:proofErr w:type="gramEnd"/>
      <w:r w:rsidR="0078231C" w:rsidRPr="005E6CAC">
        <w:rPr>
          <w:b/>
          <w:bCs/>
          <w:sz w:val="28"/>
          <w:szCs w:val="28"/>
        </w:rPr>
        <w:t xml:space="preserve"> in </w:t>
      </w:r>
      <w:r w:rsidRPr="005E6CAC">
        <w:rPr>
          <w:b/>
          <w:bCs/>
          <w:sz w:val="28"/>
          <w:szCs w:val="28"/>
        </w:rPr>
        <w:t>Gaza Strip, far from their homes</w:t>
      </w:r>
    </w:p>
    <w:p w14:paraId="3F16EADB" w14:textId="763A3A6E" w:rsidR="000E29ED" w:rsidRPr="005E6CAC" w:rsidRDefault="008F48A5" w:rsidP="00B123A4">
      <w:pPr>
        <w:pStyle w:val="BodyTextIndent"/>
        <w:ind w:left="0"/>
        <w:jc w:val="both"/>
        <w:rPr>
          <w:sz w:val="26"/>
          <w:szCs w:val="26"/>
        </w:rPr>
      </w:pPr>
      <w:r w:rsidRPr="005E6CAC">
        <w:rPr>
          <w:sz w:val="26"/>
          <w:szCs w:val="26"/>
        </w:rPr>
        <w:t xml:space="preserve">Residents of Gaza </w:t>
      </w:r>
      <w:proofErr w:type="gramStart"/>
      <w:r w:rsidRPr="005E6CAC">
        <w:rPr>
          <w:sz w:val="26"/>
          <w:szCs w:val="26"/>
        </w:rPr>
        <w:t>have been repeatedly forced</w:t>
      </w:r>
      <w:proofErr w:type="gramEnd"/>
      <w:r w:rsidRPr="005E6CAC">
        <w:rPr>
          <w:sz w:val="26"/>
          <w:szCs w:val="26"/>
        </w:rPr>
        <w:t xml:space="preserve"> to flee their homes under duress, losing their homes and becoming homeless in tents and schools, trapped between walls of poverty and war. O</w:t>
      </w:r>
      <w:r w:rsidR="000F3F80" w:rsidRPr="005E6CAC">
        <w:rPr>
          <w:sz w:val="26"/>
          <w:szCs w:val="26"/>
        </w:rPr>
        <w:t>ut o</w:t>
      </w:r>
      <w:r w:rsidRPr="005E6CAC">
        <w:rPr>
          <w:sz w:val="26"/>
          <w:szCs w:val="26"/>
        </w:rPr>
        <w:t xml:space="preserve">f approximately 2.2 million Palestinians who lived in Gaza Strip on the eve of the Israeli occupation aggression, </w:t>
      </w:r>
      <w:r w:rsidR="0078231C" w:rsidRPr="005E6CAC">
        <w:rPr>
          <w:sz w:val="26"/>
          <w:szCs w:val="26"/>
        </w:rPr>
        <w:t xml:space="preserve">about </w:t>
      </w:r>
      <w:r w:rsidRPr="005E6CAC">
        <w:rPr>
          <w:sz w:val="26"/>
          <w:szCs w:val="26"/>
        </w:rPr>
        <w:t xml:space="preserve">two million </w:t>
      </w:r>
      <w:proofErr w:type="gramStart"/>
      <w:r w:rsidRPr="005E6CAC">
        <w:rPr>
          <w:sz w:val="26"/>
          <w:szCs w:val="26"/>
        </w:rPr>
        <w:t>have been displaced</w:t>
      </w:r>
      <w:proofErr w:type="gramEnd"/>
      <w:r w:rsidRPr="005E6CAC">
        <w:rPr>
          <w:sz w:val="26"/>
          <w:szCs w:val="26"/>
        </w:rPr>
        <w:t xml:space="preserve"> from their homes</w:t>
      </w:r>
      <w:r w:rsidR="000F3F80" w:rsidRPr="005E6CAC">
        <w:rPr>
          <w:sz w:val="26"/>
          <w:szCs w:val="26"/>
        </w:rPr>
        <w:t xml:space="preserve">; however, </w:t>
      </w:r>
      <w:r w:rsidRPr="005E6CAC">
        <w:rPr>
          <w:sz w:val="26"/>
          <w:szCs w:val="26"/>
        </w:rPr>
        <w:t xml:space="preserve">they have </w:t>
      </w:r>
      <w:r w:rsidR="00C83E47" w:rsidRPr="005E6CAC">
        <w:rPr>
          <w:sz w:val="26"/>
          <w:szCs w:val="26"/>
        </w:rPr>
        <w:t>not been spared the bombardment</w:t>
      </w:r>
      <w:r w:rsidR="006537DF" w:rsidRPr="005E6CAC">
        <w:rPr>
          <w:sz w:val="26"/>
          <w:szCs w:val="26"/>
        </w:rPr>
        <w:t>.</w:t>
      </w:r>
      <w:r w:rsidRPr="005E6CAC">
        <w:rPr>
          <w:sz w:val="26"/>
          <w:szCs w:val="26"/>
        </w:rPr>
        <w:t xml:space="preserve"> </w:t>
      </w:r>
    </w:p>
    <w:p w14:paraId="0AD0A836" w14:textId="77777777" w:rsidR="00FE50E4" w:rsidRPr="005E6CAC" w:rsidRDefault="00FE50E4" w:rsidP="00FE50E4">
      <w:pPr>
        <w:pStyle w:val="BodyTextIndent"/>
        <w:ind w:left="0"/>
        <w:jc w:val="both"/>
        <w:rPr>
          <w:sz w:val="26"/>
          <w:szCs w:val="26"/>
        </w:rPr>
      </w:pPr>
    </w:p>
    <w:p w14:paraId="2A2DBAA7" w14:textId="77777777" w:rsidR="00BC0ADD" w:rsidRPr="005E6CAC" w:rsidRDefault="00BC0ADD" w:rsidP="00BC0ADD">
      <w:pPr>
        <w:pStyle w:val="BodyTextIndent"/>
        <w:ind w:left="0"/>
        <w:jc w:val="center"/>
        <w:rPr>
          <w:b/>
          <w:bCs/>
          <w:sz w:val="28"/>
          <w:szCs w:val="28"/>
          <w:rtl/>
        </w:rPr>
      </w:pPr>
      <w:r w:rsidRPr="005E6CAC">
        <w:rPr>
          <w:b/>
          <w:bCs/>
          <w:sz w:val="28"/>
          <w:szCs w:val="28"/>
        </w:rPr>
        <w:t>Hunger and thirst are ravaging the besieged Gaza Strip</w:t>
      </w:r>
    </w:p>
    <w:p w14:paraId="09A2FC40" w14:textId="0937BB79" w:rsidR="000E29ED" w:rsidRPr="005E6CAC" w:rsidRDefault="00BC0ADD" w:rsidP="00E03FD5">
      <w:pPr>
        <w:pStyle w:val="BodyTextIndent"/>
        <w:ind w:left="0"/>
        <w:jc w:val="both"/>
        <w:rPr>
          <w:sz w:val="26"/>
          <w:szCs w:val="26"/>
          <w:rtl/>
        </w:rPr>
      </w:pPr>
      <w:r w:rsidRPr="005E6CAC">
        <w:rPr>
          <w:sz w:val="26"/>
          <w:szCs w:val="26"/>
        </w:rPr>
        <w:t>Since March</w:t>
      </w:r>
      <w:r w:rsidR="00FE50E4" w:rsidRPr="005E6CAC">
        <w:rPr>
          <w:rFonts w:hint="cs"/>
          <w:sz w:val="26"/>
          <w:szCs w:val="26"/>
          <w:rtl/>
        </w:rPr>
        <w:t xml:space="preserve"> </w:t>
      </w:r>
      <w:r w:rsidR="00FE50E4" w:rsidRPr="005E6CAC">
        <w:rPr>
          <w:sz w:val="26"/>
          <w:szCs w:val="26"/>
        </w:rPr>
        <w:t>2</w:t>
      </w:r>
      <w:r w:rsidR="00FE50E4" w:rsidRPr="005E6CAC">
        <w:rPr>
          <w:rFonts w:hint="cs"/>
          <w:sz w:val="26"/>
          <w:szCs w:val="26"/>
          <w:rtl/>
        </w:rPr>
        <w:t>025</w:t>
      </w:r>
      <w:r w:rsidRPr="005E6CAC">
        <w:rPr>
          <w:sz w:val="26"/>
          <w:szCs w:val="26"/>
        </w:rPr>
        <w:t xml:space="preserve">, the Israeli occupation has </w:t>
      </w:r>
      <w:r w:rsidR="000F3F80" w:rsidRPr="005E6CAC">
        <w:rPr>
          <w:sz w:val="26"/>
          <w:szCs w:val="26"/>
        </w:rPr>
        <w:t>reimposed</w:t>
      </w:r>
      <w:r w:rsidRPr="005E6CAC">
        <w:rPr>
          <w:sz w:val="26"/>
          <w:szCs w:val="26"/>
        </w:rPr>
        <w:t xml:space="preserve"> its </w:t>
      </w:r>
      <w:r w:rsidR="0078231C" w:rsidRPr="005E6CAC">
        <w:rPr>
          <w:sz w:val="26"/>
          <w:szCs w:val="26"/>
        </w:rPr>
        <w:t xml:space="preserve">siege </w:t>
      </w:r>
      <w:r w:rsidRPr="005E6CAC">
        <w:rPr>
          <w:sz w:val="26"/>
          <w:szCs w:val="26"/>
        </w:rPr>
        <w:t>on Gaza Strip, with devastating consequences. More than 2 million Palestinians in Gaza Strip are at risk of starvation, including more than 1 million children of all ag</w:t>
      </w:r>
      <w:r w:rsidR="001874AA" w:rsidRPr="005E6CAC">
        <w:rPr>
          <w:sz w:val="26"/>
          <w:szCs w:val="26"/>
        </w:rPr>
        <w:t xml:space="preserve">es who suffer from daily hunger, </w:t>
      </w:r>
      <w:r w:rsidR="0078231C" w:rsidRPr="005E6CAC">
        <w:rPr>
          <w:sz w:val="26"/>
          <w:szCs w:val="26"/>
        </w:rPr>
        <w:t>a</w:t>
      </w:r>
      <w:r w:rsidR="001874AA" w:rsidRPr="005E6CAC">
        <w:rPr>
          <w:sz w:val="26"/>
          <w:szCs w:val="26"/>
        </w:rPr>
        <w:t xml:space="preserve">bout 57 children </w:t>
      </w:r>
      <w:r w:rsidR="0078231C" w:rsidRPr="005E6CAC">
        <w:rPr>
          <w:sz w:val="26"/>
          <w:szCs w:val="26"/>
        </w:rPr>
        <w:t>died to</w:t>
      </w:r>
      <w:r w:rsidR="001874AA" w:rsidRPr="005E6CAC">
        <w:rPr>
          <w:sz w:val="26"/>
          <w:szCs w:val="26"/>
        </w:rPr>
        <w:t xml:space="preserve"> </w:t>
      </w:r>
      <w:r w:rsidR="0078231C" w:rsidRPr="005E6CAC">
        <w:rPr>
          <w:sz w:val="26"/>
          <w:szCs w:val="26"/>
        </w:rPr>
        <w:t xml:space="preserve">famine </w:t>
      </w:r>
      <w:r w:rsidR="001874AA" w:rsidRPr="005E6CAC">
        <w:rPr>
          <w:sz w:val="26"/>
          <w:szCs w:val="26"/>
        </w:rPr>
        <w:t>and</w:t>
      </w:r>
      <w:r w:rsidR="00FE50E4" w:rsidRPr="005E6CAC">
        <w:rPr>
          <w:sz w:val="26"/>
          <w:szCs w:val="26"/>
        </w:rPr>
        <w:t xml:space="preserve"> about</w:t>
      </w:r>
      <w:r w:rsidR="001874AA" w:rsidRPr="005E6CAC">
        <w:rPr>
          <w:sz w:val="26"/>
          <w:szCs w:val="26"/>
        </w:rPr>
        <w:t xml:space="preserve"> </w:t>
      </w:r>
      <w:r w:rsidRPr="005E6CAC">
        <w:rPr>
          <w:sz w:val="26"/>
          <w:szCs w:val="26"/>
        </w:rPr>
        <w:t>65</w:t>
      </w:r>
      <w:r w:rsidR="00E03FD5" w:rsidRPr="005E6CAC">
        <w:rPr>
          <w:sz w:val="26"/>
          <w:szCs w:val="26"/>
        </w:rPr>
        <w:t xml:space="preserve"> thousand </w:t>
      </w:r>
      <w:r w:rsidRPr="005E6CAC">
        <w:rPr>
          <w:sz w:val="26"/>
          <w:szCs w:val="26"/>
        </w:rPr>
        <w:t xml:space="preserve">people have suffered from severe malnutrition and </w:t>
      </w:r>
      <w:proofErr w:type="gramStart"/>
      <w:r w:rsidRPr="005E6CAC">
        <w:rPr>
          <w:sz w:val="26"/>
          <w:szCs w:val="26"/>
        </w:rPr>
        <w:t>have been transferred</w:t>
      </w:r>
      <w:proofErr w:type="gramEnd"/>
      <w:r w:rsidRPr="005E6CAC">
        <w:rPr>
          <w:sz w:val="26"/>
          <w:szCs w:val="26"/>
        </w:rPr>
        <w:t xml:space="preserve"> to the remaining</w:t>
      </w:r>
      <w:r w:rsidR="0078231C" w:rsidRPr="005E6CAC">
        <w:rPr>
          <w:sz w:val="26"/>
          <w:szCs w:val="26"/>
        </w:rPr>
        <w:t xml:space="preserve"> yet</w:t>
      </w:r>
      <w:r w:rsidRPr="005E6CAC">
        <w:rPr>
          <w:sz w:val="26"/>
          <w:szCs w:val="26"/>
        </w:rPr>
        <w:t xml:space="preserve"> destroyed hospitals and medical centers in </w:t>
      </w:r>
      <w:r w:rsidR="0078231C" w:rsidRPr="005E6CAC">
        <w:rPr>
          <w:sz w:val="26"/>
          <w:szCs w:val="26"/>
        </w:rPr>
        <w:t xml:space="preserve">Gaza </w:t>
      </w:r>
      <w:r w:rsidRPr="005E6CAC">
        <w:rPr>
          <w:sz w:val="26"/>
          <w:szCs w:val="26"/>
        </w:rPr>
        <w:t>Strip. 335</w:t>
      </w:r>
      <w:r w:rsidR="00E03FD5" w:rsidRPr="005E6CAC">
        <w:rPr>
          <w:sz w:val="26"/>
          <w:szCs w:val="26"/>
        </w:rPr>
        <w:t xml:space="preserve"> thousand </w:t>
      </w:r>
      <w:r w:rsidRPr="005E6CAC">
        <w:rPr>
          <w:sz w:val="26"/>
          <w:szCs w:val="26"/>
        </w:rPr>
        <w:t>children under the age of five—all children in Gaza in this age group—are on the brink of death due to the severe malnutrition they and their mothers face. Approximately 92% of infants between 6 months and 2 years of age</w:t>
      </w:r>
      <w:r w:rsidR="009B61AA" w:rsidRPr="005E6CAC">
        <w:rPr>
          <w:sz w:val="26"/>
          <w:szCs w:val="26"/>
        </w:rPr>
        <w:t xml:space="preserve">, </w:t>
      </w:r>
      <w:r w:rsidRPr="005E6CAC">
        <w:rPr>
          <w:sz w:val="26"/>
          <w:szCs w:val="26"/>
        </w:rPr>
        <w:t>with their mothers</w:t>
      </w:r>
      <w:r w:rsidR="009B61AA" w:rsidRPr="005E6CAC">
        <w:rPr>
          <w:sz w:val="26"/>
          <w:szCs w:val="26"/>
        </w:rPr>
        <w:t xml:space="preserve">, </w:t>
      </w:r>
      <w:r w:rsidRPr="005E6CAC">
        <w:rPr>
          <w:sz w:val="26"/>
          <w:szCs w:val="26"/>
        </w:rPr>
        <w:t>do not receive the minimum basic nutritional needs, exposing them to serious health risks that will remain with them for the rest of their lives.</w:t>
      </w:r>
    </w:p>
    <w:p w14:paraId="452F3156" w14:textId="77777777" w:rsidR="00BC0ADD" w:rsidRPr="005E6CAC" w:rsidRDefault="00BC0ADD" w:rsidP="00BC0ADD">
      <w:pPr>
        <w:pStyle w:val="BodyTextIndent"/>
        <w:ind w:left="0"/>
        <w:jc w:val="both"/>
        <w:rPr>
          <w:sz w:val="26"/>
          <w:szCs w:val="26"/>
          <w:rtl/>
        </w:rPr>
      </w:pPr>
    </w:p>
    <w:p w14:paraId="600CE0A3" w14:textId="7720A46D" w:rsidR="00BC0ADD" w:rsidRPr="005E6CAC" w:rsidRDefault="00BC0ADD" w:rsidP="009B61AA">
      <w:pPr>
        <w:bidi w:val="0"/>
        <w:jc w:val="both"/>
        <w:rPr>
          <w:rFonts w:asciiTheme="majorBidi" w:hAnsiTheme="majorBidi" w:cstheme="majorBidi"/>
          <w:sz w:val="26"/>
          <w:szCs w:val="26"/>
        </w:rPr>
      </w:pPr>
      <w:r w:rsidRPr="005E6CAC">
        <w:rPr>
          <w:rFonts w:asciiTheme="majorBidi" w:hAnsiTheme="majorBidi" w:cstheme="majorBidi"/>
          <w:sz w:val="26"/>
          <w:szCs w:val="26"/>
        </w:rPr>
        <w:t xml:space="preserve">Due to the extensive damage incurred by the water and sanitation sector, water supply rates have declined to an average of 3-5 liters per person per day, varying significantly according to geographic location, water supply, damage to infrastructure, and ongoing displacement. </w:t>
      </w:r>
      <w:r w:rsidR="009B61AA" w:rsidRPr="005E6CAC">
        <w:rPr>
          <w:rFonts w:asciiTheme="majorBidi" w:hAnsiTheme="majorBidi" w:cstheme="majorBidi"/>
          <w:sz w:val="26"/>
          <w:szCs w:val="26"/>
        </w:rPr>
        <w:t xml:space="preserve">Thus, </w:t>
      </w:r>
      <w:r w:rsidRPr="005E6CAC">
        <w:rPr>
          <w:rFonts w:asciiTheme="majorBidi" w:hAnsiTheme="majorBidi" w:cstheme="majorBidi"/>
          <w:sz w:val="26"/>
          <w:szCs w:val="26"/>
        </w:rPr>
        <w:t xml:space="preserve">the per capita share of water in Gaza does not exceed half of the estimated minimum humanitarian requirement in </w:t>
      </w:r>
      <w:r w:rsidR="009B61AA" w:rsidRPr="005E6CAC">
        <w:rPr>
          <w:rFonts w:asciiTheme="majorBidi" w:hAnsiTheme="majorBidi" w:cstheme="majorBidi"/>
          <w:sz w:val="26"/>
          <w:szCs w:val="26"/>
        </w:rPr>
        <w:t xml:space="preserve">emergent </w:t>
      </w:r>
      <w:r w:rsidRPr="005E6CAC">
        <w:rPr>
          <w:rFonts w:asciiTheme="majorBidi" w:hAnsiTheme="majorBidi" w:cstheme="majorBidi"/>
          <w:sz w:val="26"/>
          <w:szCs w:val="26"/>
        </w:rPr>
        <w:t>situations, which is 15 liters per person per day.</w:t>
      </w:r>
      <w:r w:rsidR="0078231C" w:rsidRPr="005E6CAC">
        <w:rPr>
          <w:rFonts w:asciiTheme="majorBidi" w:hAnsiTheme="majorBidi" w:cstheme="majorBidi"/>
          <w:sz w:val="26"/>
          <w:szCs w:val="26"/>
        </w:rPr>
        <w:t xml:space="preserve"> This is mainly due to the damage made to the infrastructure</w:t>
      </w:r>
      <w:r w:rsidR="009B61AA" w:rsidRPr="005E6CAC">
        <w:rPr>
          <w:rFonts w:asciiTheme="majorBidi" w:hAnsiTheme="majorBidi" w:cstheme="majorBidi"/>
          <w:sz w:val="26"/>
          <w:szCs w:val="26"/>
        </w:rPr>
        <w:t xml:space="preserve">, </w:t>
      </w:r>
      <w:r w:rsidR="0078231C" w:rsidRPr="005E6CAC">
        <w:rPr>
          <w:rFonts w:asciiTheme="majorBidi" w:hAnsiTheme="majorBidi" w:cstheme="majorBidi"/>
          <w:sz w:val="26"/>
          <w:szCs w:val="26"/>
        </w:rPr>
        <w:t>the complete power outage needed to pump water from wells and operate related water facilities such as tanks and pumping stations, and the restrictions imposed on the provision of fuel and materials necessary for their operation.</w:t>
      </w:r>
    </w:p>
    <w:p w14:paraId="5B1D526B" w14:textId="77777777" w:rsidR="00242AAB" w:rsidRPr="005E6CAC" w:rsidRDefault="00242AAB" w:rsidP="00242AAB">
      <w:pPr>
        <w:bidi w:val="0"/>
        <w:jc w:val="both"/>
        <w:rPr>
          <w:rFonts w:asciiTheme="majorBidi" w:hAnsiTheme="majorBidi" w:cstheme="majorBidi"/>
          <w:sz w:val="26"/>
          <w:szCs w:val="26"/>
        </w:rPr>
      </w:pPr>
    </w:p>
    <w:p w14:paraId="1CD4B43A" w14:textId="77777777" w:rsidR="00242AAB" w:rsidRPr="005E6CAC" w:rsidRDefault="00242AAB" w:rsidP="00242AAB">
      <w:pPr>
        <w:pStyle w:val="BodyTextIndent"/>
        <w:ind w:left="0"/>
        <w:jc w:val="center"/>
        <w:rPr>
          <w:b/>
          <w:bCs/>
          <w:sz w:val="28"/>
          <w:szCs w:val="28"/>
        </w:rPr>
      </w:pPr>
      <w:r w:rsidRPr="005E6CAC">
        <w:rPr>
          <w:b/>
          <w:bCs/>
          <w:sz w:val="28"/>
          <w:szCs w:val="28"/>
        </w:rPr>
        <w:t>More than 70% of the housing units in Gaza Strip are uninhabitable</w:t>
      </w:r>
    </w:p>
    <w:p w14:paraId="2712D835" w14:textId="2C731B8A" w:rsidR="00242AAB" w:rsidRPr="005E6CAC" w:rsidRDefault="00242AAB" w:rsidP="002A2127">
      <w:pPr>
        <w:pStyle w:val="BodyTextIndent"/>
        <w:ind w:left="0"/>
        <w:jc w:val="both"/>
        <w:rPr>
          <w:sz w:val="26"/>
          <w:szCs w:val="26"/>
        </w:rPr>
      </w:pPr>
      <w:r w:rsidRPr="005E6CAC">
        <w:rPr>
          <w:sz w:val="26"/>
          <w:szCs w:val="26"/>
        </w:rPr>
        <w:t>Since</w:t>
      </w:r>
      <w:r w:rsidRPr="005E6CAC">
        <w:rPr>
          <w:rFonts w:ascii="Calibri" w:hAnsi="Calibri" w:cs="Calibri"/>
          <w:sz w:val="26"/>
          <w:szCs w:val="26"/>
          <w:lang w:eastAsia="en-US"/>
        </w:rPr>
        <w:t xml:space="preserve"> </w:t>
      </w:r>
      <w:r w:rsidRPr="005E6CAC">
        <w:rPr>
          <w:sz w:val="26"/>
          <w:szCs w:val="26"/>
        </w:rPr>
        <w:t>the Israeli occupation aggression against Gaza Strip on October 7</w:t>
      </w:r>
      <w:r w:rsidRPr="005E6CAC">
        <w:rPr>
          <w:sz w:val="26"/>
          <w:szCs w:val="26"/>
          <w:vertAlign w:val="superscript"/>
        </w:rPr>
        <w:t>th</w:t>
      </w:r>
      <w:r w:rsidRPr="005E6CAC">
        <w:rPr>
          <w:sz w:val="26"/>
          <w:szCs w:val="26"/>
        </w:rPr>
        <w:t>, 2023, the Israeli occupation has destroyed more than 68</w:t>
      </w:r>
      <w:r w:rsidR="002A2127" w:rsidRPr="005E6CAC">
        <w:rPr>
          <w:sz w:val="26"/>
          <w:szCs w:val="26"/>
        </w:rPr>
        <w:t>.</w:t>
      </w:r>
      <w:r w:rsidRPr="005E6CAC">
        <w:rPr>
          <w:sz w:val="26"/>
          <w:szCs w:val="26"/>
        </w:rPr>
        <w:t>9</w:t>
      </w:r>
      <w:r w:rsidR="002A2127" w:rsidRPr="005E6CAC">
        <w:rPr>
          <w:sz w:val="26"/>
          <w:szCs w:val="26"/>
        </w:rPr>
        <w:t xml:space="preserve"> thousand </w:t>
      </w:r>
      <w:r w:rsidRPr="005E6CAC">
        <w:rPr>
          <w:sz w:val="26"/>
          <w:szCs w:val="26"/>
        </w:rPr>
        <w:t xml:space="preserve">buildings, more than 110 thousand severely damaged buildings, while data show that the number of housing units that have been completely or partially destroyed is estimated to be more than 330 thousand, constituting more than 70% of the total number </w:t>
      </w:r>
      <w:r w:rsidRPr="005E6CAC">
        <w:rPr>
          <w:sz w:val="26"/>
          <w:szCs w:val="26"/>
        </w:rPr>
        <w:lastRenderedPageBreak/>
        <w:t>of housing units in Gaza Strip, in addition to the destruction of schools, universities, hospitals, mosques, churches, and government headquarters, as well as the destruction of thousands of economic establishments and most of the agricultural areas, making Gaza Strip an uninhabitable place to survive.</w:t>
      </w:r>
    </w:p>
    <w:p w14:paraId="18FD3981" w14:textId="77777777" w:rsidR="00242AAB" w:rsidRPr="004B4BB0" w:rsidRDefault="00242AAB" w:rsidP="00242AAB">
      <w:pPr>
        <w:pStyle w:val="BodyTextIndent"/>
        <w:ind w:left="0"/>
        <w:jc w:val="both"/>
        <w:rPr>
          <w:sz w:val="14"/>
          <w:szCs w:val="14"/>
        </w:rPr>
      </w:pPr>
    </w:p>
    <w:p w14:paraId="2565E64B" w14:textId="22C7B1BA" w:rsidR="005E6CAC" w:rsidRPr="005E6CAC" w:rsidRDefault="00242AAB" w:rsidP="005E6CAC">
      <w:pPr>
        <w:bidi w:val="0"/>
        <w:jc w:val="center"/>
        <w:rPr>
          <w:b/>
          <w:bCs/>
        </w:rPr>
      </w:pPr>
      <w:r w:rsidRPr="005E6CAC">
        <w:rPr>
          <w:b/>
          <w:bCs/>
        </w:rPr>
        <w:t xml:space="preserve">Numbers of damaged buildings in Gaza Strip since October </w:t>
      </w:r>
      <w:proofErr w:type="gramStart"/>
      <w:r w:rsidRPr="005E6CAC">
        <w:rPr>
          <w:b/>
          <w:bCs/>
        </w:rPr>
        <w:t>7</w:t>
      </w:r>
      <w:r w:rsidRPr="005E6CAC">
        <w:rPr>
          <w:b/>
          <w:bCs/>
          <w:vertAlign w:val="superscript"/>
        </w:rPr>
        <w:t>th</w:t>
      </w:r>
      <w:proofErr w:type="gramEnd"/>
      <w:r w:rsidRPr="005E6CAC">
        <w:rPr>
          <w:b/>
          <w:bCs/>
        </w:rPr>
        <w:t>, 2023, by type of building and type of damage</w:t>
      </w:r>
    </w:p>
    <w:tbl>
      <w:tblPr>
        <w:tblStyle w:val="TableGrid"/>
        <w:bidiVisual/>
        <w:tblW w:w="0" w:type="auto"/>
        <w:jc w:val="center"/>
        <w:tblBorders>
          <w:insideH w:val="none" w:sz="0" w:space="0" w:color="auto"/>
          <w:insideV w:val="none" w:sz="0" w:space="0" w:color="auto"/>
        </w:tblBorders>
        <w:tblLook w:val="04A0" w:firstRow="1" w:lastRow="0" w:firstColumn="1" w:lastColumn="0" w:noHBand="0" w:noVBand="1"/>
      </w:tblPr>
      <w:tblGrid>
        <w:gridCol w:w="1511"/>
        <w:gridCol w:w="1110"/>
        <w:gridCol w:w="2155"/>
      </w:tblGrid>
      <w:tr w:rsidR="004B4BB0" w:rsidRPr="004B4BB0" w14:paraId="4BAB0E0F" w14:textId="77777777" w:rsidTr="005E6CAC">
        <w:trPr>
          <w:trHeight w:hRule="exact" w:val="298"/>
          <w:jc w:val="center"/>
        </w:trPr>
        <w:tc>
          <w:tcPr>
            <w:tcW w:w="2621" w:type="dxa"/>
            <w:gridSpan w:val="2"/>
            <w:tcBorders>
              <w:top w:val="single" w:sz="4" w:space="0" w:color="auto"/>
              <w:bottom w:val="single" w:sz="4" w:space="0" w:color="auto"/>
              <w:right w:val="single" w:sz="4" w:space="0" w:color="auto"/>
            </w:tcBorders>
          </w:tcPr>
          <w:p w14:paraId="52EA00B6" w14:textId="77777777" w:rsidR="00242AAB" w:rsidRPr="004B4BB0" w:rsidRDefault="00242AAB" w:rsidP="008E29A6">
            <w:pPr>
              <w:jc w:val="center"/>
              <w:rPr>
                <w:b/>
                <w:bCs/>
                <w:sz w:val="18"/>
                <w:szCs w:val="18"/>
                <w:rtl/>
              </w:rPr>
            </w:pPr>
            <w:r w:rsidRPr="004B4BB0">
              <w:rPr>
                <w:b/>
                <w:bCs/>
                <w:sz w:val="18"/>
                <w:szCs w:val="18"/>
              </w:rPr>
              <w:t>Type of Damage</w:t>
            </w:r>
          </w:p>
        </w:tc>
        <w:tc>
          <w:tcPr>
            <w:tcW w:w="2155" w:type="dxa"/>
            <w:vMerge w:val="restart"/>
            <w:tcBorders>
              <w:top w:val="single" w:sz="4" w:space="0" w:color="auto"/>
              <w:left w:val="single" w:sz="4" w:space="0" w:color="auto"/>
              <w:bottom w:val="single" w:sz="4" w:space="0" w:color="auto"/>
            </w:tcBorders>
            <w:vAlign w:val="center"/>
          </w:tcPr>
          <w:p w14:paraId="762A311D" w14:textId="77777777" w:rsidR="00242AAB" w:rsidRPr="004B4BB0" w:rsidRDefault="00242AAB" w:rsidP="008E29A6">
            <w:pPr>
              <w:jc w:val="center"/>
              <w:rPr>
                <w:b/>
                <w:bCs/>
                <w:sz w:val="18"/>
                <w:szCs w:val="18"/>
                <w:rtl/>
              </w:rPr>
            </w:pPr>
            <w:r w:rsidRPr="004B4BB0">
              <w:rPr>
                <w:b/>
                <w:bCs/>
                <w:sz w:val="18"/>
                <w:szCs w:val="18"/>
              </w:rPr>
              <w:t>Type of Building</w:t>
            </w:r>
          </w:p>
        </w:tc>
      </w:tr>
      <w:tr w:rsidR="004B4BB0" w:rsidRPr="004B4BB0" w14:paraId="66256057" w14:textId="77777777" w:rsidTr="005E6CAC">
        <w:trPr>
          <w:trHeight w:hRule="exact" w:val="451"/>
          <w:jc w:val="center"/>
        </w:trPr>
        <w:tc>
          <w:tcPr>
            <w:tcW w:w="1511" w:type="dxa"/>
            <w:tcBorders>
              <w:top w:val="single" w:sz="4" w:space="0" w:color="auto"/>
              <w:bottom w:val="single" w:sz="4" w:space="0" w:color="auto"/>
              <w:right w:val="single" w:sz="4" w:space="0" w:color="auto"/>
            </w:tcBorders>
          </w:tcPr>
          <w:p w14:paraId="7C473E45" w14:textId="77777777" w:rsidR="00242AAB" w:rsidRPr="004B4BB0" w:rsidRDefault="00242AAB" w:rsidP="008E29A6">
            <w:pPr>
              <w:jc w:val="center"/>
              <w:rPr>
                <w:sz w:val="18"/>
                <w:szCs w:val="18"/>
                <w:rtl/>
              </w:rPr>
            </w:pPr>
            <w:r w:rsidRPr="004B4BB0">
              <w:rPr>
                <w:sz w:val="18"/>
                <w:szCs w:val="18"/>
              </w:rPr>
              <w:t>Partially Damaged</w:t>
            </w:r>
          </w:p>
        </w:tc>
        <w:tc>
          <w:tcPr>
            <w:tcW w:w="1110" w:type="dxa"/>
            <w:tcBorders>
              <w:top w:val="single" w:sz="4" w:space="0" w:color="auto"/>
              <w:left w:val="single" w:sz="4" w:space="0" w:color="auto"/>
              <w:bottom w:val="single" w:sz="4" w:space="0" w:color="auto"/>
              <w:right w:val="single" w:sz="4" w:space="0" w:color="auto"/>
            </w:tcBorders>
          </w:tcPr>
          <w:p w14:paraId="542CE1B0" w14:textId="77777777" w:rsidR="00242AAB" w:rsidRPr="004B4BB0" w:rsidRDefault="00242AAB" w:rsidP="008E29A6">
            <w:pPr>
              <w:jc w:val="center"/>
              <w:rPr>
                <w:sz w:val="18"/>
                <w:szCs w:val="18"/>
                <w:rtl/>
              </w:rPr>
            </w:pPr>
            <w:r w:rsidRPr="004B4BB0">
              <w:rPr>
                <w:sz w:val="18"/>
                <w:szCs w:val="18"/>
              </w:rPr>
              <w:t>Completely Damaged</w:t>
            </w:r>
          </w:p>
        </w:tc>
        <w:tc>
          <w:tcPr>
            <w:tcW w:w="2155" w:type="dxa"/>
            <w:vMerge/>
            <w:tcBorders>
              <w:top w:val="single" w:sz="4" w:space="0" w:color="auto"/>
              <w:left w:val="single" w:sz="4" w:space="0" w:color="auto"/>
              <w:bottom w:val="single" w:sz="4" w:space="0" w:color="auto"/>
            </w:tcBorders>
          </w:tcPr>
          <w:p w14:paraId="58DB0A42" w14:textId="77777777" w:rsidR="00242AAB" w:rsidRPr="004B4BB0" w:rsidRDefault="00242AAB" w:rsidP="008E29A6">
            <w:pPr>
              <w:jc w:val="center"/>
              <w:rPr>
                <w:b/>
                <w:bCs/>
                <w:sz w:val="18"/>
                <w:szCs w:val="18"/>
                <w:rtl/>
              </w:rPr>
            </w:pPr>
          </w:p>
        </w:tc>
      </w:tr>
      <w:tr w:rsidR="004B4BB0" w:rsidRPr="004B4BB0" w14:paraId="376A82E9" w14:textId="77777777" w:rsidTr="005E6CAC">
        <w:trPr>
          <w:trHeight w:hRule="exact" w:val="298"/>
          <w:jc w:val="center"/>
        </w:trPr>
        <w:tc>
          <w:tcPr>
            <w:tcW w:w="1511" w:type="dxa"/>
            <w:tcBorders>
              <w:top w:val="single" w:sz="4" w:space="0" w:color="auto"/>
              <w:bottom w:val="single" w:sz="4" w:space="0" w:color="auto"/>
              <w:right w:val="single" w:sz="4" w:space="0" w:color="auto"/>
            </w:tcBorders>
          </w:tcPr>
          <w:p w14:paraId="42EDC5B1" w14:textId="77777777" w:rsidR="00242AAB" w:rsidRPr="004B4BB0" w:rsidRDefault="00242AAB" w:rsidP="008E29A6">
            <w:pPr>
              <w:jc w:val="center"/>
              <w:rPr>
                <w:sz w:val="18"/>
                <w:szCs w:val="18"/>
              </w:rPr>
            </w:pPr>
            <w:r w:rsidRPr="004B4BB0">
              <w:rPr>
                <w:sz w:val="18"/>
                <w:szCs w:val="18"/>
              </w:rPr>
              <w:t>110,500</w:t>
            </w:r>
          </w:p>
        </w:tc>
        <w:tc>
          <w:tcPr>
            <w:tcW w:w="1110" w:type="dxa"/>
            <w:tcBorders>
              <w:top w:val="single" w:sz="4" w:space="0" w:color="auto"/>
              <w:left w:val="single" w:sz="4" w:space="0" w:color="auto"/>
              <w:bottom w:val="single" w:sz="4" w:space="0" w:color="auto"/>
              <w:right w:val="single" w:sz="4" w:space="0" w:color="auto"/>
            </w:tcBorders>
          </w:tcPr>
          <w:p w14:paraId="36C5FA35" w14:textId="77777777" w:rsidR="00242AAB" w:rsidRPr="004B4BB0" w:rsidRDefault="00242AAB" w:rsidP="008E29A6">
            <w:pPr>
              <w:jc w:val="center"/>
              <w:rPr>
                <w:sz w:val="18"/>
                <w:szCs w:val="18"/>
              </w:rPr>
            </w:pPr>
            <w:r w:rsidRPr="004B4BB0">
              <w:rPr>
                <w:rFonts w:hint="cs"/>
                <w:sz w:val="18"/>
                <w:szCs w:val="18"/>
                <w:rtl/>
              </w:rPr>
              <w:t>68,918</w:t>
            </w:r>
          </w:p>
        </w:tc>
        <w:tc>
          <w:tcPr>
            <w:tcW w:w="2155" w:type="dxa"/>
            <w:tcBorders>
              <w:top w:val="single" w:sz="4" w:space="0" w:color="auto"/>
              <w:left w:val="single" w:sz="4" w:space="0" w:color="auto"/>
              <w:bottom w:val="single" w:sz="4" w:space="0" w:color="auto"/>
            </w:tcBorders>
          </w:tcPr>
          <w:p w14:paraId="641C941A" w14:textId="77777777" w:rsidR="00242AAB" w:rsidRPr="004B4BB0" w:rsidRDefault="00242AAB" w:rsidP="008E29A6">
            <w:pPr>
              <w:jc w:val="right"/>
              <w:rPr>
                <w:b/>
                <w:bCs/>
                <w:sz w:val="18"/>
                <w:szCs w:val="18"/>
                <w:rtl/>
              </w:rPr>
            </w:pPr>
            <w:r w:rsidRPr="004B4BB0">
              <w:rPr>
                <w:sz w:val="18"/>
                <w:szCs w:val="18"/>
              </w:rPr>
              <w:t>Buildings</w:t>
            </w:r>
          </w:p>
        </w:tc>
      </w:tr>
      <w:tr w:rsidR="004B4BB0" w:rsidRPr="004B4BB0" w14:paraId="7D97A772" w14:textId="77777777" w:rsidTr="005E6CAC">
        <w:trPr>
          <w:trHeight w:hRule="exact" w:val="262"/>
          <w:jc w:val="center"/>
        </w:trPr>
        <w:tc>
          <w:tcPr>
            <w:tcW w:w="1511" w:type="dxa"/>
            <w:tcBorders>
              <w:top w:val="single" w:sz="4" w:space="0" w:color="auto"/>
              <w:bottom w:val="single" w:sz="4" w:space="0" w:color="auto"/>
              <w:right w:val="single" w:sz="4" w:space="0" w:color="auto"/>
            </w:tcBorders>
          </w:tcPr>
          <w:p w14:paraId="0C2CF9D7" w14:textId="77777777" w:rsidR="00242AAB" w:rsidRPr="004B4BB0" w:rsidRDefault="00242AAB" w:rsidP="008E29A6">
            <w:pPr>
              <w:jc w:val="center"/>
              <w:rPr>
                <w:sz w:val="18"/>
                <w:szCs w:val="18"/>
                <w:rtl/>
              </w:rPr>
            </w:pPr>
            <w:r w:rsidRPr="004B4BB0">
              <w:rPr>
                <w:sz w:val="18"/>
                <w:szCs w:val="18"/>
              </w:rPr>
              <w:t>364</w:t>
            </w:r>
          </w:p>
        </w:tc>
        <w:tc>
          <w:tcPr>
            <w:tcW w:w="1110" w:type="dxa"/>
            <w:tcBorders>
              <w:top w:val="single" w:sz="4" w:space="0" w:color="auto"/>
              <w:left w:val="single" w:sz="4" w:space="0" w:color="auto"/>
              <w:bottom w:val="single" w:sz="4" w:space="0" w:color="auto"/>
              <w:right w:val="single" w:sz="4" w:space="0" w:color="auto"/>
            </w:tcBorders>
          </w:tcPr>
          <w:p w14:paraId="347974BD" w14:textId="77777777" w:rsidR="00242AAB" w:rsidRPr="004B4BB0" w:rsidRDefault="00242AAB" w:rsidP="008E29A6">
            <w:pPr>
              <w:jc w:val="center"/>
              <w:rPr>
                <w:sz w:val="18"/>
                <w:szCs w:val="18"/>
                <w:rtl/>
              </w:rPr>
            </w:pPr>
            <w:r w:rsidRPr="004B4BB0">
              <w:rPr>
                <w:rFonts w:hint="cs"/>
                <w:sz w:val="18"/>
                <w:szCs w:val="18"/>
                <w:rtl/>
              </w:rPr>
              <w:t>142</w:t>
            </w:r>
          </w:p>
        </w:tc>
        <w:tc>
          <w:tcPr>
            <w:tcW w:w="2155" w:type="dxa"/>
            <w:tcBorders>
              <w:top w:val="single" w:sz="4" w:space="0" w:color="auto"/>
              <w:left w:val="single" w:sz="4" w:space="0" w:color="auto"/>
              <w:bottom w:val="single" w:sz="4" w:space="0" w:color="auto"/>
            </w:tcBorders>
          </w:tcPr>
          <w:p w14:paraId="32804303" w14:textId="77777777" w:rsidR="00242AAB" w:rsidRPr="004B4BB0" w:rsidRDefault="00242AAB" w:rsidP="008E29A6">
            <w:pPr>
              <w:jc w:val="right"/>
              <w:rPr>
                <w:sz w:val="18"/>
                <w:szCs w:val="18"/>
                <w:rtl/>
              </w:rPr>
            </w:pPr>
            <w:r w:rsidRPr="004B4BB0">
              <w:rPr>
                <w:sz w:val="18"/>
                <w:szCs w:val="18"/>
              </w:rPr>
              <w:t>Schools &amp; Universities</w:t>
            </w:r>
          </w:p>
        </w:tc>
      </w:tr>
      <w:tr w:rsidR="004B4BB0" w:rsidRPr="004B4BB0" w14:paraId="16A3DA3D" w14:textId="77777777" w:rsidTr="005E6CAC">
        <w:trPr>
          <w:trHeight w:hRule="exact" w:val="331"/>
          <w:jc w:val="center"/>
        </w:trPr>
        <w:tc>
          <w:tcPr>
            <w:tcW w:w="1511" w:type="dxa"/>
            <w:tcBorders>
              <w:top w:val="single" w:sz="4" w:space="0" w:color="auto"/>
              <w:bottom w:val="single" w:sz="4" w:space="0" w:color="auto"/>
              <w:right w:val="single" w:sz="4" w:space="0" w:color="auto"/>
            </w:tcBorders>
          </w:tcPr>
          <w:p w14:paraId="3DFFCD0E" w14:textId="77777777" w:rsidR="00242AAB" w:rsidRPr="004B4BB0" w:rsidRDefault="00242AAB" w:rsidP="008E29A6">
            <w:pPr>
              <w:jc w:val="center"/>
              <w:rPr>
                <w:sz w:val="18"/>
                <w:szCs w:val="18"/>
                <w:rtl/>
              </w:rPr>
            </w:pPr>
          </w:p>
        </w:tc>
        <w:tc>
          <w:tcPr>
            <w:tcW w:w="1110" w:type="dxa"/>
            <w:tcBorders>
              <w:top w:val="single" w:sz="4" w:space="0" w:color="auto"/>
              <w:left w:val="single" w:sz="4" w:space="0" w:color="auto"/>
              <w:bottom w:val="single" w:sz="4" w:space="0" w:color="auto"/>
              <w:right w:val="single" w:sz="4" w:space="0" w:color="auto"/>
            </w:tcBorders>
          </w:tcPr>
          <w:p w14:paraId="196A69AE" w14:textId="77777777" w:rsidR="00242AAB" w:rsidRPr="004B4BB0" w:rsidRDefault="00242AAB" w:rsidP="008E29A6">
            <w:pPr>
              <w:jc w:val="center"/>
              <w:rPr>
                <w:sz w:val="18"/>
                <w:szCs w:val="18"/>
                <w:rtl/>
              </w:rPr>
            </w:pPr>
            <w:r w:rsidRPr="004B4BB0">
              <w:rPr>
                <w:rFonts w:hint="cs"/>
                <w:sz w:val="18"/>
                <w:szCs w:val="18"/>
                <w:rtl/>
              </w:rPr>
              <w:t>828</w:t>
            </w:r>
          </w:p>
        </w:tc>
        <w:tc>
          <w:tcPr>
            <w:tcW w:w="2155" w:type="dxa"/>
            <w:tcBorders>
              <w:top w:val="single" w:sz="4" w:space="0" w:color="auto"/>
              <w:left w:val="single" w:sz="4" w:space="0" w:color="auto"/>
              <w:bottom w:val="single" w:sz="4" w:space="0" w:color="auto"/>
            </w:tcBorders>
          </w:tcPr>
          <w:p w14:paraId="2264F8A7" w14:textId="77777777" w:rsidR="00242AAB" w:rsidRPr="004B4BB0" w:rsidRDefault="00242AAB" w:rsidP="008E29A6">
            <w:pPr>
              <w:jc w:val="right"/>
              <w:rPr>
                <w:sz w:val="18"/>
                <w:szCs w:val="18"/>
                <w:rtl/>
              </w:rPr>
            </w:pPr>
            <w:r w:rsidRPr="004B4BB0">
              <w:rPr>
                <w:sz w:val="18"/>
                <w:szCs w:val="18"/>
              </w:rPr>
              <w:t>Mosques</w:t>
            </w:r>
          </w:p>
        </w:tc>
      </w:tr>
      <w:tr w:rsidR="004B4BB0" w:rsidRPr="004B4BB0" w14:paraId="209A9DC2" w14:textId="77777777" w:rsidTr="005E6CAC">
        <w:trPr>
          <w:trHeight w:hRule="exact" w:val="298"/>
          <w:jc w:val="center"/>
        </w:trPr>
        <w:tc>
          <w:tcPr>
            <w:tcW w:w="1511" w:type="dxa"/>
            <w:tcBorders>
              <w:top w:val="single" w:sz="4" w:space="0" w:color="auto"/>
              <w:bottom w:val="single" w:sz="4" w:space="0" w:color="auto"/>
              <w:right w:val="single" w:sz="4" w:space="0" w:color="auto"/>
            </w:tcBorders>
          </w:tcPr>
          <w:p w14:paraId="26F81926" w14:textId="77777777" w:rsidR="00242AAB" w:rsidRPr="004B4BB0" w:rsidRDefault="00242AAB" w:rsidP="008E29A6">
            <w:pPr>
              <w:jc w:val="center"/>
              <w:rPr>
                <w:sz w:val="18"/>
                <w:szCs w:val="18"/>
                <w:rtl/>
              </w:rPr>
            </w:pPr>
          </w:p>
        </w:tc>
        <w:tc>
          <w:tcPr>
            <w:tcW w:w="1110" w:type="dxa"/>
            <w:tcBorders>
              <w:top w:val="single" w:sz="4" w:space="0" w:color="auto"/>
              <w:left w:val="single" w:sz="4" w:space="0" w:color="auto"/>
              <w:bottom w:val="single" w:sz="4" w:space="0" w:color="auto"/>
              <w:right w:val="single" w:sz="4" w:space="0" w:color="auto"/>
            </w:tcBorders>
          </w:tcPr>
          <w:p w14:paraId="16E9891E" w14:textId="77777777" w:rsidR="00242AAB" w:rsidRPr="004B4BB0" w:rsidRDefault="00242AAB" w:rsidP="008E29A6">
            <w:pPr>
              <w:jc w:val="center"/>
              <w:rPr>
                <w:sz w:val="18"/>
                <w:szCs w:val="18"/>
                <w:rtl/>
              </w:rPr>
            </w:pPr>
            <w:r w:rsidRPr="004B4BB0">
              <w:rPr>
                <w:rFonts w:hint="cs"/>
                <w:sz w:val="18"/>
                <w:szCs w:val="18"/>
                <w:rtl/>
              </w:rPr>
              <w:t>3</w:t>
            </w:r>
          </w:p>
        </w:tc>
        <w:tc>
          <w:tcPr>
            <w:tcW w:w="2155" w:type="dxa"/>
            <w:tcBorders>
              <w:top w:val="single" w:sz="4" w:space="0" w:color="auto"/>
              <w:left w:val="single" w:sz="4" w:space="0" w:color="auto"/>
              <w:bottom w:val="single" w:sz="4" w:space="0" w:color="auto"/>
            </w:tcBorders>
          </w:tcPr>
          <w:p w14:paraId="183E1439" w14:textId="77777777" w:rsidR="00242AAB" w:rsidRPr="004B4BB0" w:rsidRDefault="00242AAB" w:rsidP="008E29A6">
            <w:pPr>
              <w:jc w:val="right"/>
              <w:rPr>
                <w:sz w:val="18"/>
                <w:szCs w:val="18"/>
                <w:rtl/>
              </w:rPr>
            </w:pPr>
            <w:r w:rsidRPr="004B4BB0">
              <w:rPr>
                <w:sz w:val="18"/>
                <w:szCs w:val="18"/>
              </w:rPr>
              <w:t>Churches</w:t>
            </w:r>
          </w:p>
        </w:tc>
      </w:tr>
      <w:tr w:rsidR="004B4BB0" w:rsidRPr="004B4BB0" w14:paraId="356F17DC" w14:textId="77777777" w:rsidTr="005E6CAC">
        <w:trPr>
          <w:trHeight w:hRule="exact" w:val="225"/>
          <w:jc w:val="center"/>
        </w:trPr>
        <w:tc>
          <w:tcPr>
            <w:tcW w:w="1511" w:type="dxa"/>
            <w:tcBorders>
              <w:top w:val="single" w:sz="4" w:space="0" w:color="auto"/>
              <w:bottom w:val="single" w:sz="4" w:space="0" w:color="auto"/>
              <w:right w:val="single" w:sz="4" w:space="0" w:color="auto"/>
            </w:tcBorders>
          </w:tcPr>
          <w:p w14:paraId="66A2E727" w14:textId="77777777" w:rsidR="00242AAB" w:rsidRPr="004B4BB0" w:rsidRDefault="00242AAB" w:rsidP="008E29A6">
            <w:pPr>
              <w:jc w:val="center"/>
              <w:rPr>
                <w:sz w:val="18"/>
                <w:szCs w:val="18"/>
                <w:rtl/>
              </w:rPr>
            </w:pPr>
          </w:p>
        </w:tc>
        <w:tc>
          <w:tcPr>
            <w:tcW w:w="1110" w:type="dxa"/>
            <w:tcBorders>
              <w:top w:val="single" w:sz="4" w:space="0" w:color="auto"/>
              <w:left w:val="single" w:sz="4" w:space="0" w:color="auto"/>
              <w:bottom w:val="single" w:sz="4" w:space="0" w:color="auto"/>
              <w:right w:val="single" w:sz="4" w:space="0" w:color="auto"/>
            </w:tcBorders>
          </w:tcPr>
          <w:p w14:paraId="128AAE8B" w14:textId="77777777" w:rsidR="00242AAB" w:rsidRPr="004B4BB0" w:rsidRDefault="00242AAB" w:rsidP="008E29A6">
            <w:pPr>
              <w:jc w:val="center"/>
              <w:rPr>
                <w:sz w:val="18"/>
                <w:szCs w:val="18"/>
                <w:rtl/>
              </w:rPr>
            </w:pPr>
            <w:r w:rsidRPr="004B4BB0">
              <w:rPr>
                <w:rFonts w:hint="cs"/>
                <w:sz w:val="18"/>
                <w:szCs w:val="18"/>
                <w:rtl/>
              </w:rPr>
              <w:t>224</w:t>
            </w:r>
          </w:p>
        </w:tc>
        <w:tc>
          <w:tcPr>
            <w:tcW w:w="2155" w:type="dxa"/>
            <w:tcBorders>
              <w:top w:val="single" w:sz="4" w:space="0" w:color="auto"/>
              <w:left w:val="single" w:sz="4" w:space="0" w:color="auto"/>
              <w:bottom w:val="single" w:sz="4" w:space="0" w:color="auto"/>
            </w:tcBorders>
          </w:tcPr>
          <w:p w14:paraId="6D56C922" w14:textId="77777777" w:rsidR="00242AAB" w:rsidRPr="004B4BB0" w:rsidRDefault="00242AAB" w:rsidP="008E29A6">
            <w:pPr>
              <w:jc w:val="right"/>
              <w:rPr>
                <w:sz w:val="18"/>
                <w:szCs w:val="18"/>
                <w:rtl/>
              </w:rPr>
            </w:pPr>
            <w:r w:rsidRPr="004B4BB0">
              <w:rPr>
                <w:sz w:val="18"/>
                <w:szCs w:val="18"/>
              </w:rPr>
              <w:t>Government Headquarters</w:t>
            </w:r>
          </w:p>
        </w:tc>
      </w:tr>
    </w:tbl>
    <w:p w14:paraId="75EA112C" w14:textId="77777777" w:rsidR="005E6CAC" w:rsidRDefault="005E6CAC" w:rsidP="00242AAB">
      <w:pPr>
        <w:bidi w:val="0"/>
        <w:jc w:val="both"/>
        <w:rPr>
          <w:rFonts w:asciiTheme="majorBidi" w:hAnsiTheme="majorBidi" w:cstheme="majorBidi"/>
          <w:sz w:val="22"/>
          <w:szCs w:val="22"/>
          <w:rtl/>
        </w:rPr>
      </w:pPr>
    </w:p>
    <w:p w14:paraId="68F2078B" w14:textId="47ADE9AB" w:rsidR="00242AAB" w:rsidRPr="005E6CAC" w:rsidRDefault="00242AAB" w:rsidP="005E6CAC">
      <w:pPr>
        <w:bidi w:val="0"/>
        <w:jc w:val="both"/>
        <w:rPr>
          <w:rFonts w:asciiTheme="majorBidi" w:hAnsiTheme="majorBidi" w:cstheme="majorBidi"/>
          <w:sz w:val="26"/>
          <w:szCs w:val="26"/>
        </w:rPr>
      </w:pPr>
      <w:r w:rsidRPr="005E6CAC">
        <w:rPr>
          <w:rFonts w:asciiTheme="majorBidi" w:hAnsiTheme="majorBidi" w:cstheme="majorBidi"/>
          <w:sz w:val="26"/>
          <w:szCs w:val="26"/>
        </w:rPr>
        <w:t xml:space="preserve">Since the beginning of 2025, the Israeli occupation authorities have been demolishing </w:t>
      </w:r>
      <w:r w:rsidRPr="005E6CAC">
        <w:rPr>
          <w:rFonts w:asciiTheme="majorBidi" w:hAnsiTheme="majorBidi" w:cstheme="majorBidi" w:hint="cs"/>
          <w:sz w:val="26"/>
          <w:szCs w:val="26"/>
          <w:rtl/>
        </w:rPr>
        <w:t>651</w:t>
      </w:r>
      <w:r w:rsidRPr="005E6CAC">
        <w:rPr>
          <w:rFonts w:asciiTheme="majorBidi" w:hAnsiTheme="majorBidi" w:cstheme="majorBidi"/>
          <w:sz w:val="26"/>
          <w:szCs w:val="26"/>
        </w:rPr>
        <w:t xml:space="preserve"> buildings.  They have also issued hundreds of demolition orders against Palestinian facilities under the pretext of lacking permits. The Israeli occupation authorities are demolishing dozens of buildings in Palestinian camps, displacing tens of thousands of their residents as part of the policy of displacing the Palestinian people. </w:t>
      </w:r>
    </w:p>
    <w:p w14:paraId="2005E2A6" w14:textId="77777777" w:rsidR="00242AAB" w:rsidRPr="005E6CAC" w:rsidRDefault="00242AAB" w:rsidP="00242AAB">
      <w:pPr>
        <w:bidi w:val="0"/>
        <w:jc w:val="both"/>
        <w:rPr>
          <w:rFonts w:asciiTheme="majorBidi" w:hAnsiTheme="majorBidi" w:cstheme="majorBidi"/>
          <w:sz w:val="26"/>
          <w:szCs w:val="26"/>
        </w:rPr>
      </w:pPr>
    </w:p>
    <w:p w14:paraId="5ECC870C" w14:textId="542AD10F" w:rsidR="00F4338D" w:rsidRPr="005E6CAC" w:rsidRDefault="00F4338D" w:rsidP="000E29ED">
      <w:pPr>
        <w:pStyle w:val="BodyTextIndent"/>
        <w:ind w:left="0"/>
        <w:jc w:val="center"/>
        <w:rPr>
          <w:b/>
          <w:bCs/>
          <w:sz w:val="28"/>
          <w:szCs w:val="28"/>
        </w:rPr>
      </w:pPr>
      <w:r w:rsidRPr="005E6CAC">
        <w:rPr>
          <w:b/>
          <w:bCs/>
          <w:sz w:val="28"/>
          <w:szCs w:val="28"/>
        </w:rPr>
        <w:t>Israeli Settlements: Continuous Expansion</w:t>
      </w:r>
    </w:p>
    <w:p w14:paraId="6765C521" w14:textId="470F3157" w:rsidR="00F4338D" w:rsidRPr="005E6CAC" w:rsidRDefault="00F4338D" w:rsidP="009B61AA">
      <w:pPr>
        <w:pStyle w:val="BodyTextIndent2"/>
        <w:ind w:left="0"/>
        <w:jc w:val="lowKashida"/>
        <w:rPr>
          <w:sz w:val="26"/>
          <w:szCs w:val="26"/>
        </w:rPr>
      </w:pPr>
      <w:r w:rsidRPr="005E6CAC">
        <w:rPr>
          <w:sz w:val="26"/>
          <w:szCs w:val="26"/>
        </w:rPr>
        <w:t xml:space="preserve">By the end of 2024, there were 551 Israeli occupation sites and military bases in the West Bank, including 151 settlements and 256 settlement outposts, of them 29 inhabited outposts that </w:t>
      </w:r>
      <w:proofErr w:type="gramStart"/>
      <w:r w:rsidRPr="005E6CAC">
        <w:rPr>
          <w:sz w:val="26"/>
          <w:szCs w:val="26"/>
        </w:rPr>
        <w:t>were considered</w:t>
      </w:r>
      <w:proofErr w:type="gramEnd"/>
      <w:r w:rsidRPr="005E6CAC">
        <w:rPr>
          <w:sz w:val="26"/>
          <w:szCs w:val="26"/>
        </w:rPr>
        <w:t xml:space="preserve"> as neighborhoods following established settlements, in addition to 144 classified as other sites (industrial, tourists, service areas and Israeli army bases). In 2024, there was a significant increase in the pace of construction and expansion of the Israeli settlements, as the occupation authorities approved several colonial master plans to build more than 13,000 housing units throughout the West Bank, including Jerusalem, by seizing approximately 11,888 dunums of </w:t>
      </w:r>
      <w:r w:rsidR="00532AE9" w:rsidRPr="005E6CAC">
        <w:rPr>
          <w:sz w:val="26"/>
          <w:szCs w:val="26"/>
        </w:rPr>
        <w:t xml:space="preserve">the </w:t>
      </w:r>
      <w:r w:rsidRPr="005E6CAC">
        <w:rPr>
          <w:sz w:val="26"/>
          <w:szCs w:val="26"/>
        </w:rPr>
        <w:t>Palestinian land</w:t>
      </w:r>
      <w:r w:rsidR="00532AE9" w:rsidRPr="005E6CAC">
        <w:rPr>
          <w:sz w:val="26"/>
          <w:szCs w:val="26"/>
        </w:rPr>
        <w:t>s</w:t>
      </w:r>
      <w:r w:rsidRPr="005E6CAC">
        <w:rPr>
          <w:sz w:val="26"/>
          <w:szCs w:val="26"/>
        </w:rPr>
        <w:t>.</w:t>
      </w:r>
    </w:p>
    <w:p w14:paraId="464860CC" w14:textId="77777777" w:rsidR="00F4338D" w:rsidRPr="005E6CAC" w:rsidRDefault="00F4338D" w:rsidP="00F4338D">
      <w:pPr>
        <w:pStyle w:val="BodyTextIndent2"/>
        <w:ind w:left="0"/>
        <w:jc w:val="lowKashida"/>
        <w:rPr>
          <w:sz w:val="26"/>
          <w:szCs w:val="26"/>
        </w:rPr>
      </w:pPr>
    </w:p>
    <w:p w14:paraId="61B65BD5" w14:textId="2CE4BE02" w:rsidR="00F4338D" w:rsidRPr="005E6CAC" w:rsidRDefault="00F4338D" w:rsidP="00532AE9">
      <w:pPr>
        <w:pStyle w:val="BodyTextIndent2"/>
        <w:ind w:left="0"/>
        <w:jc w:val="lowKashida"/>
        <w:rPr>
          <w:sz w:val="26"/>
          <w:szCs w:val="26"/>
        </w:rPr>
      </w:pPr>
      <w:r w:rsidRPr="005E6CAC">
        <w:rPr>
          <w:sz w:val="26"/>
          <w:szCs w:val="26"/>
        </w:rPr>
        <w:t>As for the number of settlers in the West Bank, it reached 770,420 settlers by the end of 202</w:t>
      </w:r>
      <w:r w:rsidR="00623A18" w:rsidRPr="005E6CAC">
        <w:rPr>
          <w:sz w:val="26"/>
          <w:szCs w:val="26"/>
        </w:rPr>
        <w:t>3</w:t>
      </w:r>
      <w:r w:rsidRPr="005E6CAC">
        <w:rPr>
          <w:sz w:val="26"/>
          <w:szCs w:val="26"/>
        </w:rPr>
        <w:t>. Accordingly, data show that around 43.7% of settlers live in Jerusalem Governorate, where their number reached about 336,304 settlers; out of whom 240,516 settlers live in East Jerusalem (J1) “includes those parts of Jerusalem which were annexed by the Israeli occupation in 1967” followed by Ramallah and Al-Bireh Governorate with 154,224 settlers, 107,068 settlers in Bethlehem Governorate, and 56,777 settlers in Salfit Governorate. While Tubas &amp; the Northern Valleys Governorate has the lowest number of settlers</w:t>
      </w:r>
      <w:r w:rsidR="00532AE9" w:rsidRPr="005E6CAC">
        <w:rPr>
          <w:sz w:val="26"/>
          <w:szCs w:val="26"/>
        </w:rPr>
        <w:t>,</w:t>
      </w:r>
      <w:r w:rsidRPr="005E6CAC">
        <w:rPr>
          <w:sz w:val="26"/>
          <w:szCs w:val="26"/>
        </w:rPr>
        <w:t xml:space="preserve"> reach</w:t>
      </w:r>
      <w:r w:rsidR="00532AE9" w:rsidRPr="005E6CAC">
        <w:rPr>
          <w:sz w:val="26"/>
          <w:szCs w:val="26"/>
        </w:rPr>
        <w:t>ing</w:t>
      </w:r>
      <w:r w:rsidRPr="005E6CAC">
        <w:rPr>
          <w:sz w:val="26"/>
          <w:szCs w:val="26"/>
        </w:rPr>
        <w:t xml:space="preserve"> 3,004 settlers.</w:t>
      </w:r>
    </w:p>
    <w:p w14:paraId="2BEDDF89" w14:textId="77777777" w:rsidR="00F4338D" w:rsidRPr="005E6CAC" w:rsidRDefault="00F4338D" w:rsidP="00F4338D">
      <w:pPr>
        <w:pStyle w:val="BodyTextIndent2"/>
        <w:ind w:left="0"/>
        <w:jc w:val="lowKashida"/>
        <w:rPr>
          <w:sz w:val="26"/>
          <w:szCs w:val="26"/>
        </w:rPr>
      </w:pPr>
    </w:p>
    <w:p w14:paraId="5FA5467C" w14:textId="77777777" w:rsidR="00F4338D" w:rsidRPr="005E6CAC" w:rsidRDefault="00F4338D" w:rsidP="00F4338D">
      <w:pPr>
        <w:pStyle w:val="BodyTextIndent2"/>
        <w:ind w:left="0"/>
        <w:jc w:val="lowKashida"/>
        <w:rPr>
          <w:sz w:val="26"/>
          <w:szCs w:val="26"/>
        </w:rPr>
      </w:pPr>
      <w:r w:rsidRPr="005E6CAC">
        <w:rPr>
          <w:sz w:val="26"/>
          <w:szCs w:val="26"/>
        </w:rPr>
        <w:t>In regards to demographics, the proportion of the settlers to the Palestinian population in the West Bank is about 23.4 settlers per 100 Palestinians. It was the highest in Jerusalem Governorate, where there were 67.6 settlers per 100 Palestinians.</w:t>
      </w:r>
      <w:r w:rsidRPr="005E6CAC">
        <w:rPr>
          <w:rFonts w:hint="cs"/>
          <w:sz w:val="26"/>
          <w:szCs w:val="26"/>
          <w:rtl/>
        </w:rPr>
        <w:t xml:space="preserve"> </w:t>
      </w:r>
    </w:p>
    <w:p w14:paraId="720C14BD" w14:textId="0E4326DF" w:rsidR="003D6367" w:rsidRPr="005E6CAC" w:rsidRDefault="00455295" w:rsidP="00FA74DA">
      <w:pPr>
        <w:pStyle w:val="BodyText"/>
        <w:tabs>
          <w:tab w:val="left" w:pos="3882"/>
        </w:tabs>
        <w:jc w:val="lowKashida"/>
        <w:rPr>
          <w:rStyle w:val="shorttext"/>
          <w:rFonts w:asciiTheme="majorBidi" w:hAnsiTheme="majorBidi" w:cstheme="majorBidi"/>
          <w:b/>
          <w:bCs/>
          <w:sz w:val="26"/>
          <w:szCs w:val="26"/>
        </w:rPr>
      </w:pPr>
      <w:r w:rsidRPr="005E6CAC">
        <w:rPr>
          <w:rStyle w:val="shorttext"/>
          <w:rFonts w:asciiTheme="majorBidi" w:hAnsiTheme="majorBidi" w:cstheme="majorBidi"/>
          <w:b/>
          <w:bCs/>
          <w:sz w:val="26"/>
          <w:szCs w:val="26"/>
        </w:rPr>
        <w:tab/>
      </w:r>
    </w:p>
    <w:p w14:paraId="02A29124" w14:textId="5E6F61E9" w:rsidR="00BC1FB8" w:rsidRPr="005E6CAC" w:rsidRDefault="00BC1FB8" w:rsidP="003D6367">
      <w:pPr>
        <w:pStyle w:val="BodyText"/>
        <w:bidi w:val="0"/>
        <w:spacing w:after="0"/>
        <w:jc w:val="center"/>
        <w:rPr>
          <w:rStyle w:val="shorttext"/>
          <w:rFonts w:asciiTheme="majorBidi" w:hAnsiTheme="majorBidi" w:cstheme="majorBidi"/>
          <w:b/>
          <w:bCs/>
          <w:sz w:val="28"/>
          <w:szCs w:val="28"/>
        </w:rPr>
      </w:pPr>
      <w:r w:rsidRPr="005E6CAC">
        <w:rPr>
          <w:rStyle w:val="shorttext"/>
          <w:rFonts w:asciiTheme="majorBidi" w:hAnsiTheme="majorBidi" w:cstheme="majorBidi"/>
          <w:b/>
          <w:bCs/>
          <w:sz w:val="28"/>
          <w:szCs w:val="28"/>
        </w:rPr>
        <w:t>Continuous Confiscation of Land</w:t>
      </w:r>
    </w:p>
    <w:p w14:paraId="31A6BF90" w14:textId="0EC4BD57" w:rsidR="00BC1FB8" w:rsidRPr="005E6CAC" w:rsidRDefault="00B70D0D" w:rsidP="00E03FD5">
      <w:pPr>
        <w:pStyle w:val="BodyTextIndent"/>
        <w:ind w:left="0"/>
        <w:rPr>
          <w:sz w:val="26"/>
          <w:szCs w:val="26"/>
        </w:rPr>
      </w:pPr>
      <w:r w:rsidRPr="005E6CAC">
        <w:rPr>
          <w:sz w:val="26"/>
          <w:szCs w:val="26"/>
        </w:rPr>
        <w:t xml:space="preserve">The Israeli occupation is still imposing its control over more Palestinian lands in the West Bank under various pretexts and names, as the confiscated areas during 2024 </w:t>
      </w:r>
      <w:r w:rsidR="0042455D" w:rsidRPr="005E6CAC">
        <w:rPr>
          <w:sz w:val="26"/>
          <w:szCs w:val="26"/>
        </w:rPr>
        <w:t xml:space="preserve">reached </w:t>
      </w:r>
      <w:r w:rsidRPr="005E6CAC">
        <w:rPr>
          <w:sz w:val="26"/>
          <w:szCs w:val="26"/>
        </w:rPr>
        <w:t>more than (46</w:t>
      </w:r>
      <w:r w:rsidR="00E03FD5" w:rsidRPr="005E6CAC">
        <w:rPr>
          <w:sz w:val="26"/>
          <w:szCs w:val="26"/>
        </w:rPr>
        <w:t xml:space="preserve"> thousand</w:t>
      </w:r>
      <w:r w:rsidRPr="005E6CAC">
        <w:rPr>
          <w:sz w:val="26"/>
          <w:szCs w:val="26"/>
        </w:rPr>
        <w:t xml:space="preserve">) dunums. During 2024, 35 sequestration orders </w:t>
      </w:r>
      <w:proofErr w:type="gramStart"/>
      <w:r w:rsidRPr="005E6CAC">
        <w:rPr>
          <w:sz w:val="26"/>
          <w:szCs w:val="26"/>
        </w:rPr>
        <w:t>were issued</w:t>
      </w:r>
      <w:proofErr w:type="gramEnd"/>
      <w:r w:rsidRPr="005E6CAC">
        <w:rPr>
          <w:sz w:val="26"/>
          <w:szCs w:val="26"/>
        </w:rPr>
        <w:t xml:space="preserve"> regarding about 1,073 dunums, 5 expropriation orders for approximately 803 dunums, 9 orders declaring state land for approximately 24,597 dunums, in addition to 6 orders amending the boundaries of natural reserves through which 20</w:t>
      </w:r>
      <w:r w:rsidR="00E03FD5" w:rsidRPr="005E6CAC">
        <w:rPr>
          <w:sz w:val="26"/>
          <w:szCs w:val="26"/>
        </w:rPr>
        <w:t xml:space="preserve"> thousand </w:t>
      </w:r>
      <w:r w:rsidRPr="005E6CAC">
        <w:rPr>
          <w:sz w:val="26"/>
          <w:szCs w:val="26"/>
        </w:rPr>
        <w:t xml:space="preserve">dunums were confiscated. All of such were part of the systematic and ongoing policy to </w:t>
      </w:r>
      <w:r w:rsidRPr="005E6CAC">
        <w:rPr>
          <w:sz w:val="26"/>
          <w:szCs w:val="26"/>
        </w:rPr>
        <w:lastRenderedPageBreak/>
        <w:t xml:space="preserve">control all Palestinian lands and deprive </w:t>
      </w:r>
      <w:r w:rsidR="00572651" w:rsidRPr="005E6CAC">
        <w:rPr>
          <w:sz w:val="26"/>
          <w:szCs w:val="26"/>
        </w:rPr>
        <w:t xml:space="preserve">the Palestinians </w:t>
      </w:r>
      <w:r w:rsidRPr="005E6CAC">
        <w:rPr>
          <w:sz w:val="26"/>
          <w:szCs w:val="26"/>
        </w:rPr>
        <w:t>from exploiting their natural resources within the annexation policy pursued by the Israeli occupation authorities in the West Bank.</w:t>
      </w:r>
    </w:p>
    <w:p w14:paraId="3C782322" w14:textId="3413C828" w:rsidR="009321BA" w:rsidRPr="005E6CAC" w:rsidRDefault="009321BA" w:rsidP="00B70D0D">
      <w:pPr>
        <w:pStyle w:val="BodyTextIndent"/>
        <w:ind w:left="0"/>
        <w:rPr>
          <w:sz w:val="26"/>
          <w:szCs w:val="26"/>
        </w:rPr>
      </w:pPr>
    </w:p>
    <w:p w14:paraId="02624150" w14:textId="77777777" w:rsidR="005E6CAC" w:rsidRDefault="009321BA" w:rsidP="00E03FD5">
      <w:pPr>
        <w:pStyle w:val="BodyTextIndent2"/>
        <w:ind w:left="0"/>
        <w:jc w:val="center"/>
        <w:rPr>
          <w:b/>
          <w:bCs/>
          <w:sz w:val="28"/>
          <w:szCs w:val="28"/>
          <w:rtl/>
        </w:rPr>
      </w:pPr>
      <w:r w:rsidRPr="005E6CAC">
        <w:rPr>
          <w:b/>
          <w:bCs/>
          <w:sz w:val="28"/>
          <w:szCs w:val="28"/>
        </w:rPr>
        <w:t>More than 16</w:t>
      </w:r>
      <w:r w:rsidR="00E03FD5" w:rsidRPr="005E6CAC">
        <w:rPr>
          <w:sz w:val="28"/>
          <w:szCs w:val="28"/>
        </w:rPr>
        <w:t xml:space="preserve"> </w:t>
      </w:r>
      <w:r w:rsidR="00E03FD5" w:rsidRPr="005E6CAC">
        <w:rPr>
          <w:b/>
          <w:bCs/>
          <w:sz w:val="28"/>
          <w:szCs w:val="28"/>
        </w:rPr>
        <w:t>thousand</w:t>
      </w:r>
      <w:r w:rsidR="00E03FD5" w:rsidRPr="005E6CAC">
        <w:rPr>
          <w:sz w:val="28"/>
          <w:szCs w:val="28"/>
        </w:rPr>
        <w:t xml:space="preserve"> </w:t>
      </w:r>
      <w:r w:rsidRPr="005E6CAC">
        <w:rPr>
          <w:b/>
          <w:bCs/>
          <w:sz w:val="28"/>
          <w:szCs w:val="28"/>
        </w:rPr>
        <w:t xml:space="preserve">attacks by Israeli occupation </w:t>
      </w:r>
      <w:r w:rsidR="00572651" w:rsidRPr="005E6CAC">
        <w:rPr>
          <w:b/>
          <w:bCs/>
          <w:sz w:val="28"/>
          <w:szCs w:val="28"/>
        </w:rPr>
        <w:t xml:space="preserve">authorities </w:t>
      </w:r>
      <w:r w:rsidRPr="005E6CAC">
        <w:rPr>
          <w:b/>
          <w:bCs/>
          <w:sz w:val="28"/>
          <w:szCs w:val="28"/>
        </w:rPr>
        <w:t>and settlers</w:t>
      </w:r>
    </w:p>
    <w:p w14:paraId="5A4945E8" w14:textId="696C7F73" w:rsidR="009321BA" w:rsidRPr="005E6CAC" w:rsidRDefault="009321BA" w:rsidP="00E03FD5">
      <w:pPr>
        <w:pStyle w:val="BodyTextIndent2"/>
        <w:ind w:left="0"/>
        <w:jc w:val="center"/>
        <w:rPr>
          <w:b/>
          <w:bCs/>
          <w:sz w:val="28"/>
          <w:szCs w:val="28"/>
        </w:rPr>
      </w:pPr>
      <w:r w:rsidRPr="005E6CAC">
        <w:rPr>
          <w:b/>
          <w:bCs/>
          <w:sz w:val="28"/>
          <w:szCs w:val="28"/>
        </w:rPr>
        <w:t xml:space="preserve"> </w:t>
      </w:r>
      <w:proofErr w:type="gramStart"/>
      <w:r w:rsidR="00466B90" w:rsidRPr="005E6CAC">
        <w:rPr>
          <w:b/>
          <w:bCs/>
          <w:sz w:val="28"/>
          <w:szCs w:val="28"/>
        </w:rPr>
        <w:t>in</w:t>
      </w:r>
      <w:proofErr w:type="gramEnd"/>
      <w:r w:rsidR="00466B90" w:rsidRPr="005E6CAC">
        <w:rPr>
          <w:b/>
          <w:bCs/>
          <w:sz w:val="28"/>
          <w:szCs w:val="28"/>
        </w:rPr>
        <w:t xml:space="preserve"> the West Bank</w:t>
      </w:r>
    </w:p>
    <w:p w14:paraId="480BB69D" w14:textId="00DC5821" w:rsidR="009321BA" w:rsidRDefault="009321BA" w:rsidP="00572651">
      <w:pPr>
        <w:pStyle w:val="BodyTextIndent2"/>
        <w:ind w:left="0"/>
        <w:jc w:val="lowKashida"/>
        <w:rPr>
          <w:sz w:val="26"/>
          <w:szCs w:val="26"/>
          <w:rtl/>
        </w:rPr>
      </w:pPr>
      <w:r w:rsidRPr="005E6CAC">
        <w:rPr>
          <w:sz w:val="26"/>
          <w:szCs w:val="26"/>
        </w:rPr>
        <w:t>In 2024, settlers, under the protection and cooperation of the Israeli occupation army, carried out about 16,612 attacks against Palestinian citizens and their property; the attacks included 4,538 attacks on property and religious places, 774 attacks on lands and natural resources, and 11,330 attacks on individuals. These attacks also caused the uprooting, damage, and bulldozing of more than 14,212 trees, including</w:t>
      </w:r>
      <w:r w:rsidR="0042455D" w:rsidRPr="005E6CAC">
        <w:rPr>
          <w:sz w:val="26"/>
          <w:szCs w:val="26"/>
        </w:rPr>
        <w:t xml:space="preserve"> </w:t>
      </w:r>
      <w:r w:rsidRPr="005E6CAC">
        <w:rPr>
          <w:sz w:val="26"/>
          <w:szCs w:val="26"/>
        </w:rPr>
        <w:t xml:space="preserve">about 10,459 olive trees.  </w:t>
      </w:r>
      <w:proofErr w:type="gramStart"/>
      <w:r w:rsidRPr="005E6CAC">
        <w:rPr>
          <w:sz w:val="26"/>
          <w:szCs w:val="26"/>
        </w:rPr>
        <w:t>During the first three months of this year, more than 5,470 attacks by the Israeli occupation authorities and settlers on citizens, property, and religious sites were documented</w:t>
      </w:r>
      <w:r w:rsidR="00572651" w:rsidRPr="005E6CAC">
        <w:rPr>
          <w:sz w:val="26"/>
          <w:szCs w:val="26"/>
        </w:rPr>
        <w:t>,</w:t>
      </w:r>
      <w:r w:rsidR="003D6367" w:rsidRPr="005E6CAC">
        <w:rPr>
          <w:sz w:val="26"/>
          <w:szCs w:val="26"/>
        </w:rPr>
        <w:t xml:space="preserve"> </w:t>
      </w:r>
      <w:r w:rsidR="00572651" w:rsidRPr="005E6CAC">
        <w:rPr>
          <w:sz w:val="26"/>
          <w:szCs w:val="26"/>
        </w:rPr>
        <w:t xml:space="preserve">in </w:t>
      </w:r>
      <w:r w:rsidR="003D6367" w:rsidRPr="005E6CAC">
        <w:rPr>
          <w:sz w:val="26"/>
          <w:szCs w:val="26"/>
        </w:rPr>
        <w:t xml:space="preserve">addition to the arbitrary measures taken by the Israeli occupation authorities, including the deployment of checkpoints and gates at the entrances </w:t>
      </w:r>
      <w:r w:rsidR="0042455D" w:rsidRPr="005E6CAC">
        <w:rPr>
          <w:sz w:val="26"/>
          <w:szCs w:val="26"/>
        </w:rPr>
        <w:t xml:space="preserve">of </w:t>
      </w:r>
      <w:r w:rsidR="003D6367" w:rsidRPr="005E6CAC">
        <w:rPr>
          <w:sz w:val="26"/>
          <w:szCs w:val="26"/>
        </w:rPr>
        <w:t xml:space="preserve">most Palestinian </w:t>
      </w:r>
      <w:r w:rsidR="0042455D" w:rsidRPr="005E6CAC">
        <w:rPr>
          <w:sz w:val="26"/>
          <w:szCs w:val="26"/>
        </w:rPr>
        <w:t>localities</w:t>
      </w:r>
      <w:r w:rsidR="003D6367" w:rsidRPr="005E6CAC">
        <w:rPr>
          <w:sz w:val="26"/>
          <w:szCs w:val="26"/>
        </w:rPr>
        <w:t xml:space="preserve">, </w:t>
      </w:r>
      <w:r w:rsidR="0042455D" w:rsidRPr="005E6CAC">
        <w:rPr>
          <w:sz w:val="26"/>
          <w:szCs w:val="26"/>
        </w:rPr>
        <w:t xml:space="preserve">of about </w:t>
      </w:r>
      <w:r w:rsidR="003D6367" w:rsidRPr="005E6CAC">
        <w:rPr>
          <w:sz w:val="26"/>
          <w:szCs w:val="26"/>
        </w:rPr>
        <w:t>900</w:t>
      </w:r>
      <w:r w:rsidR="002A2127" w:rsidRPr="005E6CAC">
        <w:rPr>
          <w:sz w:val="26"/>
          <w:szCs w:val="26"/>
        </w:rPr>
        <w:t xml:space="preserve"> </w:t>
      </w:r>
      <w:r w:rsidR="0042455D" w:rsidRPr="005E6CAC">
        <w:rPr>
          <w:sz w:val="26"/>
          <w:szCs w:val="26"/>
        </w:rPr>
        <w:t xml:space="preserve">checkpoints and gates </w:t>
      </w:r>
      <w:r w:rsidR="003D6367" w:rsidRPr="005E6CAC">
        <w:rPr>
          <w:sz w:val="26"/>
          <w:szCs w:val="26"/>
        </w:rPr>
        <w:t xml:space="preserve">which impede the free movement of Palestinians between Palestinian </w:t>
      </w:r>
      <w:r w:rsidR="0042455D" w:rsidRPr="005E6CAC">
        <w:rPr>
          <w:sz w:val="26"/>
          <w:szCs w:val="26"/>
        </w:rPr>
        <w:t xml:space="preserve">localities </w:t>
      </w:r>
      <w:r w:rsidR="003D6367" w:rsidRPr="005E6CAC">
        <w:rPr>
          <w:sz w:val="26"/>
          <w:szCs w:val="26"/>
        </w:rPr>
        <w:t>and cities.</w:t>
      </w:r>
      <w:proofErr w:type="gramEnd"/>
    </w:p>
    <w:p w14:paraId="202D8EEE" w14:textId="1B3D616B" w:rsidR="005E6CAC" w:rsidRDefault="005E6CAC" w:rsidP="00572651">
      <w:pPr>
        <w:pStyle w:val="BodyTextIndent2"/>
        <w:ind w:left="0"/>
        <w:jc w:val="lowKashida"/>
        <w:rPr>
          <w:sz w:val="26"/>
          <w:szCs w:val="26"/>
          <w:rtl/>
        </w:rPr>
      </w:pPr>
    </w:p>
    <w:p w14:paraId="1CCF0AE3" w14:textId="77777777" w:rsidR="005E6CAC" w:rsidRPr="005E6CAC" w:rsidRDefault="005E6CAC" w:rsidP="00572651">
      <w:pPr>
        <w:pStyle w:val="BodyTextIndent2"/>
        <w:ind w:left="0"/>
        <w:jc w:val="lowKashida"/>
        <w:rPr>
          <w:sz w:val="26"/>
          <w:szCs w:val="26"/>
        </w:rPr>
      </w:pPr>
    </w:p>
    <w:p w14:paraId="59A74406" w14:textId="77777777" w:rsidR="00AF637E" w:rsidRPr="004B4BB0" w:rsidRDefault="00AF637E" w:rsidP="00DD4090">
      <w:pPr>
        <w:bidi w:val="0"/>
        <w:jc w:val="both"/>
        <w:rPr>
          <w:b/>
          <w:bCs/>
          <w:sz w:val="22"/>
          <w:szCs w:val="22"/>
        </w:rPr>
      </w:pPr>
    </w:p>
    <w:p w14:paraId="757B66AB" w14:textId="63C381F8" w:rsidR="00BD6FB4" w:rsidRPr="005E6CAC" w:rsidRDefault="00BD6FB4" w:rsidP="00AF637E">
      <w:pPr>
        <w:bidi w:val="0"/>
        <w:jc w:val="both"/>
        <w:rPr>
          <w:b/>
          <w:bCs/>
        </w:rPr>
      </w:pPr>
      <w:bookmarkStart w:id="0" w:name="_GoBack"/>
      <w:r w:rsidRPr="005E6CAC">
        <w:rPr>
          <w:b/>
          <w:bCs/>
        </w:rPr>
        <w:t>Sources:</w:t>
      </w:r>
    </w:p>
    <w:bookmarkEnd w:id="0"/>
    <w:p w14:paraId="1A1EAA81" w14:textId="424CD7C1" w:rsidR="00DD4090" w:rsidRPr="004B4BB0" w:rsidRDefault="00E77D51" w:rsidP="009321BA">
      <w:pPr>
        <w:pStyle w:val="ListParagraph"/>
        <w:bidi w:val="0"/>
        <w:ind w:left="284"/>
        <w:jc w:val="both"/>
        <w:rPr>
          <w:sz w:val="20"/>
          <w:szCs w:val="20"/>
        </w:rPr>
      </w:pPr>
      <w:r w:rsidRPr="004B4BB0">
        <w:rPr>
          <w:sz w:val="20"/>
          <w:szCs w:val="20"/>
        </w:rPr>
        <w:t>1. Palestinian Central Bureau of Statistics 202</w:t>
      </w:r>
      <w:r w:rsidR="009321BA" w:rsidRPr="004B4BB0">
        <w:rPr>
          <w:sz w:val="20"/>
          <w:szCs w:val="20"/>
        </w:rPr>
        <w:t>4</w:t>
      </w:r>
      <w:r w:rsidRPr="004B4BB0">
        <w:rPr>
          <w:sz w:val="20"/>
          <w:szCs w:val="20"/>
        </w:rPr>
        <w:t xml:space="preserve">: Israeli </w:t>
      </w:r>
      <w:r w:rsidR="007E5239" w:rsidRPr="004B4BB0">
        <w:rPr>
          <w:sz w:val="20"/>
          <w:szCs w:val="20"/>
        </w:rPr>
        <w:t xml:space="preserve">Settlements </w:t>
      </w:r>
      <w:r w:rsidRPr="004B4BB0">
        <w:rPr>
          <w:sz w:val="20"/>
          <w:szCs w:val="20"/>
        </w:rPr>
        <w:t>in the West Bank 202</w:t>
      </w:r>
      <w:r w:rsidR="009321BA" w:rsidRPr="004B4BB0">
        <w:rPr>
          <w:sz w:val="20"/>
          <w:szCs w:val="20"/>
        </w:rPr>
        <w:t>3</w:t>
      </w:r>
      <w:r w:rsidRPr="004B4BB0">
        <w:rPr>
          <w:sz w:val="20"/>
          <w:szCs w:val="20"/>
        </w:rPr>
        <w:t>. Ramallah - Palestine.</w:t>
      </w:r>
    </w:p>
    <w:p w14:paraId="257FDE6C" w14:textId="5EB7779A" w:rsidR="00DD4090" w:rsidRPr="004B4BB0" w:rsidRDefault="00E77D51" w:rsidP="009321BA">
      <w:pPr>
        <w:pStyle w:val="ListParagraph"/>
        <w:bidi w:val="0"/>
        <w:ind w:left="284"/>
        <w:jc w:val="both"/>
        <w:rPr>
          <w:sz w:val="20"/>
          <w:szCs w:val="20"/>
        </w:rPr>
      </w:pPr>
      <w:r w:rsidRPr="004B4BB0">
        <w:rPr>
          <w:sz w:val="20"/>
          <w:szCs w:val="20"/>
        </w:rPr>
        <w:t xml:space="preserve">2. </w:t>
      </w:r>
      <w:r w:rsidR="00B926E2" w:rsidRPr="004B4BB0">
        <w:rPr>
          <w:sz w:val="20"/>
          <w:szCs w:val="20"/>
        </w:rPr>
        <w:t xml:space="preserve">Colonization and </w:t>
      </w:r>
      <w:r w:rsidRPr="004B4BB0">
        <w:rPr>
          <w:sz w:val="20"/>
          <w:szCs w:val="20"/>
        </w:rPr>
        <w:t>Wall Resistance Commission 202</w:t>
      </w:r>
      <w:r w:rsidR="009321BA" w:rsidRPr="004B4BB0">
        <w:rPr>
          <w:sz w:val="20"/>
          <w:szCs w:val="20"/>
        </w:rPr>
        <w:t>5</w:t>
      </w:r>
      <w:r w:rsidRPr="004B4BB0">
        <w:rPr>
          <w:sz w:val="20"/>
          <w:szCs w:val="20"/>
        </w:rPr>
        <w:t xml:space="preserve">, the most prominent violations of the </w:t>
      </w:r>
      <w:r w:rsidR="00B926E2" w:rsidRPr="004B4BB0">
        <w:rPr>
          <w:sz w:val="20"/>
          <w:szCs w:val="20"/>
        </w:rPr>
        <w:t xml:space="preserve">Israeli </w:t>
      </w:r>
      <w:r w:rsidR="00185B82" w:rsidRPr="004B4BB0">
        <w:rPr>
          <w:sz w:val="20"/>
          <w:szCs w:val="20"/>
        </w:rPr>
        <w:t>o</w:t>
      </w:r>
      <w:r w:rsidR="00B926E2" w:rsidRPr="004B4BB0">
        <w:rPr>
          <w:sz w:val="20"/>
          <w:szCs w:val="20"/>
        </w:rPr>
        <w:t>ccupation State</w:t>
      </w:r>
      <w:r w:rsidRPr="004B4BB0">
        <w:rPr>
          <w:sz w:val="20"/>
          <w:szCs w:val="20"/>
        </w:rPr>
        <w:t xml:space="preserve"> and colonizers in the occupied Palestinian territories, annual report, 202</w:t>
      </w:r>
      <w:r w:rsidR="009321BA" w:rsidRPr="004B4BB0">
        <w:rPr>
          <w:sz w:val="20"/>
          <w:szCs w:val="20"/>
        </w:rPr>
        <w:t>3</w:t>
      </w:r>
      <w:r w:rsidRPr="004B4BB0">
        <w:rPr>
          <w:sz w:val="20"/>
          <w:szCs w:val="20"/>
        </w:rPr>
        <w:t>. Ramallah - Palestine.</w:t>
      </w:r>
    </w:p>
    <w:p w14:paraId="35591DA4" w14:textId="0AA85DF6" w:rsidR="00042C5C" w:rsidRPr="004B4BB0" w:rsidRDefault="009321BA" w:rsidP="009321BA">
      <w:pPr>
        <w:pStyle w:val="ListParagraph"/>
        <w:bidi w:val="0"/>
        <w:ind w:left="284"/>
        <w:jc w:val="both"/>
        <w:rPr>
          <w:rFonts w:asciiTheme="majorBidi" w:hAnsiTheme="majorBidi" w:cstheme="majorBidi"/>
          <w:sz w:val="18"/>
          <w:szCs w:val="18"/>
        </w:rPr>
      </w:pPr>
      <w:r w:rsidRPr="004B4BB0">
        <w:rPr>
          <w:sz w:val="20"/>
          <w:szCs w:val="20"/>
        </w:rPr>
        <w:t>3</w:t>
      </w:r>
      <w:r w:rsidR="00E77D51" w:rsidRPr="004B4BB0">
        <w:rPr>
          <w:sz w:val="20"/>
          <w:szCs w:val="20"/>
        </w:rPr>
        <w:t xml:space="preserve">. Palestinian Ministry of Health - General </w:t>
      </w:r>
      <w:r w:rsidR="001B7935" w:rsidRPr="004B4BB0">
        <w:rPr>
          <w:sz w:val="20"/>
          <w:szCs w:val="20"/>
        </w:rPr>
        <w:t xml:space="preserve">Directorate </w:t>
      </w:r>
      <w:r w:rsidR="00185B82" w:rsidRPr="004B4BB0">
        <w:rPr>
          <w:sz w:val="20"/>
          <w:szCs w:val="20"/>
        </w:rPr>
        <w:t xml:space="preserve">of </w:t>
      </w:r>
      <w:r w:rsidR="00E77D51" w:rsidRPr="004B4BB0">
        <w:rPr>
          <w:sz w:val="20"/>
          <w:szCs w:val="20"/>
        </w:rPr>
        <w:t>Emergency, 202</w:t>
      </w:r>
      <w:r w:rsidRPr="004B4BB0">
        <w:rPr>
          <w:sz w:val="20"/>
          <w:szCs w:val="20"/>
        </w:rPr>
        <w:t>5</w:t>
      </w:r>
      <w:r w:rsidR="00E77D51" w:rsidRPr="004B4BB0">
        <w:rPr>
          <w:sz w:val="20"/>
          <w:szCs w:val="20"/>
        </w:rPr>
        <w:t xml:space="preserve">. Annual </w:t>
      </w:r>
      <w:r w:rsidR="008B32DD" w:rsidRPr="004B4BB0">
        <w:rPr>
          <w:sz w:val="20"/>
          <w:szCs w:val="20"/>
        </w:rPr>
        <w:t xml:space="preserve">Report </w:t>
      </w:r>
      <w:r w:rsidR="00E77D51" w:rsidRPr="004B4BB0">
        <w:rPr>
          <w:sz w:val="20"/>
          <w:szCs w:val="20"/>
        </w:rPr>
        <w:t>on Israeli occupation attacks, 202</w:t>
      </w:r>
      <w:r w:rsidRPr="004B4BB0">
        <w:rPr>
          <w:sz w:val="20"/>
          <w:szCs w:val="20"/>
        </w:rPr>
        <w:t>4</w:t>
      </w:r>
      <w:r w:rsidR="00E77D51" w:rsidRPr="004B4BB0">
        <w:rPr>
          <w:sz w:val="20"/>
          <w:szCs w:val="20"/>
        </w:rPr>
        <w:t>. Ramallah - Palestine.</w:t>
      </w:r>
    </w:p>
    <w:p w14:paraId="06C2A537" w14:textId="6EDC9845" w:rsidR="00AF637E" w:rsidRPr="004B4BB0" w:rsidRDefault="009321BA" w:rsidP="00AF637E">
      <w:pPr>
        <w:pStyle w:val="ListParagraph"/>
        <w:bidi w:val="0"/>
        <w:ind w:left="284"/>
        <w:jc w:val="both"/>
        <w:rPr>
          <w:sz w:val="20"/>
          <w:szCs w:val="20"/>
        </w:rPr>
      </w:pPr>
      <w:r w:rsidRPr="004B4BB0">
        <w:rPr>
          <w:sz w:val="20"/>
          <w:szCs w:val="20"/>
        </w:rPr>
        <w:t>4</w:t>
      </w:r>
      <w:r w:rsidR="00AF637E" w:rsidRPr="004B4BB0">
        <w:rPr>
          <w:sz w:val="20"/>
          <w:szCs w:val="20"/>
        </w:rPr>
        <w:t>. Palestinian Central Bureau of Statistics, 2024.  Revised estimates based on the final results of Population, Housing and Establishments Census 2017. Ramallah-Palestine.</w:t>
      </w:r>
    </w:p>
    <w:p w14:paraId="1FCA738C" w14:textId="77777777" w:rsidR="00D65EDB" w:rsidRPr="004B4BB0" w:rsidRDefault="00D65EDB" w:rsidP="00D65EDB">
      <w:pPr>
        <w:pStyle w:val="ListParagraph"/>
        <w:bidi w:val="0"/>
        <w:ind w:left="284"/>
        <w:jc w:val="both"/>
        <w:rPr>
          <w:sz w:val="20"/>
          <w:szCs w:val="20"/>
        </w:rPr>
      </w:pPr>
    </w:p>
    <w:p w14:paraId="28D98F84" w14:textId="77777777" w:rsidR="00BA721B" w:rsidRPr="004B4BB0" w:rsidRDefault="00BA721B" w:rsidP="00D65EDB">
      <w:pPr>
        <w:pStyle w:val="BodyTextIndent2"/>
        <w:ind w:left="0"/>
        <w:jc w:val="lowKashida"/>
      </w:pPr>
    </w:p>
    <w:sectPr w:rsidR="00BA721B" w:rsidRPr="004B4BB0" w:rsidSect="005E6CAC">
      <w:footerReference w:type="default" r:id="rId8"/>
      <w:type w:val="continuous"/>
      <w:pgSz w:w="11906" w:h="16838"/>
      <w:pgMar w:top="720" w:right="720" w:bottom="720" w:left="720" w:header="567" w:footer="567" w:gutter="0"/>
      <w:cols w:space="894"/>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16E17" w14:textId="77777777" w:rsidR="00045369" w:rsidRDefault="00045369" w:rsidP="00BF7D80">
      <w:r>
        <w:separator/>
      </w:r>
    </w:p>
  </w:endnote>
  <w:endnote w:type="continuationSeparator" w:id="0">
    <w:p w14:paraId="44CF09C4" w14:textId="77777777" w:rsidR="00045369" w:rsidRDefault="00045369" w:rsidP="00BF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4F15C" w14:textId="4998A8B3" w:rsidR="00C510CB" w:rsidRDefault="00ED37C1">
    <w:pPr>
      <w:pStyle w:val="Footer"/>
      <w:jc w:val="center"/>
    </w:pPr>
    <w:r>
      <w:fldChar w:fldCharType="begin"/>
    </w:r>
    <w:r w:rsidR="00543B83">
      <w:instrText xml:space="preserve"> PAGE   \* MERGEFORMAT </w:instrText>
    </w:r>
    <w:r>
      <w:fldChar w:fldCharType="separate"/>
    </w:r>
    <w:r w:rsidR="005E6CAC">
      <w:rPr>
        <w:noProof/>
        <w:rtl/>
      </w:rPr>
      <w:t>3</w:t>
    </w:r>
    <w:r>
      <w:rPr>
        <w:noProof/>
      </w:rPr>
      <w:fldChar w:fldCharType="end"/>
    </w:r>
  </w:p>
  <w:p w14:paraId="5D1C397A" w14:textId="77777777" w:rsidR="00C510CB" w:rsidRDefault="00C51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68FA2" w14:textId="77777777" w:rsidR="00045369" w:rsidRDefault="00045369" w:rsidP="00BF7D80">
      <w:r>
        <w:separator/>
      </w:r>
    </w:p>
  </w:footnote>
  <w:footnote w:type="continuationSeparator" w:id="0">
    <w:p w14:paraId="5533E2AA" w14:textId="77777777" w:rsidR="00045369" w:rsidRDefault="00045369" w:rsidP="00BF7D80">
      <w:r>
        <w:continuationSeparator/>
      </w:r>
    </w:p>
  </w:footnote>
  <w:footnote w:id="1">
    <w:p w14:paraId="63C27B3D" w14:textId="1814EA2C" w:rsidR="00AF637E" w:rsidRPr="004D7549" w:rsidRDefault="00AF637E" w:rsidP="004D7549">
      <w:pPr>
        <w:pStyle w:val="FootnoteText"/>
        <w:rPr>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206D6"/>
    <w:multiLevelType w:val="hybridMultilevel"/>
    <w:tmpl w:val="DB2490DC"/>
    <w:lvl w:ilvl="0" w:tplc="C5723A0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0A2991"/>
    <w:multiLevelType w:val="hybridMultilevel"/>
    <w:tmpl w:val="B8F8B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452AFF"/>
    <w:multiLevelType w:val="hybridMultilevel"/>
    <w:tmpl w:val="670002D6"/>
    <w:lvl w:ilvl="0" w:tplc="C5723A0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80C"/>
    <w:rsid w:val="00001240"/>
    <w:rsid w:val="000028F9"/>
    <w:rsid w:val="000049A4"/>
    <w:rsid w:val="00006C52"/>
    <w:rsid w:val="00011499"/>
    <w:rsid w:val="00014362"/>
    <w:rsid w:val="000219F9"/>
    <w:rsid w:val="00023CE5"/>
    <w:rsid w:val="00025EDE"/>
    <w:rsid w:val="0003429B"/>
    <w:rsid w:val="0003551F"/>
    <w:rsid w:val="0004045F"/>
    <w:rsid w:val="00040767"/>
    <w:rsid w:val="0004185F"/>
    <w:rsid w:val="00041927"/>
    <w:rsid w:val="00042C5C"/>
    <w:rsid w:val="00045369"/>
    <w:rsid w:val="0004721D"/>
    <w:rsid w:val="00050943"/>
    <w:rsid w:val="000604FE"/>
    <w:rsid w:val="000614E2"/>
    <w:rsid w:val="00061DCF"/>
    <w:rsid w:val="0006529E"/>
    <w:rsid w:val="00065B2B"/>
    <w:rsid w:val="00066734"/>
    <w:rsid w:val="00067608"/>
    <w:rsid w:val="0007121B"/>
    <w:rsid w:val="00074A7C"/>
    <w:rsid w:val="00074B99"/>
    <w:rsid w:val="00075D0A"/>
    <w:rsid w:val="00080239"/>
    <w:rsid w:val="00080356"/>
    <w:rsid w:val="00080DA1"/>
    <w:rsid w:val="0008499F"/>
    <w:rsid w:val="00084A7F"/>
    <w:rsid w:val="00084A8B"/>
    <w:rsid w:val="00092E93"/>
    <w:rsid w:val="00095CF3"/>
    <w:rsid w:val="000A1D8E"/>
    <w:rsid w:val="000A2AEA"/>
    <w:rsid w:val="000A3520"/>
    <w:rsid w:val="000B02B7"/>
    <w:rsid w:val="000B07F3"/>
    <w:rsid w:val="000B2F32"/>
    <w:rsid w:val="000B5CB9"/>
    <w:rsid w:val="000C16D9"/>
    <w:rsid w:val="000C4FA9"/>
    <w:rsid w:val="000C614F"/>
    <w:rsid w:val="000D0D60"/>
    <w:rsid w:val="000D1770"/>
    <w:rsid w:val="000D4B78"/>
    <w:rsid w:val="000D54F1"/>
    <w:rsid w:val="000D5F27"/>
    <w:rsid w:val="000D64DA"/>
    <w:rsid w:val="000D7175"/>
    <w:rsid w:val="000E29ED"/>
    <w:rsid w:val="000E3C52"/>
    <w:rsid w:val="000E4A55"/>
    <w:rsid w:val="000E583A"/>
    <w:rsid w:val="000F22D9"/>
    <w:rsid w:val="000F269E"/>
    <w:rsid w:val="000F31BA"/>
    <w:rsid w:val="000F3F80"/>
    <w:rsid w:val="000F64D3"/>
    <w:rsid w:val="0010550B"/>
    <w:rsid w:val="001112A0"/>
    <w:rsid w:val="00115EDB"/>
    <w:rsid w:val="001201D7"/>
    <w:rsid w:val="00121842"/>
    <w:rsid w:val="001219BB"/>
    <w:rsid w:val="00121F4D"/>
    <w:rsid w:val="001246A1"/>
    <w:rsid w:val="00127695"/>
    <w:rsid w:val="00127820"/>
    <w:rsid w:val="00127CB7"/>
    <w:rsid w:val="001339FF"/>
    <w:rsid w:val="00133EA8"/>
    <w:rsid w:val="00134330"/>
    <w:rsid w:val="00137B50"/>
    <w:rsid w:val="00146C0F"/>
    <w:rsid w:val="00154CBD"/>
    <w:rsid w:val="001572D8"/>
    <w:rsid w:val="00165047"/>
    <w:rsid w:val="00167D8D"/>
    <w:rsid w:val="001728F9"/>
    <w:rsid w:val="00173F41"/>
    <w:rsid w:val="00173FA7"/>
    <w:rsid w:val="00173FBD"/>
    <w:rsid w:val="0017412F"/>
    <w:rsid w:val="00176FF2"/>
    <w:rsid w:val="00177003"/>
    <w:rsid w:val="001770DB"/>
    <w:rsid w:val="00180E9D"/>
    <w:rsid w:val="0018566C"/>
    <w:rsid w:val="00185B82"/>
    <w:rsid w:val="001874AA"/>
    <w:rsid w:val="001974D4"/>
    <w:rsid w:val="001A0DAB"/>
    <w:rsid w:val="001A4F6B"/>
    <w:rsid w:val="001A604D"/>
    <w:rsid w:val="001A6CE3"/>
    <w:rsid w:val="001B2C55"/>
    <w:rsid w:val="001B2CD1"/>
    <w:rsid w:val="001B7935"/>
    <w:rsid w:val="001C28DE"/>
    <w:rsid w:val="001C2B30"/>
    <w:rsid w:val="001C3BA6"/>
    <w:rsid w:val="001C57AD"/>
    <w:rsid w:val="001C6527"/>
    <w:rsid w:val="001C7FCF"/>
    <w:rsid w:val="001D26F1"/>
    <w:rsid w:val="001D3FFB"/>
    <w:rsid w:val="001D429C"/>
    <w:rsid w:val="001D5484"/>
    <w:rsid w:val="001E090E"/>
    <w:rsid w:val="001E11B5"/>
    <w:rsid w:val="001E193A"/>
    <w:rsid w:val="001E3CCF"/>
    <w:rsid w:val="001E7548"/>
    <w:rsid w:val="001F1F45"/>
    <w:rsid w:val="001F54E5"/>
    <w:rsid w:val="001F6EDC"/>
    <w:rsid w:val="001F7F56"/>
    <w:rsid w:val="002010DF"/>
    <w:rsid w:val="00202AB4"/>
    <w:rsid w:val="00202ACA"/>
    <w:rsid w:val="00207EA7"/>
    <w:rsid w:val="0021032D"/>
    <w:rsid w:val="0021372D"/>
    <w:rsid w:val="00214EDE"/>
    <w:rsid w:val="002172DD"/>
    <w:rsid w:val="0022170A"/>
    <w:rsid w:val="00230FF7"/>
    <w:rsid w:val="0023501B"/>
    <w:rsid w:val="00237969"/>
    <w:rsid w:val="00237D69"/>
    <w:rsid w:val="00237EFC"/>
    <w:rsid w:val="0024095B"/>
    <w:rsid w:val="00240FFF"/>
    <w:rsid w:val="00242AAB"/>
    <w:rsid w:val="00243373"/>
    <w:rsid w:val="00243B12"/>
    <w:rsid w:val="00244B76"/>
    <w:rsid w:val="00245A0A"/>
    <w:rsid w:val="002469D9"/>
    <w:rsid w:val="00247928"/>
    <w:rsid w:val="00251B52"/>
    <w:rsid w:val="00256B0C"/>
    <w:rsid w:val="0025787B"/>
    <w:rsid w:val="00261568"/>
    <w:rsid w:val="0026698E"/>
    <w:rsid w:val="00272C33"/>
    <w:rsid w:val="00275DB7"/>
    <w:rsid w:val="002804D4"/>
    <w:rsid w:val="0028216A"/>
    <w:rsid w:val="002850F0"/>
    <w:rsid w:val="002A1565"/>
    <w:rsid w:val="002A2127"/>
    <w:rsid w:val="002A404F"/>
    <w:rsid w:val="002A67FD"/>
    <w:rsid w:val="002A797B"/>
    <w:rsid w:val="002B0A17"/>
    <w:rsid w:val="002B1075"/>
    <w:rsid w:val="002B110A"/>
    <w:rsid w:val="002B2D6F"/>
    <w:rsid w:val="002B4ACA"/>
    <w:rsid w:val="002B74D4"/>
    <w:rsid w:val="002C09DD"/>
    <w:rsid w:val="002C0A52"/>
    <w:rsid w:val="002C1048"/>
    <w:rsid w:val="002C4C1D"/>
    <w:rsid w:val="002C561F"/>
    <w:rsid w:val="002C62B0"/>
    <w:rsid w:val="002C7AA8"/>
    <w:rsid w:val="002D2C4F"/>
    <w:rsid w:val="002D3AAF"/>
    <w:rsid w:val="002D4067"/>
    <w:rsid w:val="002D47F4"/>
    <w:rsid w:val="002D63EC"/>
    <w:rsid w:val="002D74E6"/>
    <w:rsid w:val="002E04DB"/>
    <w:rsid w:val="002E058A"/>
    <w:rsid w:val="002E0595"/>
    <w:rsid w:val="002E17CB"/>
    <w:rsid w:val="002E1CDC"/>
    <w:rsid w:val="002E553F"/>
    <w:rsid w:val="002F4368"/>
    <w:rsid w:val="002F6F53"/>
    <w:rsid w:val="00302C69"/>
    <w:rsid w:val="003051AA"/>
    <w:rsid w:val="003062EB"/>
    <w:rsid w:val="003111B4"/>
    <w:rsid w:val="00314254"/>
    <w:rsid w:val="00314400"/>
    <w:rsid w:val="00322770"/>
    <w:rsid w:val="00322863"/>
    <w:rsid w:val="00322C0D"/>
    <w:rsid w:val="00322CC9"/>
    <w:rsid w:val="003232FC"/>
    <w:rsid w:val="00323302"/>
    <w:rsid w:val="0032558A"/>
    <w:rsid w:val="00325D27"/>
    <w:rsid w:val="003309F3"/>
    <w:rsid w:val="00330F9F"/>
    <w:rsid w:val="00330FD0"/>
    <w:rsid w:val="003339D1"/>
    <w:rsid w:val="00337A5F"/>
    <w:rsid w:val="00343CBE"/>
    <w:rsid w:val="00345143"/>
    <w:rsid w:val="00350960"/>
    <w:rsid w:val="00353C9C"/>
    <w:rsid w:val="0036599F"/>
    <w:rsid w:val="00367E89"/>
    <w:rsid w:val="00374B0D"/>
    <w:rsid w:val="003758A1"/>
    <w:rsid w:val="003773FF"/>
    <w:rsid w:val="00383270"/>
    <w:rsid w:val="00384F8D"/>
    <w:rsid w:val="00387111"/>
    <w:rsid w:val="00387C47"/>
    <w:rsid w:val="00391B0D"/>
    <w:rsid w:val="00392EE4"/>
    <w:rsid w:val="003A18DF"/>
    <w:rsid w:val="003A340D"/>
    <w:rsid w:val="003A3C71"/>
    <w:rsid w:val="003A6315"/>
    <w:rsid w:val="003A700F"/>
    <w:rsid w:val="003B2AE5"/>
    <w:rsid w:val="003B372F"/>
    <w:rsid w:val="003B4D27"/>
    <w:rsid w:val="003B7C58"/>
    <w:rsid w:val="003C18EE"/>
    <w:rsid w:val="003C38E1"/>
    <w:rsid w:val="003C594C"/>
    <w:rsid w:val="003D1E65"/>
    <w:rsid w:val="003D6367"/>
    <w:rsid w:val="003E0681"/>
    <w:rsid w:val="003E0BF9"/>
    <w:rsid w:val="003E2801"/>
    <w:rsid w:val="003E546D"/>
    <w:rsid w:val="003E67A2"/>
    <w:rsid w:val="003E7C93"/>
    <w:rsid w:val="003F08F5"/>
    <w:rsid w:val="003F0AA1"/>
    <w:rsid w:val="003F2EC6"/>
    <w:rsid w:val="003F42C1"/>
    <w:rsid w:val="003F5363"/>
    <w:rsid w:val="003F5B8F"/>
    <w:rsid w:val="00401367"/>
    <w:rsid w:val="00403235"/>
    <w:rsid w:val="00403443"/>
    <w:rsid w:val="00403D92"/>
    <w:rsid w:val="004064C6"/>
    <w:rsid w:val="0041058C"/>
    <w:rsid w:val="00412698"/>
    <w:rsid w:val="004130DC"/>
    <w:rsid w:val="00415E64"/>
    <w:rsid w:val="004231AF"/>
    <w:rsid w:val="0042351C"/>
    <w:rsid w:val="0042455D"/>
    <w:rsid w:val="00426C79"/>
    <w:rsid w:val="00430C33"/>
    <w:rsid w:val="00435E46"/>
    <w:rsid w:val="00437935"/>
    <w:rsid w:val="00437DEC"/>
    <w:rsid w:val="004413C8"/>
    <w:rsid w:val="00443400"/>
    <w:rsid w:val="00443835"/>
    <w:rsid w:val="00444A5D"/>
    <w:rsid w:val="00444F86"/>
    <w:rsid w:val="00445069"/>
    <w:rsid w:val="0044676E"/>
    <w:rsid w:val="004512DF"/>
    <w:rsid w:val="00455295"/>
    <w:rsid w:val="004562BE"/>
    <w:rsid w:val="00460FC7"/>
    <w:rsid w:val="00462677"/>
    <w:rsid w:val="004626B4"/>
    <w:rsid w:val="004630BF"/>
    <w:rsid w:val="00466982"/>
    <w:rsid w:val="00466B90"/>
    <w:rsid w:val="00470A15"/>
    <w:rsid w:val="00471282"/>
    <w:rsid w:val="004763BC"/>
    <w:rsid w:val="00476B16"/>
    <w:rsid w:val="00484F1B"/>
    <w:rsid w:val="0048524F"/>
    <w:rsid w:val="00486059"/>
    <w:rsid w:val="00487FE4"/>
    <w:rsid w:val="00493B33"/>
    <w:rsid w:val="004948CB"/>
    <w:rsid w:val="004A1431"/>
    <w:rsid w:val="004A1A13"/>
    <w:rsid w:val="004A2C3B"/>
    <w:rsid w:val="004A33CE"/>
    <w:rsid w:val="004B04E8"/>
    <w:rsid w:val="004B07B4"/>
    <w:rsid w:val="004B0E73"/>
    <w:rsid w:val="004B4BB0"/>
    <w:rsid w:val="004B4BE3"/>
    <w:rsid w:val="004C065D"/>
    <w:rsid w:val="004C15B3"/>
    <w:rsid w:val="004C161A"/>
    <w:rsid w:val="004C1BE7"/>
    <w:rsid w:val="004C1C80"/>
    <w:rsid w:val="004C2E5A"/>
    <w:rsid w:val="004C5EBA"/>
    <w:rsid w:val="004D2BD5"/>
    <w:rsid w:val="004D38FD"/>
    <w:rsid w:val="004D3C25"/>
    <w:rsid w:val="004D54B7"/>
    <w:rsid w:val="004D703B"/>
    <w:rsid w:val="004D7549"/>
    <w:rsid w:val="004E0B5D"/>
    <w:rsid w:val="004E16DF"/>
    <w:rsid w:val="004E19BE"/>
    <w:rsid w:val="004E2E76"/>
    <w:rsid w:val="004E6841"/>
    <w:rsid w:val="004F4341"/>
    <w:rsid w:val="004F6F94"/>
    <w:rsid w:val="00500C76"/>
    <w:rsid w:val="005017DB"/>
    <w:rsid w:val="00501901"/>
    <w:rsid w:val="0051286A"/>
    <w:rsid w:val="005140A0"/>
    <w:rsid w:val="00514164"/>
    <w:rsid w:val="005153B7"/>
    <w:rsid w:val="005218CF"/>
    <w:rsid w:val="00522A92"/>
    <w:rsid w:val="005247C2"/>
    <w:rsid w:val="00530CAC"/>
    <w:rsid w:val="005324F6"/>
    <w:rsid w:val="00532AE9"/>
    <w:rsid w:val="00533375"/>
    <w:rsid w:val="00542100"/>
    <w:rsid w:val="00542533"/>
    <w:rsid w:val="00543B83"/>
    <w:rsid w:val="00547529"/>
    <w:rsid w:val="00547806"/>
    <w:rsid w:val="005527F9"/>
    <w:rsid w:val="00552E0A"/>
    <w:rsid w:val="00554AE0"/>
    <w:rsid w:val="00555E41"/>
    <w:rsid w:val="00556EB6"/>
    <w:rsid w:val="005624A9"/>
    <w:rsid w:val="00562C02"/>
    <w:rsid w:val="00563BB3"/>
    <w:rsid w:val="00565896"/>
    <w:rsid w:val="00566C50"/>
    <w:rsid w:val="00572651"/>
    <w:rsid w:val="00573D98"/>
    <w:rsid w:val="005749E7"/>
    <w:rsid w:val="0058181E"/>
    <w:rsid w:val="0059680C"/>
    <w:rsid w:val="005A2DD6"/>
    <w:rsid w:val="005A308A"/>
    <w:rsid w:val="005A317A"/>
    <w:rsid w:val="005A3395"/>
    <w:rsid w:val="005B4865"/>
    <w:rsid w:val="005B5E74"/>
    <w:rsid w:val="005C07A5"/>
    <w:rsid w:val="005C0984"/>
    <w:rsid w:val="005C486C"/>
    <w:rsid w:val="005C5173"/>
    <w:rsid w:val="005C6A43"/>
    <w:rsid w:val="005D0405"/>
    <w:rsid w:val="005D6706"/>
    <w:rsid w:val="005D7771"/>
    <w:rsid w:val="005D7838"/>
    <w:rsid w:val="005E0393"/>
    <w:rsid w:val="005E0A20"/>
    <w:rsid w:val="005E1DBE"/>
    <w:rsid w:val="005E6008"/>
    <w:rsid w:val="005E6CAC"/>
    <w:rsid w:val="005F18D8"/>
    <w:rsid w:val="005F5343"/>
    <w:rsid w:val="005F6A79"/>
    <w:rsid w:val="005F6F32"/>
    <w:rsid w:val="005F7429"/>
    <w:rsid w:val="005F79CB"/>
    <w:rsid w:val="00602BD6"/>
    <w:rsid w:val="00603A90"/>
    <w:rsid w:val="006050D5"/>
    <w:rsid w:val="00605A82"/>
    <w:rsid w:val="00613607"/>
    <w:rsid w:val="00613DA3"/>
    <w:rsid w:val="00617543"/>
    <w:rsid w:val="00620A94"/>
    <w:rsid w:val="00623A18"/>
    <w:rsid w:val="00623BB2"/>
    <w:rsid w:val="00627CD6"/>
    <w:rsid w:val="0063104A"/>
    <w:rsid w:val="00633347"/>
    <w:rsid w:val="00634285"/>
    <w:rsid w:val="006345D2"/>
    <w:rsid w:val="00634E4B"/>
    <w:rsid w:val="00637C2F"/>
    <w:rsid w:val="00642A57"/>
    <w:rsid w:val="00642A68"/>
    <w:rsid w:val="00644821"/>
    <w:rsid w:val="006458FC"/>
    <w:rsid w:val="006461C9"/>
    <w:rsid w:val="00651A66"/>
    <w:rsid w:val="00652600"/>
    <w:rsid w:val="006537DF"/>
    <w:rsid w:val="00655AD7"/>
    <w:rsid w:val="00657380"/>
    <w:rsid w:val="0066306A"/>
    <w:rsid w:val="006759DF"/>
    <w:rsid w:val="00680F55"/>
    <w:rsid w:val="0068147D"/>
    <w:rsid w:val="006827DE"/>
    <w:rsid w:val="00682988"/>
    <w:rsid w:val="006843A6"/>
    <w:rsid w:val="006858E3"/>
    <w:rsid w:val="00685BD0"/>
    <w:rsid w:val="00691F01"/>
    <w:rsid w:val="006926B0"/>
    <w:rsid w:val="006937FD"/>
    <w:rsid w:val="006962F1"/>
    <w:rsid w:val="006967DA"/>
    <w:rsid w:val="00696958"/>
    <w:rsid w:val="006972C9"/>
    <w:rsid w:val="00697F84"/>
    <w:rsid w:val="006A09A2"/>
    <w:rsid w:val="006A0D47"/>
    <w:rsid w:val="006A1FD7"/>
    <w:rsid w:val="006A3208"/>
    <w:rsid w:val="006A7AC5"/>
    <w:rsid w:val="006B0F87"/>
    <w:rsid w:val="006B1749"/>
    <w:rsid w:val="006B4B1D"/>
    <w:rsid w:val="006C283D"/>
    <w:rsid w:val="006C585D"/>
    <w:rsid w:val="006C64E8"/>
    <w:rsid w:val="006C7DBE"/>
    <w:rsid w:val="006D307B"/>
    <w:rsid w:val="006D364E"/>
    <w:rsid w:val="006D3841"/>
    <w:rsid w:val="006D4037"/>
    <w:rsid w:val="006D5AB3"/>
    <w:rsid w:val="006D5CBD"/>
    <w:rsid w:val="006D607D"/>
    <w:rsid w:val="006D7EEA"/>
    <w:rsid w:val="006E4836"/>
    <w:rsid w:val="006E7F9D"/>
    <w:rsid w:val="006F0753"/>
    <w:rsid w:val="006F1277"/>
    <w:rsid w:val="006F3ACE"/>
    <w:rsid w:val="006F49D8"/>
    <w:rsid w:val="006F4CDB"/>
    <w:rsid w:val="006F77BE"/>
    <w:rsid w:val="00700A73"/>
    <w:rsid w:val="007057C4"/>
    <w:rsid w:val="00713444"/>
    <w:rsid w:val="00715189"/>
    <w:rsid w:val="00715447"/>
    <w:rsid w:val="00715779"/>
    <w:rsid w:val="007165E7"/>
    <w:rsid w:val="007226E7"/>
    <w:rsid w:val="00722D20"/>
    <w:rsid w:val="00722EBC"/>
    <w:rsid w:val="00743E43"/>
    <w:rsid w:val="0074477D"/>
    <w:rsid w:val="00744A08"/>
    <w:rsid w:val="0074723F"/>
    <w:rsid w:val="00747551"/>
    <w:rsid w:val="00755D2E"/>
    <w:rsid w:val="007567C0"/>
    <w:rsid w:val="00765AA1"/>
    <w:rsid w:val="0076631F"/>
    <w:rsid w:val="00770025"/>
    <w:rsid w:val="00771038"/>
    <w:rsid w:val="007715F9"/>
    <w:rsid w:val="00775B10"/>
    <w:rsid w:val="0078231C"/>
    <w:rsid w:val="00783787"/>
    <w:rsid w:val="00784870"/>
    <w:rsid w:val="0078749F"/>
    <w:rsid w:val="007903F9"/>
    <w:rsid w:val="00792BDF"/>
    <w:rsid w:val="00797B9A"/>
    <w:rsid w:val="007A0B41"/>
    <w:rsid w:val="007A0EA3"/>
    <w:rsid w:val="007A1E6B"/>
    <w:rsid w:val="007A2CDE"/>
    <w:rsid w:val="007A53B3"/>
    <w:rsid w:val="007B0DF4"/>
    <w:rsid w:val="007B68C8"/>
    <w:rsid w:val="007B73DD"/>
    <w:rsid w:val="007C0125"/>
    <w:rsid w:val="007C08BC"/>
    <w:rsid w:val="007C0D3E"/>
    <w:rsid w:val="007C2DE7"/>
    <w:rsid w:val="007C7CEF"/>
    <w:rsid w:val="007D361E"/>
    <w:rsid w:val="007D57C8"/>
    <w:rsid w:val="007D5B30"/>
    <w:rsid w:val="007D6083"/>
    <w:rsid w:val="007E0782"/>
    <w:rsid w:val="007E2610"/>
    <w:rsid w:val="007E5239"/>
    <w:rsid w:val="007E6091"/>
    <w:rsid w:val="007F38D2"/>
    <w:rsid w:val="007F4B7B"/>
    <w:rsid w:val="007F65C7"/>
    <w:rsid w:val="00821992"/>
    <w:rsid w:val="00826F22"/>
    <w:rsid w:val="00827DC9"/>
    <w:rsid w:val="00830CA0"/>
    <w:rsid w:val="00833354"/>
    <w:rsid w:val="008341AF"/>
    <w:rsid w:val="00835491"/>
    <w:rsid w:val="0084122E"/>
    <w:rsid w:val="00845F59"/>
    <w:rsid w:val="0084715F"/>
    <w:rsid w:val="00847F60"/>
    <w:rsid w:val="0085112C"/>
    <w:rsid w:val="008512C3"/>
    <w:rsid w:val="00852BBC"/>
    <w:rsid w:val="008637C5"/>
    <w:rsid w:val="00865E8D"/>
    <w:rsid w:val="00873738"/>
    <w:rsid w:val="00873EBF"/>
    <w:rsid w:val="00882F61"/>
    <w:rsid w:val="0088302F"/>
    <w:rsid w:val="00891782"/>
    <w:rsid w:val="00891981"/>
    <w:rsid w:val="008927D3"/>
    <w:rsid w:val="008A1C6C"/>
    <w:rsid w:val="008A269F"/>
    <w:rsid w:val="008A2733"/>
    <w:rsid w:val="008A33DC"/>
    <w:rsid w:val="008A6FB7"/>
    <w:rsid w:val="008B10FC"/>
    <w:rsid w:val="008B2166"/>
    <w:rsid w:val="008B32DD"/>
    <w:rsid w:val="008B4FE0"/>
    <w:rsid w:val="008B5569"/>
    <w:rsid w:val="008B6CC6"/>
    <w:rsid w:val="008C123B"/>
    <w:rsid w:val="008C352E"/>
    <w:rsid w:val="008D189D"/>
    <w:rsid w:val="008D38C8"/>
    <w:rsid w:val="008D4892"/>
    <w:rsid w:val="008D4B66"/>
    <w:rsid w:val="008D60AC"/>
    <w:rsid w:val="008E117C"/>
    <w:rsid w:val="008E3AB7"/>
    <w:rsid w:val="008E5233"/>
    <w:rsid w:val="008E639F"/>
    <w:rsid w:val="008E7BAE"/>
    <w:rsid w:val="008F021C"/>
    <w:rsid w:val="008F3C69"/>
    <w:rsid w:val="008F44EB"/>
    <w:rsid w:val="008F48A5"/>
    <w:rsid w:val="008F5EB6"/>
    <w:rsid w:val="009035F9"/>
    <w:rsid w:val="009046AB"/>
    <w:rsid w:val="00905EB5"/>
    <w:rsid w:val="00906FEC"/>
    <w:rsid w:val="00911A0E"/>
    <w:rsid w:val="00915A78"/>
    <w:rsid w:val="0092012D"/>
    <w:rsid w:val="00920E5C"/>
    <w:rsid w:val="00921A79"/>
    <w:rsid w:val="00924163"/>
    <w:rsid w:val="009265E4"/>
    <w:rsid w:val="00930E74"/>
    <w:rsid w:val="009321BA"/>
    <w:rsid w:val="009330B4"/>
    <w:rsid w:val="00933872"/>
    <w:rsid w:val="00935F73"/>
    <w:rsid w:val="0094629E"/>
    <w:rsid w:val="00947118"/>
    <w:rsid w:val="00947CF9"/>
    <w:rsid w:val="00953C7E"/>
    <w:rsid w:val="0095420E"/>
    <w:rsid w:val="0095442E"/>
    <w:rsid w:val="00960382"/>
    <w:rsid w:val="00962F07"/>
    <w:rsid w:val="009641AC"/>
    <w:rsid w:val="009642F9"/>
    <w:rsid w:val="00970B81"/>
    <w:rsid w:val="009720A6"/>
    <w:rsid w:val="00973E72"/>
    <w:rsid w:val="00973ED3"/>
    <w:rsid w:val="009753DD"/>
    <w:rsid w:val="00975533"/>
    <w:rsid w:val="00981A5B"/>
    <w:rsid w:val="00983A92"/>
    <w:rsid w:val="00986C77"/>
    <w:rsid w:val="00990F86"/>
    <w:rsid w:val="0099464B"/>
    <w:rsid w:val="009965ED"/>
    <w:rsid w:val="009A15DD"/>
    <w:rsid w:val="009A1AFE"/>
    <w:rsid w:val="009A2448"/>
    <w:rsid w:val="009A3FE7"/>
    <w:rsid w:val="009A517E"/>
    <w:rsid w:val="009A6BA9"/>
    <w:rsid w:val="009A76AF"/>
    <w:rsid w:val="009B4CD9"/>
    <w:rsid w:val="009B61AA"/>
    <w:rsid w:val="009B6550"/>
    <w:rsid w:val="009B729D"/>
    <w:rsid w:val="009C08DD"/>
    <w:rsid w:val="009C30E7"/>
    <w:rsid w:val="009C35F5"/>
    <w:rsid w:val="009C7B05"/>
    <w:rsid w:val="009D0E37"/>
    <w:rsid w:val="009D3A6F"/>
    <w:rsid w:val="009D4FCF"/>
    <w:rsid w:val="009E283B"/>
    <w:rsid w:val="009E335D"/>
    <w:rsid w:val="009E3871"/>
    <w:rsid w:val="009F011F"/>
    <w:rsid w:val="009F2385"/>
    <w:rsid w:val="009F2ED9"/>
    <w:rsid w:val="009F6925"/>
    <w:rsid w:val="009F7B9D"/>
    <w:rsid w:val="00A02264"/>
    <w:rsid w:val="00A04047"/>
    <w:rsid w:val="00A0473D"/>
    <w:rsid w:val="00A063F4"/>
    <w:rsid w:val="00A075FF"/>
    <w:rsid w:val="00A125BA"/>
    <w:rsid w:val="00A1292D"/>
    <w:rsid w:val="00A1453C"/>
    <w:rsid w:val="00A14BEE"/>
    <w:rsid w:val="00A2015B"/>
    <w:rsid w:val="00A21E0C"/>
    <w:rsid w:val="00A21E89"/>
    <w:rsid w:val="00A26202"/>
    <w:rsid w:val="00A26258"/>
    <w:rsid w:val="00A3474D"/>
    <w:rsid w:val="00A34DBC"/>
    <w:rsid w:val="00A40F63"/>
    <w:rsid w:val="00A41229"/>
    <w:rsid w:val="00A436DF"/>
    <w:rsid w:val="00A450A8"/>
    <w:rsid w:val="00A47877"/>
    <w:rsid w:val="00A478A3"/>
    <w:rsid w:val="00A47AA2"/>
    <w:rsid w:val="00A51858"/>
    <w:rsid w:val="00A52958"/>
    <w:rsid w:val="00A60EF7"/>
    <w:rsid w:val="00A618F3"/>
    <w:rsid w:val="00A624E3"/>
    <w:rsid w:val="00A676C7"/>
    <w:rsid w:val="00A70008"/>
    <w:rsid w:val="00A72BB8"/>
    <w:rsid w:val="00A7352C"/>
    <w:rsid w:val="00A744D2"/>
    <w:rsid w:val="00A751B5"/>
    <w:rsid w:val="00A82A85"/>
    <w:rsid w:val="00A84403"/>
    <w:rsid w:val="00A90F58"/>
    <w:rsid w:val="00A92E3F"/>
    <w:rsid w:val="00A92EFE"/>
    <w:rsid w:val="00AA01CC"/>
    <w:rsid w:val="00AA4324"/>
    <w:rsid w:val="00AA4F16"/>
    <w:rsid w:val="00AA651D"/>
    <w:rsid w:val="00AB496E"/>
    <w:rsid w:val="00AB66B5"/>
    <w:rsid w:val="00AB72F2"/>
    <w:rsid w:val="00AC1353"/>
    <w:rsid w:val="00AC21FC"/>
    <w:rsid w:val="00AC3B6D"/>
    <w:rsid w:val="00AD1C29"/>
    <w:rsid w:val="00AD2F63"/>
    <w:rsid w:val="00AD7F35"/>
    <w:rsid w:val="00AE188F"/>
    <w:rsid w:val="00AE1973"/>
    <w:rsid w:val="00AE29DE"/>
    <w:rsid w:val="00AF00A0"/>
    <w:rsid w:val="00AF2BDD"/>
    <w:rsid w:val="00AF637E"/>
    <w:rsid w:val="00AF7760"/>
    <w:rsid w:val="00B0037C"/>
    <w:rsid w:val="00B00432"/>
    <w:rsid w:val="00B00CCE"/>
    <w:rsid w:val="00B01A81"/>
    <w:rsid w:val="00B02598"/>
    <w:rsid w:val="00B04DC2"/>
    <w:rsid w:val="00B0626F"/>
    <w:rsid w:val="00B123A4"/>
    <w:rsid w:val="00B125C8"/>
    <w:rsid w:val="00B1396B"/>
    <w:rsid w:val="00B239DE"/>
    <w:rsid w:val="00B25CD2"/>
    <w:rsid w:val="00B26D6A"/>
    <w:rsid w:val="00B3166E"/>
    <w:rsid w:val="00B318F8"/>
    <w:rsid w:val="00B32096"/>
    <w:rsid w:val="00B37200"/>
    <w:rsid w:val="00B40187"/>
    <w:rsid w:val="00B43AFF"/>
    <w:rsid w:val="00B47E8E"/>
    <w:rsid w:val="00B5078B"/>
    <w:rsid w:val="00B51011"/>
    <w:rsid w:val="00B5121F"/>
    <w:rsid w:val="00B55A32"/>
    <w:rsid w:val="00B55C16"/>
    <w:rsid w:val="00B55EB5"/>
    <w:rsid w:val="00B650A5"/>
    <w:rsid w:val="00B66AF7"/>
    <w:rsid w:val="00B66CC7"/>
    <w:rsid w:val="00B703CB"/>
    <w:rsid w:val="00B70547"/>
    <w:rsid w:val="00B70D0D"/>
    <w:rsid w:val="00B7410C"/>
    <w:rsid w:val="00B752C3"/>
    <w:rsid w:val="00B76B9D"/>
    <w:rsid w:val="00B7721C"/>
    <w:rsid w:val="00B77566"/>
    <w:rsid w:val="00B775C4"/>
    <w:rsid w:val="00B840BB"/>
    <w:rsid w:val="00B871EE"/>
    <w:rsid w:val="00B926E2"/>
    <w:rsid w:val="00B92BCC"/>
    <w:rsid w:val="00B942E0"/>
    <w:rsid w:val="00B95BC4"/>
    <w:rsid w:val="00B973DC"/>
    <w:rsid w:val="00BA02D4"/>
    <w:rsid w:val="00BA072D"/>
    <w:rsid w:val="00BA25FF"/>
    <w:rsid w:val="00BA721B"/>
    <w:rsid w:val="00BB0DBB"/>
    <w:rsid w:val="00BB246F"/>
    <w:rsid w:val="00BB5BB1"/>
    <w:rsid w:val="00BC0ADD"/>
    <w:rsid w:val="00BC0FD4"/>
    <w:rsid w:val="00BC1FB8"/>
    <w:rsid w:val="00BC428F"/>
    <w:rsid w:val="00BC5775"/>
    <w:rsid w:val="00BC701E"/>
    <w:rsid w:val="00BD0247"/>
    <w:rsid w:val="00BD2C9F"/>
    <w:rsid w:val="00BD51D0"/>
    <w:rsid w:val="00BD56D1"/>
    <w:rsid w:val="00BD6515"/>
    <w:rsid w:val="00BD6FB4"/>
    <w:rsid w:val="00BD7A55"/>
    <w:rsid w:val="00BE4479"/>
    <w:rsid w:val="00BE450D"/>
    <w:rsid w:val="00BE4FF1"/>
    <w:rsid w:val="00BE5B3D"/>
    <w:rsid w:val="00BF269C"/>
    <w:rsid w:val="00BF41D0"/>
    <w:rsid w:val="00BF477C"/>
    <w:rsid w:val="00BF5319"/>
    <w:rsid w:val="00BF7D80"/>
    <w:rsid w:val="00C03CD6"/>
    <w:rsid w:val="00C04967"/>
    <w:rsid w:val="00C04C54"/>
    <w:rsid w:val="00C051FF"/>
    <w:rsid w:val="00C0553E"/>
    <w:rsid w:val="00C076E7"/>
    <w:rsid w:val="00C077B9"/>
    <w:rsid w:val="00C079F3"/>
    <w:rsid w:val="00C12398"/>
    <w:rsid w:val="00C24D41"/>
    <w:rsid w:val="00C24E8F"/>
    <w:rsid w:val="00C304F7"/>
    <w:rsid w:val="00C3521F"/>
    <w:rsid w:val="00C35F90"/>
    <w:rsid w:val="00C36FB3"/>
    <w:rsid w:val="00C37070"/>
    <w:rsid w:val="00C40747"/>
    <w:rsid w:val="00C42551"/>
    <w:rsid w:val="00C446EF"/>
    <w:rsid w:val="00C510CB"/>
    <w:rsid w:val="00C52E59"/>
    <w:rsid w:val="00C54AE2"/>
    <w:rsid w:val="00C561A1"/>
    <w:rsid w:val="00C6171E"/>
    <w:rsid w:val="00C63223"/>
    <w:rsid w:val="00C67201"/>
    <w:rsid w:val="00C67CA6"/>
    <w:rsid w:val="00C71B30"/>
    <w:rsid w:val="00C72C58"/>
    <w:rsid w:val="00C74290"/>
    <w:rsid w:val="00C775DB"/>
    <w:rsid w:val="00C82DDA"/>
    <w:rsid w:val="00C83601"/>
    <w:rsid w:val="00C83E47"/>
    <w:rsid w:val="00C850A7"/>
    <w:rsid w:val="00C87412"/>
    <w:rsid w:val="00C907D3"/>
    <w:rsid w:val="00C92BC5"/>
    <w:rsid w:val="00C934EB"/>
    <w:rsid w:val="00C93D87"/>
    <w:rsid w:val="00C95C4B"/>
    <w:rsid w:val="00C97448"/>
    <w:rsid w:val="00C97F6A"/>
    <w:rsid w:val="00CA03A3"/>
    <w:rsid w:val="00CA3D89"/>
    <w:rsid w:val="00CA7B00"/>
    <w:rsid w:val="00CA7CA6"/>
    <w:rsid w:val="00CB654B"/>
    <w:rsid w:val="00CB6C2A"/>
    <w:rsid w:val="00CB6F0A"/>
    <w:rsid w:val="00CB762E"/>
    <w:rsid w:val="00CC0AA6"/>
    <w:rsid w:val="00CC323B"/>
    <w:rsid w:val="00CC438F"/>
    <w:rsid w:val="00CC5BFB"/>
    <w:rsid w:val="00CC5F24"/>
    <w:rsid w:val="00CD49E7"/>
    <w:rsid w:val="00CD4C75"/>
    <w:rsid w:val="00CD6396"/>
    <w:rsid w:val="00CE04CD"/>
    <w:rsid w:val="00CE1960"/>
    <w:rsid w:val="00CE1D09"/>
    <w:rsid w:val="00CE3537"/>
    <w:rsid w:val="00CE39B2"/>
    <w:rsid w:val="00CF1B43"/>
    <w:rsid w:val="00CF1CAE"/>
    <w:rsid w:val="00D0695E"/>
    <w:rsid w:val="00D11E92"/>
    <w:rsid w:val="00D13B51"/>
    <w:rsid w:val="00D150BF"/>
    <w:rsid w:val="00D157EC"/>
    <w:rsid w:val="00D16CA4"/>
    <w:rsid w:val="00D17597"/>
    <w:rsid w:val="00D244D0"/>
    <w:rsid w:val="00D259B0"/>
    <w:rsid w:val="00D25A0D"/>
    <w:rsid w:val="00D26814"/>
    <w:rsid w:val="00D3231B"/>
    <w:rsid w:val="00D3775C"/>
    <w:rsid w:val="00D377EC"/>
    <w:rsid w:val="00D40FF7"/>
    <w:rsid w:val="00D47E4A"/>
    <w:rsid w:val="00D5036E"/>
    <w:rsid w:val="00D51923"/>
    <w:rsid w:val="00D55AC2"/>
    <w:rsid w:val="00D561BE"/>
    <w:rsid w:val="00D564BE"/>
    <w:rsid w:val="00D62D9B"/>
    <w:rsid w:val="00D65EDB"/>
    <w:rsid w:val="00D701A7"/>
    <w:rsid w:val="00D70D25"/>
    <w:rsid w:val="00D735DA"/>
    <w:rsid w:val="00D83119"/>
    <w:rsid w:val="00D84DE1"/>
    <w:rsid w:val="00D94838"/>
    <w:rsid w:val="00D95FB1"/>
    <w:rsid w:val="00D97652"/>
    <w:rsid w:val="00DA1107"/>
    <w:rsid w:val="00DA53FC"/>
    <w:rsid w:val="00DA769E"/>
    <w:rsid w:val="00DA7777"/>
    <w:rsid w:val="00DB04D2"/>
    <w:rsid w:val="00DB21A3"/>
    <w:rsid w:val="00DB2260"/>
    <w:rsid w:val="00DB69BC"/>
    <w:rsid w:val="00DC4770"/>
    <w:rsid w:val="00DC602C"/>
    <w:rsid w:val="00DC6FBE"/>
    <w:rsid w:val="00DD0431"/>
    <w:rsid w:val="00DD13D5"/>
    <w:rsid w:val="00DD33BF"/>
    <w:rsid w:val="00DD4090"/>
    <w:rsid w:val="00DE066D"/>
    <w:rsid w:val="00DE27A9"/>
    <w:rsid w:val="00DE31B9"/>
    <w:rsid w:val="00DE466C"/>
    <w:rsid w:val="00DF765E"/>
    <w:rsid w:val="00E0062F"/>
    <w:rsid w:val="00E02128"/>
    <w:rsid w:val="00E03EE8"/>
    <w:rsid w:val="00E03FD5"/>
    <w:rsid w:val="00E11A5E"/>
    <w:rsid w:val="00E13900"/>
    <w:rsid w:val="00E17646"/>
    <w:rsid w:val="00E17916"/>
    <w:rsid w:val="00E20368"/>
    <w:rsid w:val="00E25F05"/>
    <w:rsid w:val="00E260FE"/>
    <w:rsid w:val="00E27E36"/>
    <w:rsid w:val="00E30122"/>
    <w:rsid w:val="00E371F4"/>
    <w:rsid w:val="00E37C60"/>
    <w:rsid w:val="00E40E38"/>
    <w:rsid w:val="00E439A1"/>
    <w:rsid w:val="00E45414"/>
    <w:rsid w:val="00E5106B"/>
    <w:rsid w:val="00E532A7"/>
    <w:rsid w:val="00E61E79"/>
    <w:rsid w:val="00E63626"/>
    <w:rsid w:val="00E63D36"/>
    <w:rsid w:val="00E656EB"/>
    <w:rsid w:val="00E672E7"/>
    <w:rsid w:val="00E675B7"/>
    <w:rsid w:val="00E70B93"/>
    <w:rsid w:val="00E73211"/>
    <w:rsid w:val="00E76E4F"/>
    <w:rsid w:val="00E77D51"/>
    <w:rsid w:val="00E84675"/>
    <w:rsid w:val="00E84CE2"/>
    <w:rsid w:val="00E86D56"/>
    <w:rsid w:val="00E86E6E"/>
    <w:rsid w:val="00E90F52"/>
    <w:rsid w:val="00E942A5"/>
    <w:rsid w:val="00E954C0"/>
    <w:rsid w:val="00E95620"/>
    <w:rsid w:val="00EA11F7"/>
    <w:rsid w:val="00EA1EAE"/>
    <w:rsid w:val="00EA29E1"/>
    <w:rsid w:val="00EA49D7"/>
    <w:rsid w:val="00EA5B1B"/>
    <w:rsid w:val="00EA5E21"/>
    <w:rsid w:val="00EA7382"/>
    <w:rsid w:val="00EB3478"/>
    <w:rsid w:val="00EC0353"/>
    <w:rsid w:val="00EC0604"/>
    <w:rsid w:val="00EC083D"/>
    <w:rsid w:val="00EC169B"/>
    <w:rsid w:val="00EC5B4C"/>
    <w:rsid w:val="00EC63BD"/>
    <w:rsid w:val="00EC6817"/>
    <w:rsid w:val="00ED0B0A"/>
    <w:rsid w:val="00ED195D"/>
    <w:rsid w:val="00ED27DE"/>
    <w:rsid w:val="00ED28EF"/>
    <w:rsid w:val="00ED37C1"/>
    <w:rsid w:val="00ED4359"/>
    <w:rsid w:val="00ED7076"/>
    <w:rsid w:val="00EE15B8"/>
    <w:rsid w:val="00EE2587"/>
    <w:rsid w:val="00EE59DC"/>
    <w:rsid w:val="00EF00E0"/>
    <w:rsid w:val="00EF149C"/>
    <w:rsid w:val="00EF168B"/>
    <w:rsid w:val="00EF1A9A"/>
    <w:rsid w:val="00EF373F"/>
    <w:rsid w:val="00EF5D2F"/>
    <w:rsid w:val="00EF74C7"/>
    <w:rsid w:val="00F004BC"/>
    <w:rsid w:val="00F029AB"/>
    <w:rsid w:val="00F0377A"/>
    <w:rsid w:val="00F04AFD"/>
    <w:rsid w:val="00F11D4B"/>
    <w:rsid w:val="00F12ED4"/>
    <w:rsid w:val="00F141D2"/>
    <w:rsid w:val="00F150F2"/>
    <w:rsid w:val="00F24B58"/>
    <w:rsid w:val="00F269D9"/>
    <w:rsid w:val="00F42EC7"/>
    <w:rsid w:val="00F4338D"/>
    <w:rsid w:val="00F463FF"/>
    <w:rsid w:val="00F47A7D"/>
    <w:rsid w:val="00F51F87"/>
    <w:rsid w:val="00F61376"/>
    <w:rsid w:val="00F61D43"/>
    <w:rsid w:val="00F653F5"/>
    <w:rsid w:val="00F65E52"/>
    <w:rsid w:val="00F71E9F"/>
    <w:rsid w:val="00F74D20"/>
    <w:rsid w:val="00F75158"/>
    <w:rsid w:val="00F761AB"/>
    <w:rsid w:val="00F77D4B"/>
    <w:rsid w:val="00F81A92"/>
    <w:rsid w:val="00F83098"/>
    <w:rsid w:val="00F85047"/>
    <w:rsid w:val="00F861F3"/>
    <w:rsid w:val="00F87895"/>
    <w:rsid w:val="00F918D9"/>
    <w:rsid w:val="00F91DF3"/>
    <w:rsid w:val="00F920D4"/>
    <w:rsid w:val="00FA2ECD"/>
    <w:rsid w:val="00FA3FF5"/>
    <w:rsid w:val="00FA6718"/>
    <w:rsid w:val="00FA74DA"/>
    <w:rsid w:val="00FB1853"/>
    <w:rsid w:val="00FB37AF"/>
    <w:rsid w:val="00FC0350"/>
    <w:rsid w:val="00FC11DE"/>
    <w:rsid w:val="00FC26FA"/>
    <w:rsid w:val="00FD0CE6"/>
    <w:rsid w:val="00FE1C12"/>
    <w:rsid w:val="00FE4D6D"/>
    <w:rsid w:val="00FE50E4"/>
    <w:rsid w:val="00FE63D3"/>
    <w:rsid w:val="00FE67C3"/>
    <w:rsid w:val="00FE7DF9"/>
    <w:rsid w:val="00FF1250"/>
    <w:rsid w:val="00FF7161"/>
    <w:rsid w:val="00FF7498"/>
    <w:rsid w:val="00FF78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6AC80"/>
  <w15:docId w15:val="{7BA04C85-F007-4C91-B390-1230D26D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B05"/>
    <w:pPr>
      <w:bidi/>
    </w:pPr>
    <w:rPr>
      <w:sz w:val="24"/>
      <w:szCs w:val="24"/>
      <w:lang w:eastAsia="ar-SA"/>
    </w:rPr>
  </w:style>
  <w:style w:type="paragraph" w:styleId="Heading1">
    <w:name w:val="heading 1"/>
    <w:basedOn w:val="Normal"/>
    <w:next w:val="Normal"/>
    <w:link w:val="Heading1Char"/>
    <w:qFormat/>
    <w:rsid w:val="002E553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C7B05"/>
    <w:pPr>
      <w:bidi w:val="0"/>
      <w:ind w:left="-900"/>
      <w:jc w:val="lowKashida"/>
    </w:pPr>
  </w:style>
  <w:style w:type="paragraph" w:styleId="BodyTextIndent2">
    <w:name w:val="Body Text Indent 2"/>
    <w:basedOn w:val="Normal"/>
    <w:link w:val="BodyTextIndent2Char"/>
    <w:rsid w:val="009C7B05"/>
    <w:pPr>
      <w:bidi w:val="0"/>
      <w:ind w:left="-900"/>
    </w:pPr>
  </w:style>
  <w:style w:type="character" w:customStyle="1" w:styleId="longtext">
    <w:name w:val="long_text"/>
    <w:basedOn w:val="DefaultParagraphFont"/>
    <w:rsid w:val="006F1277"/>
  </w:style>
  <w:style w:type="character" w:customStyle="1" w:styleId="shorttext">
    <w:name w:val="short_text"/>
    <w:basedOn w:val="DefaultParagraphFont"/>
    <w:rsid w:val="0041058C"/>
  </w:style>
  <w:style w:type="paragraph" w:styleId="BalloonText">
    <w:name w:val="Balloon Text"/>
    <w:basedOn w:val="Normal"/>
    <w:link w:val="BalloonTextChar"/>
    <w:rsid w:val="00930E74"/>
    <w:rPr>
      <w:rFonts w:ascii="Tahoma" w:hAnsi="Tahoma"/>
      <w:sz w:val="16"/>
      <w:szCs w:val="16"/>
    </w:rPr>
  </w:style>
  <w:style w:type="character" w:customStyle="1" w:styleId="BalloonTextChar">
    <w:name w:val="Balloon Text Char"/>
    <w:link w:val="BalloonText"/>
    <w:rsid w:val="00930E74"/>
    <w:rPr>
      <w:rFonts w:ascii="Tahoma" w:hAnsi="Tahoma" w:cs="Tahoma"/>
      <w:sz w:val="16"/>
      <w:szCs w:val="16"/>
      <w:lang w:eastAsia="ar-SA"/>
    </w:rPr>
  </w:style>
  <w:style w:type="character" w:styleId="Hyperlink">
    <w:name w:val="Hyperlink"/>
    <w:rsid w:val="003A3C71"/>
    <w:rPr>
      <w:strike w:val="0"/>
      <w:dstrike w:val="0"/>
      <w:color w:val="000080"/>
      <w:sz w:val="21"/>
      <w:szCs w:val="21"/>
      <w:u w:val="none"/>
      <w:effect w:val="none"/>
    </w:rPr>
  </w:style>
  <w:style w:type="character" w:customStyle="1" w:styleId="hps">
    <w:name w:val="hps"/>
    <w:basedOn w:val="DefaultParagraphFont"/>
    <w:rsid w:val="003A3C71"/>
  </w:style>
  <w:style w:type="character" w:customStyle="1" w:styleId="BodyTextIndentChar">
    <w:name w:val="Body Text Indent Char"/>
    <w:link w:val="BodyTextIndent"/>
    <w:rsid w:val="00C850A7"/>
    <w:rPr>
      <w:sz w:val="24"/>
      <w:szCs w:val="24"/>
      <w:lang w:eastAsia="ar-SA"/>
    </w:rPr>
  </w:style>
  <w:style w:type="table" w:styleId="TableGrid">
    <w:name w:val="Table Grid"/>
    <w:basedOn w:val="TableNormal"/>
    <w:uiPriority w:val="59"/>
    <w:rsid w:val="000D7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F7D80"/>
    <w:pPr>
      <w:tabs>
        <w:tab w:val="center" w:pos="4153"/>
        <w:tab w:val="right" w:pos="8306"/>
      </w:tabs>
    </w:pPr>
  </w:style>
  <w:style w:type="character" w:customStyle="1" w:styleId="HeaderChar">
    <w:name w:val="Header Char"/>
    <w:link w:val="Header"/>
    <w:rsid w:val="00BF7D80"/>
    <w:rPr>
      <w:sz w:val="24"/>
      <w:szCs w:val="24"/>
      <w:lang w:eastAsia="ar-SA"/>
    </w:rPr>
  </w:style>
  <w:style w:type="paragraph" w:styleId="Footer">
    <w:name w:val="footer"/>
    <w:basedOn w:val="Normal"/>
    <w:link w:val="FooterChar"/>
    <w:uiPriority w:val="99"/>
    <w:rsid w:val="00BF7D80"/>
    <w:pPr>
      <w:tabs>
        <w:tab w:val="center" w:pos="4153"/>
        <w:tab w:val="right" w:pos="8306"/>
      </w:tabs>
    </w:pPr>
  </w:style>
  <w:style w:type="character" w:customStyle="1" w:styleId="FooterChar">
    <w:name w:val="Footer Char"/>
    <w:link w:val="Footer"/>
    <w:uiPriority w:val="99"/>
    <w:rsid w:val="00BF7D80"/>
    <w:rPr>
      <w:sz w:val="24"/>
      <w:szCs w:val="24"/>
      <w:lang w:eastAsia="ar-SA"/>
    </w:rPr>
  </w:style>
  <w:style w:type="character" w:styleId="CommentReference">
    <w:name w:val="annotation reference"/>
    <w:rsid w:val="00237EFC"/>
    <w:rPr>
      <w:sz w:val="16"/>
      <w:szCs w:val="16"/>
    </w:rPr>
  </w:style>
  <w:style w:type="paragraph" w:styleId="CommentText">
    <w:name w:val="annotation text"/>
    <w:basedOn w:val="Normal"/>
    <w:link w:val="CommentTextChar"/>
    <w:rsid w:val="00237EFC"/>
    <w:rPr>
      <w:sz w:val="20"/>
      <w:szCs w:val="20"/>
    </w:rPr>
  </w:style>
  <w:style w:type="character" w:customStyle="1" w:styleId="CommentTextChar">
    <w:name w:val="Comment Text Char"/>
    <w:link w:val="CommentText"/>
    <w:rsid w:val="00237EFC"/>
    <w:rPr>
      <w:lang w:val="en-US" w:eastAsia="ar-SA"/>
    </w:rPr>
  </w:style>
  <w:style w:type="paragraph" w:styleId="CommentSubject">
    <w:name w:val="annotation subject"/>
    <w:basedOn w:val="CommentText"/>
    <w:next w:val="CommentText"/>
    <w:link w:val="CommentSubjectChar"/>
    <w:rsid w:val="00237EFC"/>
    <w:rPr>
      <w:b/>
      <w:bCs/>
    </w:rPr>
  </w:style>
  <w:style w:type="character" w:customStyle="1" w:styleId="CommentSubjectChar">
    <w:name w:val="Comment Subject Char"/>
    <w:link w:val="CommentSubject"/>
    <w:rsid w:val="00237EFC"/>
    <w:rPr>
      <w:b/>
      <w:bCs/>
      <w:lang w:val="en-US" w:eastAsia="ar-SA"/>
    </w:rPr>
  </w:style>
  <w:style w:type="paragraph" w:styleId="Revision">
    <w:name w:val="Revision"/>
    <w:hidden/>
    <w:uiPriority w:val="99"/>
    <w:semiHidden/>
    <w:rsid w:val="00237EFC"/>
    <w:rPr>
      <w:sz w:val="24"/>
      <w:szCs w:val="24"/>
      <w:lang w:eastAsia="ar-SA"/>
    </w:rPr>
  </w:style>
  <w:style w:type="character" w:customStyle="1" w:styleId="Heading1Char">
    <w:name w:val="Heading 1 Char"/>
    <w:basedOn w:val="DefaultParagraphFont"/>
    <w:link w:val="Heading1"/>
    <w:rsid w:val="002E553F"/>
    <w:rPr>
      <w:rFonts w:ascii="Cambria" w:eastAsia="Times New Roman" w:hAnsi="Cambria" w:cs="Times New Roman"/>
      <w:b/>
      <w:bCs/>
      <w:kern w:val="32"/>
      <w:sz w:val="32"/>
      <w:szCs w:val="32"/>
      <w:lang w:eastAsia="ar-SA"/>
    </w:rPr>
  </w:style>
  <w:style w:type="character" w:customStyle="1" w:styleId="BodyTextIndent2Char">
    <w:name w:val="Body Text Indent 2 Char"/>
    <w:basedOn w:val="DefaultParagraphFont"/>
    <w:link w:val="BodyTextIndent2"/>
    <w:rsid w:val="00EA5B1B"/>
    <w:rPr>
      <w:sz w:val="24"/>
      <w:szCs w:val="24"/>
      <w:lang w:eastAsia="ar-SA"/>
    </w:rPr>
  </w:style>
  <w:style w:type="character" w:customStyle="1" w:styleId="alt-edited1">
    <w:name w:val="alt-edited1"/>
    <w:basedOn w:val="DefaultParagraphFont"/>
    <w:rsid w:val="00680F55"/>
    <w:rPr>
      <w:color w:val="4D90F0"/>
    </w:rPr>
  </w:style>
  <w:style w:type="paragraph" w:styleId="ListParagraph">
    <w:name w:val="List Paragraph"/>
    <w:basedOn w:val="Normal"/>
    <w:uiPriority w:val="34"/>
    <w:qFormat/>
    <w:rsid w:val="005A2DD6"/>
    <w:pPr>
      <w:ind w:left="720"/>
      <w:contextualSpacing/>
    </w:pPr>
  </w:style>
  <w:style w:type="paragraph" w:styleId="FootnoteText">
    <w:name w:val="footnote text"/>
    <w:basedOn w:val="Normal"/>
    <w:link w:val="FootnoteTextChar"/>
    <w:uiPriority w:val="99"/>
    <w:unhideWhenUsed/>
    <w:rsid w:val="00A436DF"/>
    <w:rPr>
      <w:sz w:val="20"/>
      <w:szCs w:val="20"/>
    </w:rPr>
  </w:style>
  <w:style w:type="character" w:customStyle="1" w:styleId="FootnoteTextChar">
    <w:name w:val="Footnote Text Char"/>
    <w:basedOn w:val="DefaultParagraphFont"/>
    <w:link w:val="FootnoteText"/>
    <w:uiPriority w:val="99"/>
    <w:rsid w:val="00A436DF"/>
    <w:rPr>
      <w:lang w:eastAsia="ar-SA"/>
    </w:rPr>
  </w:style>
  <w:style w:type="character" w:styleId="FootnoteReference">
    <w:name w:val="footnote reference"/>
    <w:basedOn w:val="DefaultParagraphFont"/>
    <w:uiPriority w:val="99"/>
    <w:unhideWhenUsed/>
    <w:rsid w:val="00A436DF"/>
    <w:rPr>
      <w:vertAlign w:val="superscript"/>
    </w:rPr>
  </w:style>
  <w:style w:type="character" w:customStyle="1" w:styleId="tlid-translation">
    <w:name w:val="tlid-translation"/>
    <w:basedOn w:val="DefaultParagraphFont"/>
    <w:rsid w:val="00AF00A0"/>
  </w:style>
  <w:style w:type="paragraph" w:styleId="EndnoteText">
    <w:name w:val="endnote text"/>
    <w:basedOn w:val="Normal"/>
    <w:link w:val="EndnoteTextChar"/>
    <w:semiHidden/>
    <w:unhideWhenUsed/>
    <w:rsid w:val="00EF5D2F"/>
    <w:rPr>
      <w:sz w:val="20"/>
      <w:szCs w:val="20"/>
    </w:rPr>
  </w:style>
  <w:style w:type="character" w:customStyle="1" w:styleId="EndnoteTextChar">
    <w:name w:val="Endnote Text Char"/>
    <w:basedOn w:val="DefaultParagraphFont"/>
    <w:link w:val="EndnoteText"/>
    <w:semiHidden/>
    <w:rsid w:val="00EF5D2F"/>
    <w:rPr>
      <w:lang w:eastAsia="ar-SA"/>
    </w:rPr>
  </w:style>
  <w:style w:type="character" w:styleId="EndnoteReference">
    <w:name w:val="endnote reference"/>
    <w:basedOn w:val="DefaultParagraphFont"/>
    <w:semiHidden/>
    <w:unhideWhenUsed/>
    <w:rsid w:val="00EF5D2F"/>
    <w:rPr>
      <w:vertAlign w:val="superscript"/>
    </w:rPr>
  </w:style>
  <w:style w:type="paragraph" w:styleId="BodyText">
    <w:name w:val="Body Text"/>
    <w:basedOn w:val="Normal"/>
    <w:link w:val="BodyTextChar"/>
    <w:semiHidden/>
    <w:unhideWhenUsed/>
    <w:rsid w:val="00443400"/>
    <w:pPr>
      <w:spacing w:after="120"/>
    </w:pPr>
  </w:style>
  <w:style w:type="character" w:customStyle="1" w:styleId="BodyTextChar">
    <w:name w:val="Body Text Char"/>
    <w:basedOn w:val="DefaultParagraphFont"/>
    <w:link w:val="BodyText"/>
    <w:semiHidden/>
    <w:rsid w:val="00443400"/>
    <w:rPr>
      <w:sz w:val="24"/>
      <w:szCs w:val="24"/>
      <w:lang w:eastAsia="ar-SA"/>
    </w:rPr>
  </w:style>
  <w:style w:type="character" w:customStyle="1" w:styleId="jlqj4b">
    <w:name w:val="jlqj4b"/>
    <w:basedOn w:val="DefaultParagraphFont"/>
    <w:rsid w:val="00D13B51"/>
  </w:style>
  <w:style w:type="character" w:customStyle="1" w:styleId="rynqvb">
    <w:name w:val="rynqvb"/>
    <w:basedOn w:val="DefaultParagraphFont"/>
    <w:rsid w:val="005D7771"/>
  </w:style>
  <w:style w:type="character" w:customStyle="1" w:styleId="hwtze">
    <w:name w:val="hwtze"/>
    <w:basedOn w:val="DefaultParagraphFont"/>
    <w:rsid w:val="00C97448"/>
  </w:style>
  <w:style w:type="character" w:customStyle="1" w:styleId="material-icons-extended">
    <w:name w:val="material-icons-extended"/>
    <w:basedOn w:val="DefaultParagraphFont"/>
    <w:rsid w:val="00C97448"/>
  </w:style>
  <w:style w:type="paragraph" w:styleId="HTMLPreformatted">
    <w:name w:val="HTML Preformatted"/>
    <w:basedOn w:val="Normal"/>
    <w:link w:val="HTMLPreformattedChar"/>
    <w:uiPriority w:val="99"/>
    <w:semiHidden/>
    <w:unhideWhenUsed/>
    <w:rsid w:val="00BD6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BD6515"/>
    <w:rPr>
      <w:rFonts w:ascii="Courier New" w:hAnsi="Courier New" w:cs="Courier New"/>
    </w:rPr>
  </w:style>
  <w:style w:type="character" w:customStyle="1" w:styleId="y2iqfc">
    <w:name w:val="y2iqfc"/>
    <w:basedOn w:val="DefaultParagraphFont"/>
    <w:rsid w:val="00BD6515"/>
  </w:style>
  <w:style w:type="paragraph" w:styleId="NormalWeb">
    <w:name w:val="Normal (Web)"/>
    <w:basedOn w:val="Normal"/>
    <w:uiPriority w:val="99"/>
    <w:rsid w:val="00AF637E"/>
    <w:pPr>
      <w:bidi w:val="0"/>
      <w:spacing w:before="100" w:beforeAutospacing="1" w:after="100" w:afterAutospacing="1"/>
    </w:pPr>
    <w:rPr>
      <w:rFonts w:ascii="Arial Unicode MS" w:eastAsia="Arial Unicode MS" w:hAnsi="Arial Unicode MS" w:cs="Arial Unicode MS"/>
    </w:rPr>
  </w:style>
  <w:style w:type="paragraph" w:styleId="Title">
    <w:name w:val="Title"/>
    <w:basedOn w:val="Normal"/>
    <w:link w:val="TitleChar"/>
    <w:qFormat/>
    <w:rsid w:val="00AF637E"/>
    <w:pPr>
      <w:jc w:val="center"/>
    </w:pPr>
    <w:rPr>
      <w:rFonts w:cs="Simplified Arabic"/>
      <w:b/>
      <w:bCs/>
      <w:color w:val="000000"/>
    </w:rPr>
  </w:style>
  <w:style w:type="character" w:customStyle="1" w:styleId="TitleChar">
    <w:name w:val="Title Char"/>
    <w:basedOn w:val="DefaultParagraphFont"/>
    <w:link w:val="Title"/>
    <w:rsid w:val="00AF637E"/>
    <w:rPr>
      <w:rFonts w:cs="Simplified Arabic"/>
      <w:b/>
      <w:bCs/>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6865">
      <w:bodyDiv w:val="1"/>
      <w:marLeft w:val="0"/>
      <w:marRight w:val="0"/>
      <w:marTop w:val="0"/>
      <w:marBottom w:val="0"/>
      <w:divBdr>
        <w:top w:val="none" w:sz="0" w:space="0" w:color="auto"/>
        <w:left w:val="none" w:sz="0" w:space="0" w:color="auto"/>
        <w:bottom w:val="none" w:sz="0" w:space="0" w:color="auto"/>
        <w:right w:val="none" w:sz="0" w:space="0" w:color="auto"/>
      </w:divBdr>
    </w:div>
    <w:div w:id="163934041">
      <w:bodyDiv w:val="1"/>
      <w:marLeft w:val="0"/>
      <w:marRight w:val="0"/>
      <w:marTop w:val="0"/>
      <w:marBottom w:val="0"/>
      <w:divBdr>
        <w:top w:val="none" w:sz="0" w:space="0" w:color="auto"/>
        <w:left w:val="none" w:sz="0" w:space="0" w:color="auto"/>
        <w:bottom w:val="none" w:sz="0" w:space="0" w:color="auto"/>
        <w:right w:val="none" w:sz="0" w:space="0" w:color="auto"/>
      </w:divBdr>
      <w:divsChild>
        <w:div w:id="1204100355">
          <w:marLeft w:val="0"/>
          <w:marRight w:val="0"/>
          <w:marTop w:val="0"/>
          <w:marBottom w:val="0"/>
          <w:divBdr>
            <w:top w:val="none" w:sz="0" w:space="0" w:color="auto"/>
            <w:left w:val="none" w:sz="0" w:space="0" w:color="auto"/>
            <w:bottom w:val="none" w:sz="0" w:space="0" w:color="auto"/>
            <w:right w:val="none" w:sz="0" w:space="0" w:color="auto"/>
          </w:divBdr>
          <w:divsChild>
            <w:div w:id="1003782075">
              <w:marLeft w:val="0"/>
              <w:marRight w:val="0"/>
              <w:marTop w:val="0"/>
              <w:marBottom w:val="0"/>
              <w:divBdr>
                <w:top w:val="none" w:sz="0" w:space="0" w:color="auto"/>
                <w:left w:val="none" w:sz="0" w:space="0" w:color="auto"/>
                <w:bottom w:val="none" w:sz="0" w:space="0" w:color="auto"/>
                <w:right w:val="none" w:sz="0" w:space="0" w:color="auto"/>
              </w:divBdr>
              <w:divsChild>
                <w:div w:id="1381171528">
                  <w:marLeft w:val="0"/>
                  <w:marRight w:val="0"/>
                  <w:marTop w:val="0"/>
                  <w:marBottom w:val="0"/>
                  <w:divBdr>
                    <w:top w:val="none" w:sz="0" w:space="0" w:color="auto"/>
                    <w:left w:val="none" w:sz="0" w:space="0" w:color="auto"/>
                    <w:bottom w:val="none" w:sz="0" w:space="0" w:color="auto"/>
                    <w:right w:val="none" w:sz="0" w:space="0" w:color="auto"/>
                  </w:divBdr>
                  <w:divsChild>
                    <w:div w:id="721636967">
                      <w:marLeft w:val="0"/>
                      <w:marRight w:val="0"/>
                      <w:marTop w:val="0"/>
                      <w:marBottom w:val="0"/>
                      <w:divBdr>
                        <w:top w:val="none" w:sz="0" w:space="0" w:color="auto"/>
                        <w:left w:val="none" w:sz="0" w:space="0" w:color="auto"/>
                        <w:bottom w:val="none" w:sz="0" w:space="0" w:color="auto"/>
                        <w:right w:val="none" w:sz="0" w:space="0" w:color="auto"/>
                      </w:divBdr>
                      <w:divsChild>
                        <w:div w:id="1104958030">
                          <w:marLeft w:val="0"/>
                          <w:marRight w:val="0"/>
                          <w:marTop w:val="0"/>
                          <w:marBottom w:val="0"/>
                          <w:divBdr>
                            <w:top w:val="none" w:sz="0" w:space="0" w:color="auto"/>
                            <w:left w:val="none" w:sz="0" w:space="0" w:color="auto"/>
                            <w:bottom w:val="none" w:sz="0" w:space="0" w:color="auto"/>
                            <w:right w:val="none" w:sz="0" w:space="0" w:color="auto"/>
                          </w:divBdr>
                          <w:divsChild>
                            <w:div w:id="1598977584">
                              <w:marLeft w:val="0"/>
                              <w:marRight w:val="0"/>
                              <w:marTop w:val="0"/>
                              <w:marBottom w:val="0"/>
                              <w:divBdr>
                                <w:top w:val="none" w:sz="0" w:space="0" w:color="auto"/>
                                <w:left w:val="none" w:sz="0" w:space="0" w:color="auto"/>
                                <w:bottom w:val="none" w:sz="0" w:space="0" w:color="auto"/>
                                <w:right w:val="none" w:sz="0" w:space="0" w:color="auto"/>
                              </w:divBdr>
                              <w:divsChild>
                                <w:div w:id="755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911275">
      <w:bodyDiv w:val="1"/>
      <w:marLeft w:val="0"/>
      <w:marRight w:val="0"/>
      <w:marTop w:val="0"/>
      <w:marBottom w:val="0"/>
      <w:divBdr>
        <w:top w:val="none" w:sz="0" w:space="0" w:color="auto"/>
        <w:left w:val="none" w:sz="0" w:space="0" w:color="auto"/>
        <w:bottom w:val="none" w:sz="0" w:space="0" w:color="auto"/>
        <w:right w:val="none" w:sz="0" w:space="0" w:color="auto"/>
      </w:divBdr>
      <w:divsChild>
        <w:div w:id="1789204619">
          <w:marLeft w:val="0"/>
          <w:marRight w:val="0"/>
          <w:marTop w:val="0"/>
          <w:marBottom w:val="0"/>
          <w:divBdr>
            <w:top w:val="none" w:sz="0" w:space="0" w:color="auto"/>
            <w:left w:val="none" w:sz="0" w:space="0" w:color="auto"/>
            <w:bottom w:val="none" w:sz="0" w:space="0" w:color="auto"/>
            <w:right w:val="none" w:sz="0" w:space="0" w:color="auto"/>
          </w:divBdr>
          <w:divsChild>
            <w:div w:id="965311846">
              <w:marLeft w:val="0"/>
              <w:marRight w:val="0"/>
              <w:marTop w:val="0"/>
              <w:marBottom w:val="0"/>
              <w:divBdr>
                <w:top w:val="none" w:sz="0" w:space="0" w:color="auto"/>
                <w:left w:val="none" w:sz="0" w:space="0" w:color="auto"/>
                <w:bottom w:val="none" w:sz="0" w:space="0" w:color="auto"/>
                <w:right w:val="none" w:sz="0" w:space="0" w:color="auto"/>
              </w:divBdr>
              <w:divsChild>
                <w:div w:id="829826636">
                  <w:marLeft w:val="0"/>
                  <w:marRight w:val="0"/>
                  <w:marTop w:val="0"/>
                  <w:marBottom w:val="0"/>
                  <w:divBdr>
                    <w:top w:val="none" w:sz="0" w:space="0" w:color="auto"/>
                    <w:left w:val="none" w:sz="0" w:space="0" w:color="auto"/>
                    <w:bottom w:val="none" w:sz="0" w:space="0" w:color="auto"/>
                    <w:right w:val="none" w:sz="0" w:space="0" w:color="auto"/>
                  </w:divBdr>
                  <w:divsChild>
                    <w:div w:id="464591555">
                      <w:marLeft w:val="0"/>
                      <w:marRight w:val="0"/>
                      <w:marTop w:val="0"/>
                      <w:marBottom w:val="0"/>
                      <w:divBdr>
                        <w:top w:val="none" w:sz="0" w:space="0" w:color="auto"/>
                        <w:left w:val="none" w:sz="0" w:space="0" w:color="auto"/>
                        <w:bottom w:val="none" w:sz="0" w:space="0" w:color="auto"/>
                        <w:right w:val="none" w:sz="0" w:space="0" w:color="auto"/>
                      </w:divBdr>
                      <w:divsChild>
                        <w:div w:id="677539455">
                          <w:marLeft w:val="0"/>
                          <w:marRight w:val="0"/>
                          <w:marTop w:val="0"/>
                          <w:marBottom w:val="0"/>
                          <w:divBdr>
                            <w:top w:val="none" w:sz="0" w:space="0" w:color="auto"/>
                            <w:left w:val="none" w:sz="0" w:space="0" w:color="auto"/>
                            <w:bottom w:val="none" w:sz="0" w:space="0" w:color="auto"/>
                            <w:right w:val="none" w:sz="0" w:space="0" w:color="auto"/>
                          </w:divBdr>
                          <w:divsChild>
                            <w:div w:id="1789620476">
                              <w:marLeft w:val="0"/>
                              <w:marRight w:val="0"/>
                              <w:marTop w:val="0"/>
                              <w:marBottom w:val="0"/>
                              <w:divBdr>
                                <w:top w:val="none" w:sz="0" w:space="0" w:color="auto"/>
                                <w:left w:val="none" w:sz="0" w:space="0" w:color="auto"/>
                                <w:bottom w:val="none" w:sz="0" w:space="0" w:color="auto"/>
                                <w:right w:val="none" w:sz="0" w:space="0" w:color="auto"/>
                              </w:divBdr>
                              <w:divsChild>
                                <w:div w:id="1312831728">
                                  <w:marLeft w:val="0"/>
                                  <w:marRight w:val="0"/>
                                  <w:marTop w:val="0"/>
                                  <w:marBottom w:val="0"/>
                                  <w:divBdr>
                                    <w:top w:val="single" w:sz="6" w:space="0" w:color="F5F5F5"/>
                                    <w:left w:val="single" w:sz="6" w:space="0" w:color="F5F5F5"/>
                                    <w:bottom w:val="single" w:sz="6" w:space="0" w:color="F5F5F5"/>
                                    <w:right w:val="single" w:sz="6" w:space="0" w:color="F5F5F5"/>
                                  </w:divBdr>
                                  <w:divsChild>
                                    <w:div w:id="649411183">
                                      <w:marLeft w:val="0"/>
                                      <w:marRight w:val="0"/>
                                      <w:marTop w:val="0"/>
                                      <w:marBottom w:val="0"/>
                                      <w:divBdr>
                                        <w:top w:val="none" w:sz="0" w:space="0" w:color="auto"/>
                                        <w:left w:val="none" w:sz="0" w:space="0" w:color="auto"/>
                                        <w:bottom w:val="none" w:sz="0" w:space="0" w:color="auto"/>
                                        <w:right w:val="none" w:sz="0" w:space="0" w:color="auto"/>
                                      </w:divBdr>
                                      <w:divsChild>
                                        <w:div w:id="7764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1352351">
      <w:bodyDiv w:val="1"/>
      <w:marLeft w:val="0"/>
      <w:marRight w:val="0"/>
      <w:marTop w:val="0"/>
      <w:marBottom w:val="0"/>
      <w:divBdr>
        <w:top w:val="none" w:sz="0" w:space="0" w:color="auto"/>
        <w:left w:val="none" w:sz="0" w:space="0" w:color="auto"/>
        <w:bottom w:val="none" w:sz="0" w:space="0" w:color="auto"/>
        <w:right w:val="none" w:sz="0" w:space="0" w:color="auto"/>
      </w:divBdr>
    </w:div>
    <w:div w:id="602499616">
      <w:bodyDiv w:val="1"/>
      <w:marLeft w:val="0"/>
      <w:marRight w:val="0"/>
      <w:marTop w:val="0"/>
      <w:marBottom w:val="0"/>
      <w:divBdr>
        <w:top w:val="none" w:sz="0" w:space="0" w:color="auto"/>
        <w:left w:val="none" w:sz="0" w:space="0" w:color="auto"/>
        <w:bottom w:val="none" w:sz="0" w:space="0" w:color="auto"/>
        <w:right w:val="none" w:sz="0" w:space="0" w:color="auto"/>
      </w:divBdr>
    </w:div>
    <w:div w:id="649137918">
      <w:bodyDiv w:val="1"/>
      <w:marLeft w:val="0"/>
      <w:marRight w:val="0"/>
      <w:marTop w:val="0"/>
      <w:marBottom w:val="0"/>
      <w:divBdr>
        <w:top w:val="none" w:sz="0" w:space="0" w:color="auto"/>
        <w:left w:val="none" w:sz="0" w:space="0" w:color="auto"/>
        <w:bottom w:val="none" w:sz="0" w:space="0" w:color="auto"/>
        <w:right w:val="none" w:sz="0" w:space="0" w:color="auto"/>
      </w:divBdr>
    </w:div>
    <w:div w:id="951133526">
      <w:bodyDiv w:val="1"/>
      <w:marLeft w:val="0"/>
      <w:marRight w:val="0"/>
      <w:marTop w:val="0"/>
      <w:marBottom w:val="0"/>
      <w:divBdr>
        <w:top w:val="none" w:sz="0" w:space="0" w:color="auto"/>
        <w:left w:val="none" w:sz="0" w:space="0" w:color="auto"/>
        <w:bottom w:val="none" w:sz="0" w:space="0" w:color="auto"/>
        <w:right w:val="none" w:sz="0" w:space="0" w:color="auto"/>
      </w:divBdr>
      <w:divsChild>
        <w:div w:id="1945532386">
          <w:marLeft w:val="0"/>
          <w:marRight w:val="0"/>
          <w:marTop w:val="0"/>
          <w:marBottom w:val="0"/>
          <w:divBdr>
            <w:top w:val="none" w:sz="0" w:space="0" w:color="auto"/>
            <w:left w:val="none" w:sz="0" w:space="0" w:color="auto"/>
            <w:bottom w:val="none" w:sz="0" w:space="0" w:color="auto"/>
            <w:right w:val="none" w:sz="0" w:space="0" w:color="auto"/>
          </w:divBdr>
          <w:divsChild>
            <w:div w:id="656349856">
              <w:marLeft w:val="0"/>
              <w:marRight w:val="0"/>
              <w:marTop w:val="0"/>
              <w:marBottom w:val="0"/>
              <w:divBdr>
                <w:top w:val="none" w:sz="0" w:space="0" w:color="auto"/>
                <w:left w:val="none" w:sz="0" w:space="0" w:color="auto"/>
                <w:bottom w:val="none" w:sz="0" w:space="0" w:color="auto"/>
                <w:right w:val="none" w:sz="0" w:space="0" w:color="auto"/>
              </w:divBdr>
              <w:divsChild>
                <w:div w:id="1399281100">
                  <w:marLeft w:val="0"/>
                  <w:marRight w:val="0"/>
                  <w:marTop w:val="0"/>
                  <w:marBottom w:val="0"/>
                  <w:divBdr>
                    <w:top w:val="none" w:sz="0" w:space="0" w:color="auto"/>
                    <w:left w:val="none" w:sz="0" w:space="0" w:color="auto"/>
                    <w:bottom w:val="none" w:sz="0" w:space="0" w:color="auto"/>
                    <w:right w:val="none" w:sz="0" w:space="0" w:color="auto"/>
                  </w:divBdr>
                  <w:divsChild>
                    <w:div w:id="1344434072">
                      <w:marLeft w:val="0"/>
                      <w:marRight w:val="0"/>
                      <w:marTop w:val="0"/>
                      <w:marBottom w:val="0"/>
                      <w:divBdr>
                        <w:top w:val="none" w:sz="0" w:space="0" w:color="auto"/>
                        <w:left w:val="none" w:sz="0" w:space="0" w:color="auto"/>
                        <w:bottom w:val="none" w:sz="0" w:space="0" w:color="auto"/>
                        <w:right w:val="none" w:sz="0" w:space="0" w:color="auto"/>
                      </w:divBdr>
                      <w:divsChild>
                        <w:div w:id="550845693">
                          <w:marLeft w:val="0"/>
                          <w:marRight w:val="0"/>
                          <w:marTop w:val="0"/>
                          <w:marBottom w:val="0"/>
                          <w:divBdr>
                            <w:top w:val="none" w:sz="0" w:space="0" w:color="auto"/>
                            <w:left w:val="none" w:sz="0" w:space="0" w:color="auto"/>
                            <w:bottom w:val="none" w:sz="0" w:space="0" w:color="auto"/>
                            <w:right w:val="none" w:sz="0" w:space="0" w:color="auto"/>
                          </w:divBdr>
                          <w:divsChild>
                            <w:div w:id="1948003105">
                              <w:marLeft w:val="0"/>
                              <w:marRight w:val="0"/>
                              <w:marTop w:val="0"/>
                              <w:marBottom w:val="0"/>
                              <w:divBdr>
                                <w:top w:val="none" w:sz="0" w:space="0" w:color="auto"/>
                                <w:left w:val="none" w:sz="0" w:space="0" w:color="auto"/>
                                <w:bottom w:val="none" w:sz="0" w:space="0" w:color="auto"/>
                                <w:right w:val="none" w:sz="0" w:space="0" w:color="auto"/>
                              </w:divBdr>
                              <w:divsChild>
                                <w:div w:id="11273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23754">
      <w:bodyDiv w:val="1"/>
      <w:marLeft w:val="0"/>
      <w:marRight w:val="0"/>
      <w:marTop w:val="0"/>
      <w:marBottom w:val="0"/>
      <w:divBdr>
        <w:top w:val="none" w:sz="0" w:space="0" w:color="auto"/>
        <w:left w:val="none" w:sz="0" w:space="0" w:color="auto"/>
        <w:bottom w:val="none" w:sz="0" w:space="0" w:color="auto"/>
        <w:right w:val="none" w:sz="0" w:space="0" w:color="auto"/>
      </w:divBdr>
    </w:div>
    <w:div w:id="1011758407">
      <w:bodyDiv w:val="1"/>
      <w:marLeft w:val="0"/>
      <w:marRight w:val="0"/>
      <w:marTop w:val="0"/>
      <w:marBottom w:val="0"/>
      <w:divBdr>
        <w:top w:val="none" w:sz="0" w:space="0" w:color="auto"/>
        <w:left w:val="none" w:sz="0" w:space="0" w:color="auto"/>
        <w:bottom w:val="none" w:sz="0" w:space="0" w:color="auto"/>
        <w:right w:val="none" w:sz="0" w:space="0" w:color="auto"/>
      </w:divBdr>
      <w:divsChild>
        <w:div w:id="354574291">
          <w:marLeft w:val="0"/>
          <w:marRight w:val="0"/>
          <w:marTop w:val="0"/>
          <w:marBottom w:val="0"/>
          <w:divBdr>
            <w:top w:val="none" w:sz="0" w:space="0" w:color="auto"/>
            <w:left w:val="none" w:sz="0" w:space="0" w:color="auto"/>
            <w:bottom w:val="none" w:sz="0" w:space="0" w:color="auto"/>
            <w:right w:val="none" w:sz="0" w:space="0" w:color="auto"/>
          </w:divBdr>
          <w:divsChild>
            <w:div w:id="669529799">
              <w:marLeft w:val="0"/>
              <w:marRight w:val="0"/>
              <w:marTop w:val="0"/>
              <w:marBottom w:val="0"/>
              <w:divBdr>
                <w:top w:val="none" w:sz="0" w:space="0" w:color="auto"/>
                <w:left w:val="none" w:sz="0" w:space="0" w:color="auto"/>
                <w:bottom w:val="none" w:sz="0" w:space="0" w:color="auto"/>
                <w:right w:val="none" w:sz="0" w:space="0" w:color="auto"/>
              </w:divBdr>
              <w:divsChild>
                <w:div w:id="1178616677">
                  <w:marLeft w:val="0"/>
                  <w:marRight w:val="0"/>
                  <w:marTop w:val="0"/>
                  <w:marBottom w:val="0"/>
                  <w:divBdr>
                    <w:top w:val="none" w:sz="0" w:space="0" w:color="auto"/>
                    <w:left w:val="none" w:sz="0" w:space="0" w:color="auto"/>
                    <w:bottom w:val="none" w:sz="0" w:space="0" w:color="auto"/>
                    <w:right w:val="none" w:sz="0" w:space="0" w:color="auto"/>
                  </w:divBdr>
                  <w:divsChild>
                    <w:div w:id="983508399">
                      <w:marLeft w:val="0"/>
                      <w:marRight w:val="0"/>
                      <w:marTop w:val="0"/>
                      <w:marBottom w:val="0"/>
                      <w:divBdr>
                        <w:top w:val="none" w:sz="0" w:space="0" w:color="auto"/>
                        <w:left w:val="none" w:sz="0" w:space="0" w:color="auto"/>
                        <w:bottom w:val="none" w:sz="0" w:space="0" w:color="auto"/>
                        <w:right w:val="none" w:sz="0" w:space="0" w:color="auto"/>
                      </w:divBdr>
                      <w:divsChild>
                        <w:div w:id="1339500949">
                          <w:marLeft w:val="0"/>
                          <w:marRight w:val="0"/>
                          <w:marTop w:val="0"/>
                          <w:marBottom w:val="0"/>
                          <w:divBdr>
                            <w:top w:val="none" w:sz="0" w:space="0" w:color="auto"/>
                            <w:left w:val="none" w:sz="0" w:space="0" w:color="auto"/>
                            <w:bottom w:val="none" w:sz="0" w:space="0" w:color="auto"/>
                            <w:right w:val="none" w:sz="0" w:space="0" w:color="auto"/>
                          </w:divBdr>
                          <w:divsChild>
                            <w:div w:id="1593733578">
                              <w:marLeft w:val="0"/>
                              <w:marRight w:val="0"/>
                              <w:marTop w:val="0"/>
                              <w:marBottom w:val="0"/>
                              <w:divBdr>
                                <w:top w:val="none" w:sz="0" w:space="0" w:color="auto"/>
                                <w:left w:val="none" w:sz="0" w:space="0" w:color="auto"/>
                                <w:bottom w:val="none" w:sz="0" w:space="0" w:color="auto"/>
                                <w:right w:val="none" w:sz="0" w:space="0" w:color="auto"/>
                              </w:divBdr>
                            </w:div>
                            <w:div w:id="810946673">
                              <w:marLeft w:val="0"/>
                              <w:marRight w:val="0"/>
                              <w:marTop w:val="0"/>
                              <w:marBottom w:val="0"/>
                              <w:divBdr>
                                <w:top w:val="none" w:sz="0" w:space="0" w:color="auto"/>
                                <w:left w:val="none" w:sz="0" w:space="0" w:color="auto"/>
                                <w:bottom w:val="none" w:sz="0" w:space="0" w:color="auto"/>
                                <w:right w:val="none" w:sz="0" w:space="0" w:color="auto"/>
                              </w:divBdr>
                              <w:divsChild>
                                <w:div w:id="1225292950">
                                  <w:marLeft w:val="0"/>
                                  <w:marRight w:val="0"/>
                                  <w:marTop w:val="0"/>
                                  <w:marBottom w:val="0"/>
                                  <w:divBdr>
                                    <w:top w:val="none" w:sz="0" w:space="0" w:color="auto"/>
                                    <w:left w:val="none" w:sz="0" w:space="0" w:color="auto"/>
                                    <w:bottom w:val="none" w:sz="0" w:space="0" w:color="auto"/>
                                    <w:right w:val="none" w:sz="0" w:space="0" w:color="auto"/>
                                  </w:divBdr>
                                  <w:divsChild>
                                    <w:div w:id="395322095">
                                      <w:marLeft w:val="0"/>
                                      <w:marRight w:val="0"/>
                                      <w:marTop w:val="0"/>
                                      <w:marBottom w:val="0"/>
                                      <w:divBdr>
                                        <w:top w:val="none" w:sz="0" w:space="0" w:color="auto"/>
                                        <w:left w:val="none" w:sz="0" w:space="0" w:color="auto"/>
                                        <w:bottom w:val="none" w:sz="0" w:space="0" w:color="auto"/>
                                        <w:right w:val="none" w:sz="0" w:space="0" w:color="auto"/>
                                      </w:divBdr>
                                      <w:divsChild>
                                        <w:div w:id="208629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449866">
      <w:bodyDiv w:val="1"/>
      <w:marLeft w:val="0"/>
      <w:marRight w:val="0"/>
      <w:marTop w:val="0"/>
      <w:marBottom w:val="0"/>
      <w:divBdr>
        <w:top w:val="none" w:sz="0" w:space="0" w:color="auto"/>
        <w:left w:val="none" w:sz="0" w:space="0" w:color="auto"/>
        <w:bottom w:val="none" w:sz="0" w:space="0" w:color="auto"/>
        <w:right w:val="none" w:sz="0" w:space="0" w:color="auto"/>
      </w:divBdr>
      <w:divsChild>
        <w:div w:id="480540114">
          <w:marLeft w:val="0"/>
          <w:marRight w:val="0"/>
          <w:marTop w:val="0"/>
          <w:marBottom w:val="0"/>
          <w:divBdr>
            <w:top w:val="none" w:sz="0" w:space="0" w:color="auto"/>
            <w:left w:val="none" w:sz="0" w:space="0" w:color="auto"/>
            <w:bottom w:val="none" w:sz="0" w:space="0" w:color="auto"/>
            <w:right w:val="none" w:sz="0" w:space="0" w:color="auto"/>
          </w:divBdr>
          <w:divsChild>
            <w:div w:id="23678755">
              <w:marLeft w:val="0"/>
              <w:marRight w:val="0"/>
              <w:marTop w:val="0"/>
              <w:marBottom w:val="0"/>
              <w:divBdr>
                <w:top w:val="none" w:sz="0" w:space="0" w:color="auto"/>
                <w:left w:val="none" w:sz="0" w:space="0" w:color="auto"/>
                <w:bottom w:val="none" w:sz="0" w:space="0" w:color="auto"/>
                <w:right w:val="none" w:sz="0" w:space="0" w:color="auto"/>
              </w:divBdr>
              <w:divsChild>
                <w:div w:id="1049720930">
                  <w:marLeft w:val="0"/>
                  <w:marRight w:val="0"/>
                  <w:marTop w:val="0"/>
                  <w:marBottom w:val="0"/>
                  <w:divBdr>
                    <w:top w:val="none" w:sz="0" w:space="0" w:color="auto"/>
                    <w:left w:val="none" w:sz="0" w:space="0" w:color="auto"/>
                    <w:bottom w:val="none" w:sz="0" w:space="0" w:color="auto"/>
                    <w:right w:val="none" w:sz="0" w:space="0" w:color="auto"/>
                  </w:divBdr>
                  <w:divsChild>
                    <w:div w:id="1115708791">
                      <w:marLeft w:val="0"/>
                      <w:marRight w:val="0"/>
                      <w:marTop w:val="0"/>
                      <w:marBottom w:val="0"/>
                      <w:divBdr>
                        <w:top w:val="none" w:sz="0" w:space="0" w:color="auto"/>
                        <w:left w:val="none" w:sz="0" w:space="0" w:color="auto"/>
                        <w:bottom w:val="none" w:sz="0" w:space="0" w:color="auto"/>
                        <w:right w:val="none" w:sz="0" w:space="0" w:color="auto"/>
                      </w:divBdr>
                      <w:divsChild>
                        <w:div w:id="1882479017">
                          <w:marLeft w:val="0"/>
                          <w:marRight w:val="0"/>
                          <w:marTop w:val="0"/>
                          <w:marBottom w:val="0"/>
                          <w:divBdr>
                            <w:top w:val="none" w:sz="0" w:space="0" w:color="auto"/>
                            <w:left w:val="none" w:sz="0" w:space="0" w:color="auto"/>
                            <w:bottom w:val="none" w:sz="0" w:space="0" w:color="auto"/>
                            <w:right w:val="none" w:sz="0" w:space="0" w:color="auto"/>
                          </w:divBdr>
                          <w:divsChild>
                            <w:div w:id="1030180101">
                              <w:marLeft w:val="0"/>
                              <w:marRight w:val="0"/>
                              <w:marTop w:val="0"/>
                              <w:marBottom w:val="0"/>
                              <w:divBdr>
                                <w:top w:val="none" w:sz="0" w:space="0" w:color="auto"/>
                                <w:left w:val="none" w:sz="0" w:space="0" w:color="auto"/>
                                <w:bottom w:val="none" w:sz="0" w:space="0" w:color="auto"/>
                                <w:right w:val="none" w:sz="0" w:space="0" w:color="auto"/>
                              </w:divBdr>
                            </w:div>
                            <w:div w:id="1095322672">
                              <w:marLeft w:val="0"/>
                              <w:marRight w:val="0"/>
                              <w:marTop w:val="0"/>
                              <w:marBottom w:val="0"/>
                              <w:divBdr>
                                <w:top w:val="none" w:sz="0" w:space="0" w:color="auto"/>
                                <w:left w:val="none" w:sz="0" w:space="0" w:color="auto"/>
                                <w:bottom w:val="none" w:sz="0" w:space="0" w:color="auto"/>
                                <w:right w:val="none" w:sz="0" w:space="0" w:color="auto"/>
                              </w:divBdr>
                              <w:divsChild>
                                <w:div w:id="251089113">
                                  <w:marLeft w:val="0"/>
                                  <w:marRight w:val="0"/>
                                  <w:marTop w:val="0"/>
                                  <w:marBottom w:val="0"/>
                                  <w:divBdr>
                                    <w:top w:val="none" w:sz="0" w:space="0" w:color="auto"/>
                                    <w:left w:val="none" w:sz="0" w:space="0" w:color="auto"/>
                                    <w:bottom w:val="none" w:sz="0" w:space="0" w:color="auto"/>
                                    <w:right w:val="none" w:sz="0" w:space="0" w:color="auto"/>
                                  </w:divBdr>
                                  <w:divsChild>
                                    <w:div w:id="198326246">
                                      <w:marLeft w:val="0"/>
                                      <w:marRight w:val="0"/>
                                      <w:marTop w:val="0"/>
                                      <w:marBottom w:val="0"/>
                                      <w:divBdr>
                                        <w:top w:val="none" w:sz="0" w:space="0" w:color="auto"/>
                                        <w:left w:val="none" w:sz="0" w:space="0" w:color="auto"/>
                                        <w:bottom w:val="none" w:sz="0" w:space="0" w:color="auto"/>
                                        <w:right w:val="none" w:sz="0" w:space="0" w:color="auto"/>
                                      </w:divBdr>
                                      <w:divsChild>
                                        <w:div w:id="11860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4365100">
      <w:bodyDiv w:val="1"/>
      <w:marLeft w:val="0"/>
      <w:marRight w:val="0"/>
      <w:marTop w:val="0"/>
      <w:marBottom w:val="0"/>
      <w:divBdr>
        <w:top w:val="none" w:sz="0" w:space="0" w:color="auto"/>
        <w:left w:val="none" w:sz="0" w:space="0" w:color="auto"/>
        <w:bottom w:val="none" w:sz="0" w:space="0" w:color="auto"/>
        <w:right w:val="none" w:sz="0" w:space="0" w:color="auto"/>
      </w:divBdr>
      <w:divsChild>
        <w:div w:id="1433092670">
          <w:marLeft w:val="0"/>
          <w:marRight w:val="0"/>
          <w:marTop w:val="0"/>
          <w:marBottom w:val="0"/>
          <w:divBdr>
            <w:top w:val="none" w:sz="0" w:space="0" w:color="auto"/>
            <w:left w:val="none" w:sz="0" w:space="0" w:color="auto"/>
            <w:bottom w:val="none" w:sz="0" w:space="0" w:color="auto"/>
            <w:right w:val="none" w:sz="0" w:space="0" w:color="auto"/>
          </w:divBdr>
          <w:divsChild>
            <w:div w:id="1984506478">
              <w:marLeft w:val="0"/>
              <w:marRight w:val="0"/>
              <w:marTop w:val="0"/>
              <w:marBottom w:val="0"/>
              <w:divBdr>
                <w:top w:val="none" w:sz="0" w:space="0" w:color="auto"/>
                <w:left w:val="none" w:sz="0" w:space="0" w:color="auto"/>
                <w:bottom w:val="none" w:sz="0" w:space="0" w:color="auto"/>
                <w:right w:val="none" w:sz="0" w:space="0" w:color="auto"/>
              </w:divBdr>
              <w:divsChild>
                <w:div w:id="1181050446">
                  <w:marLeft w:val="0"/>
                  <w:marRight w:val="0"/>
                  <w:marTop w:val="0"/>
                  <w:marBottom w:val="0"/>
                  <w:divBdr>
                    <w:top w:val="none" w:sz="0" w:space="0" w:color="auto"/>
                    <w:left w:val="none" w:sz="0" w:space="0" w:color="auto"/>
                    <w:bottom w:val="none" w:sz="0" w:space="0" w:color="auto"/>
                    <w:right w:val="none" w:sz="0" w:space="0" w:color="auto"/>
                  </w:divBdr>
                  <w:divsChild>
                    <w:div w:id="604920663">
                      <w:marLeft w:val="0"/>
                      <w:marRight w:val="0"/>
                      <w:marTop w:val="0"/>
                      <w:marBottom w:val="0"/>
                      <w:divBdr>
                        <w:top w:val="none" w:sz="0" w:space="0" w:color="auto"/>
                        <w:left w:val="none" w:sz="0" w:space="0" w:color="auto"/>
                        <w:bottom w:val="none" w:sz="0" w:space="0" w:color="auto"/>
                        <w:right w:val="none" w:sz="0" w:space="0" w:color="auto"/>
                      </w:divBdr>
                      <w:divsChild>
                        <w:div w:id="97337980">
                          <w:marLeft w:val="0"/>
                          <w:marRight w:val="0"/>
                          <w:marTop w:val="0"/>
                          <w:marBottom w:val="0"/>
                          <w:divBdr>
                            <w:top w:val="none" w:sz="0" w:space="0" w:color="auto"/>
                            <w:left w:val="none" w:sz="0" w:space="0" w:color="auto"/>
                            <w:bottom w:val="none" w:sz="0" w:space="0" w:color="auto"/>
                            <w:right w:val="none" w:sz="0" w:space="0" w:color="auto"/>
                          </w:divBdr>
                          <w:divsChild>
                            <w:div w:id="1081952922">
                              <w:marLeft w:val="0"/>
                              <w:marRight w:val="0"/>
                              <w:marTop w:val="0"/>
                              <w:marBottom w:val="0"/>
                              <w:divBdr>
                                <w:top w:val="none" w:sz="0" w:space="0" w:color="auto"/>
                                <w:left w:val="none" w:sz="0" w:space="0" w:color="auto"/>
                                <w:bottom w:val="none" w:sz="0" w:space="0" w:color="auto"/>
                                <w:right w:val="none" w:sz="0" w:space="0" w:color="auto"/>
                              </w:divBdr>
                              <w:divsChild>
                                <w:div w:id="5599428">
                                  <w:marLeft w:val="0"/>
                                  <w:marRight w:val="0"/>
                                  <w:marTop w:val="0"/>
                                  <w:marBottom w:val="0"/>
                                  <w:divBdr>
                                    <w:top w:val="single" w:sz="6" w:space="0" w:color="F5F5F5"/>
                                    <w:left w:val="single" w:sz="6" w:space="0" w:color="F5F5F5"/>
                                    <w:bottom w:val="single" w:sz="6" w:space="0" w:color="F5F5F5"/>
                                    <w:right w:val="single" w:sz="6" w:space="0" w:color="F5F5F5"/>
                                  </w:divBdr>
                                  <w:divsChild>
                                    <w:div w:id="1624114099">
                                      <w:marLeft w:val="0"/>
                                      <w:marRight w:val="0"/>
                                      <w:marTop w:val="0"/>
                                      <w:marBottom w:val="0"/>
                                      <w:divBdr>
                                        <w:top w:val="none" w:sz="0" w:space="0" w:color="auto"/>
                                        <w:left w:val="none" w:sz="0" w:space="0" w:color="auto"/>
                                        <w:bottom w:val="none" w:sz="0" w:space="0" w:color="auto"/>
                                        <w:right w:val="none" w:sz="0" w:space="0" w:color="auto"/>
                                      </w:divBdr>
                                      <w:divsChild>
                                        <w:div w:id="17014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1196299">
      <w:bodyDiv w:val="1"/>
      <w:marLeft w:val="0"/>
      <w:marRight w:val="0"/>
      <w:marTop w:val="0"/>
      <w:marBottom w:val="0"/>
      <w:divBdr>
        <w:top w:val="none" w:sz="0" w:space="0" w:color="auto"/>
        <w:left w:val="none" w:sz="0" w:space="0" w:color="auto"/>
        <w:bottom w:val="none" w:sz="0" w:space="0" w:color="auto"/>
        <w:right w:val="none" w:sz="0" w:space="0" w:color="auto"/>
      </w:divBdr>
      <w:divsChild>
        <w:div w:id="174420368">
          <w:marLeft w:val="0"/>
          <w:marRight w:val="0"/>
          <w:marTop w:val="0"/>
          <w:marBottom w:val="0"/>
          <w:divBdr>
            <w:top w:val="none" w:sz="0" w:space="0" w:color="auto"/>
            <w:left w:val="none" w:sz="0" w:space="0" w:color="auto"/>
            <w:bottom w:val="none" w:sz="0" w:space="0" w:color="auto"/>
            <w:right w:val="none" w:sz="0" w:space="0" w:color="auto"/>
          </w:divBdr>
          <w:divsChild>
            <w:div w:id="66348356">
              <w:marLeft w:val="0"/>
              <w:marRight w:val="0"/>
              <w:marTop w:val="0"/>
              <w:marBottom w:val="0"/>
              <w:divBdr>
                <w:top w:val="none" w:sz="0" w:space="0" w:color="auto"/>
                <w:left w:val="none" w:sz="0" w:space="0" w:color="auto"/>
                <w:bottom w:val="none" w:sz="0" w:space="0" w:color="auto"/>
                <w:right w:val="none" w:sz="0" w:space="0" w:color="auto"/>
              </w:divBdr>
              <w:divsChild>
                <w:div w:id="1476950101">
                  <w:marLeft w:val="0"/>
                  <w:marRight w:val="0"/>
                  <w:marTop w:val="0"/>
                  <w:marBottom w:val="0"/>
                  <w:divBdr>
                    <w:top w:val="none" w:sz="0" w:space="0" w:color="auto"/>
                    <w:left w:val="none" w:sz="0" w:space="0" w:color="auto"/>
                    <w:bottom w:val="none" w:sz="0" w:space="0" w:color="auto"/>
                    <w:right w:val="none" w:sz="0" w:space="0" w:color="auto"/>
                  </w:divBdr>
                  <w:divsChild>
                    <w:div w:id="1920555440">
                      <w:marLeft w:val="0"/>
                      <w:marRight w:val="0"/>
                      <w:marTop w:val="0"/>
                      <w:marBottom w:val="0"/>
                      <w:divBdr>
                        <w:top w:val="none" w:sz="0" w:space="0" w:color="auto"/>
                        <w:left w:val="none" w:sz="0" w:space="0" w:color="auto"/>
                        <w:bottom w:val="none" w:sz="0" w:space="0" w:color="auto"/>
                        <w:right w:val="none" w:sz="0" w:space="0" w:color="auto"/>
                      </w:divBdr>
                      <w:divsChild>
                        <w:div w:id="1998655128">
                          <w:marLeft w:val="0"/>
                          <w:marRight w:val="0"/>
                          <w:marTop w:val="0"/>
                          <w:marBottom w:val="0"/>
                          <w:divBdr>
                            <w:top w:val="none" w:sz="0" w:space="0" w:color="auto"/>
                            <w:left w:val="none" w:sz="0" w:space="0" w:color="auto"/>
                            <w:bottom w:val="none" w:sz="0" w:space="0" w:color="auto"/>
                            <w:right w:val="none" w:sz="0" w:space="0" w:color="auto"/>
                          </w:divBdr>
                          <w:divsChild>
                            <w:div w:id="717317667">
                              <w:marLeft w:val="0"/>
                              <w:marRight w:val="0"/>
                              <w:marTop w:val="0"/>
                              <w:marBottom w:val="0"/>
                              <w:divBdr>
                                <w:top w:val="none" w:sz="0" w:space="0" w:color="auto"/>
                                <w:left w:val="none" w:sz="0" w:space="0" w:color="auto"/>
                                <w:bottom w:val="none" w:sz="0" w:space="0" w:color="auto"/>
                                <w:right w:val="none" w:sz="0" w:space="0" w:color="auto"/>
                              </w:divBdr>
                              <w:divsChild>
                                <w:div w:id="2106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104658">
      <w:bodyDiv w:val="1"/>
      <w:marLeft w:val="0"/>
      <w:marRight w:val="0"/>
      <w:marTop w:val="0"/>
      <w:marBottom w:val="0"/>
      <w:divBdr>
        <w:top w:val="none" w:sz="0" w:space="0" w:color="auto"/>
        <w:left w:val="none" w:sz="0" w:space="0" w:color="auto"/>
        <w:bottom w:val="none" w:sz="0" w:space="0" w:color="auto"/>
        <w:right w:val="none" w:sz="0" w:space="0" w:color="auto"/>
      </w:divBdr>
    </w:div>
    <w:div w:id="1488083716">
      <w:bodyDiv w:val="1"/>
      <w:marLeft w:val="0"/>
      <w:marRight w:val="0"/>
      <w:marTop w:val="0"/>
      <w:marBottom w:val="0"/>
      <w:divBdr>
        <w:top w:val="none" w:sz="0" w:space="0" w:color="auto"/>
        <w:left w:val="none" w:sz="0" w:space="0" w:color="auto"/>
        <w:bottom w:val="none" w:sz="0" w:space="0" w:color="auto"/>
        <w:right w:val="none" w:sz="0" w:space="0" w:color="auto"/>
      </w:divBdr>
      <w:divsChild>
        <w:div w:id="223373835">
          <w:marLeft w:val="0"/>
          <w:marRight w:val="0"/>
          <w:marTop w:val="0"/>
          <w:marBottom w:val="0"/>
          <w:divBdr>
            <w:top w:val="none" w:sz="0" w:space="0" w:color="auto"/>
            <w:left w:val="none" w:sz="0" w:space="0" w:color="auto"/>
            <w:bottom w:val="none" w:sz="0" w:space="0" w:color="auto"/>
            <w:right w:val="none" w:sz="0" w:space="0" w:color="auto"/>
          </w:divBdr>
          <w:divsChild>
            <w:div w:id="1382096471">
              <w:marLeft w:val="0"/>
              <w:marRight w:val="0"/>
              <w:marTop w:val="0"/>
              <w:marBottom w:val="0"/>
              <w:divBdr>
                <w:top w:val="none" w:sz="0" w:space="0" w:color="auto"/>
                <w:left w:val="none" w:sz="0" w:space="0" w:color="auto"/>
                <w:bottom w:val="none" w:sz="0" w:space="0" w:color="auto"/>
                <w:right w:val="none" w:sz="0" w:space="0" w:color="auto"/>
              </w:divBdr>
              <w:divsChild>
                <w:div w:id="1939170530">
                  <w:marLeft w:val="0"/>
                  <w:marRight w:val="0"/>
                  <w:marTop w:val="0"/>
                  <w:marBottom w:val="0"/>
                  <w:divBdr>
                    <w:top w:val="none" w:sz="0" w:space="0" w:color="auto"/>
                    <w:left w:val="none" w:sz="0" w:space="0" w:color="auto"/>
                    <w:bottom w:val="none" w:sz="0" w:space="0" w:color="auto"/>
                    <w:right w:val="none" w:sz="0" w:space="0" w:color="auto"/>
                  </w:divBdr>
                  <w:divsChild>
                    <w:div w:id="839849281">
                      <w:marLeft w:val="0"/>
                      <w:marRight w:val="0"/>
                      <w:marTop w:val="0"/>
                      <w:marBottom w:val="0"/>
                      <w:divBdr>
                        <w:top w:val="none" w:sz="0" w:space="0" w:color="auto"/>
                        <w:left w:val="none" w:sz="0" w:space="0" w:color="auto"/>
                        <w:bottom w:val="none" w:sz="0" w:space="0" w:color="auto"/>
                        <w:right w:val="none" w:sz="0" w:space="0" w:color="auto"/>
                      </w:divBdr>
                      <w:divsChild>
                        <w:div w:id="1282301873">
                          <w:marLeft w:val="0"/>
                          <w:marRight w:val="0"/>
                          <w:marTop w:val="0"/>
                          <w:marBottom w:val="0"/>
                          <w:divBdr>
                            <w:top w:val="none" w:sz="0" w:space="0" w:color="auto"/>
                            <w:left w:val="none" w:sz="0" w:space="0" w:color="auto"/>
                            <w:bottom w:val="none" w:sz="0" w:space="0" w:color="auto"/>
                            <w:right w:val="none" w:sz="0" w:space="0" w:color="auto"/>
                          </w:divBdr>
                          <w:divsChild>
                            <w:div w:id="1953321688">
                              <w:marLeft w:val="0"/>
                              <w:marRight w:val="0"/>
                              <w:marTop w:val="0"/>
                              <w:marBottom w:val="0"/>
                              <w:divBdr>
                                <w:top w:val="none" w:sz="0" w:space="0" w:color="auto"/>
                                <w:left w:val="none" w:sz="0" w:space="0" w:color="auto"/>
                                <w:bottom w:val="none" w:sz="0" w:space="0" w:color="auto"/>
                                <w:right w:val="none" w:sz="0" w:space="0" w:color="auto"/>
                              </w:divBdr>
                              <w:divsChild>
                                <w:div w:id="857350993">
                                  <w:marLeft w:val="0"/>
                                  <w:marRight w:val="0"/>
                                  <w:marTop w:val="0"/>
                                  <w:marBottom w:val="0"/>
                                  <w:divBdr>
                                    <w:top w:val="none" w:sz="0" w:space="0" w:color="auto"/>
                                    <w:left w:val="none" w:sz="0" w:space="0" w:color="auto"/>
                                    <w:bottom w:val="none" w:sz="0" w:space="0" w:color="auto"/>
                                    <w:right w:val="none" w:sz="0" w:space="0" w:color="auto"/>
                                  </w:divBdr>
                                  <w:divsChild>
                                    <w:div w:id="27879382">
                                      <w:marLeft w:val="0"/>
                                      <w:marRight w:val="0"/>
                                      <w:marTop w:val="0"/>
                                      <w:marBottom w:val="0"/>
                                      <w:divBdr>
                                        <w:top w:val="none" w:sz="0" w:space="0" w:color="auto"/>
                                        <w:left w:val="none" w:sz="0" w:space="0" w:color="auto"/>
                                        <w:bottom w:val="none" w:sz="0" w:space="0" w:color="auto"/>
                                        <w:right w:val="none" w:sz="0" w:space="0" w:color="auto"/>
                                      </w:divBdr>
                                      <w:divsChild>
                                        <w:div w:id="1926379027">
                                          <w:marLeft w:val="0"/>
                                          <w:marRight w:val="0"/>
                                          <w:marTop w:val="0"/>
                                          <w:marBottom w:val="413"/>
                                          <w:divBdr>
                                            <w:top w:val="none" w:sz="0" w:space="0" w:color="auto"/>
                                            <w:left w:val="none" w:sz="0" w:space="0" w:color="auto"/>
                                            <w:bottom w:val="none" w:sz="0" w:space="0" w:color="auto"/>
                                            <w:right w:val="none" w:sz="0" w:space="0" w:color="auto"/>
                                          </w:divBdr>
                                          <w:divsChild>
                                            <w:div w:id="144338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8905007">
      <w:bodyDiv w:val="1"/>
      <w:marLeft w:val="0"/>
      <w:marRight w:val="0"/>
      <w:marTop w:val="0"/>
      <w:marBottom w:val="0"/>
      <w:divBdr>
        <w:top w:val="none" w:sz="0" w:space="0" w:color="auto"/>
        <w:left w:val="none" w:sz="0" w:space="0" w:color="auto"/>
        <w:bottom w:val="none" w:sz="0" w:space="0" w:color="auto"/>
        <w:right w:val="none" w:sz="0" w:space="0" w:color="auto"/>
      </w:divBdr>
    </w:div>
    <w:div w:id="1623267050">
      <w:bodyDiv w:val="1"/>
      <w:marLeft w:val="0"/>
      <w:marRight w:val="0"/>
      <w:marTop w:val="0"/>
      <w:marBottom w:val="0"/>
      <w:divBdr>
        <w:top w:val="none" w:sz="0" w:space="0" w:color="auto"/>
        <w:left w:val="none" w:sz="0" w:space="0" w:color="auto"/>
        <w:bottom w:val="none" w:sz="0" w:space="0" w:color="auto"/>
        <w:right w:val="none" w:sz="0" w:space="0" w:color="auto"/>
      </w:divBdr>
      <w:divsChild>
        <w:div w:id="1309941174">
          <w:marLeft w:val="0"/>
          <w:marRight w:val="0"/>
          <w:marTop w:val="0"/>
          <w:marBottom w:val="0"/>
          <w:divBdr>
            <w:top w:val="none" w:sz="0" w:space="0" w:color="auto"/>
            <w:left w:val="none" w:sz="0" w:space="0" w:color="auto"/>
            <w:bottom w:val="none" w:sz="0" w:space="0" w:color="auto"/>
            <w:right w:val="none" w:sz="0" w:space="0" w:color="auto"/>
          </w:divBdr>
          <w:divsChild>
            <w:div w:id="322389696">
              <w:marLeft w:val="0"/>
              <w:marRight w:val="0"/>
              <w:marTop w:val="0"/>
              <w:marBottom w:val="0"/>
              <w:divBdr>
                <w:top w:val="none" w:sz="0" w:space="0" w:color="auto"/>
                <w:left w:val="none" w:sz="0" w:space="0" w:color="auto"/>
                <w:bottom w:val="none" w:sz="0" w:space="0" w:color="auto"/>
                <w:right w:val="none" w:sz="0" w:space="0" w:color="auto"/>
              </w:divBdr>
              <w:divsChild>
                <w:div w:id="165051364">
                  <w:marLeft w:val="0"/>
                  <w:marRight w:val="0"/>
                  <w:marTop w:val="0"/>
                  <w:marBottom w:val="0"/>
                  <w:divBdr>
                    <w:top w:val="none" w:sz="0" w:space="0" w:color="auto"/>
                    <w:left w:val="none" w:sz="0" w:space="0" w:color="auto"/>
                    <w:bottom w:val="none" w:sz="0" w:space="0" w:color="auto"/>
                    <w:right w:val="none" w:sz="0" w:space="0" w:color="auto"/>
                  </w:divBdr>
                  <w:divsChild>
                    <w:div w:id="184560780">
                      <w:marLeft w:val="0"/>
                      <w:marRight w:val="0"/>
                      <w:marTop w:val="0"/>
                      <w:marBottom w:val="0"/>
                      <w:divBdr>
                        <w:top w:val="none" w:sz="0" w:space="0" w:color="auto"/>
                        <w:left w:val="none" w:sz="0" w:space="0" w:color="auto"/>
                        <w:bottom w:val="none" w:sz="0" w:space="0" w:color="auto"/>
                        <w:right w:val="none" w:sz="0" w:space="0" w:color="auto"/>
                      </w:divBdr>
                      <w:divsChild>
                        <w:div w:id="1776442611">
                          <w:marLeft w:val="0"/>
                          <w:marRight w:val="0"/>
                          <w:marTop w:val="0"/>
                          <w:marBottom w:val="0"/>
                          <w:divBdr>
                            <w:top w:val="none" w:sz="0" w:space="0" w:color="auto"/>
                            <w:left w:val="none" w:sz="0" w:space="0" w:color="auto"/>
                            <w:bottom w:val="none" w:sz="0" w:space="0" w:color="auto"/>
                            <w:right w:val="none" w:sz="0" w:space="0" w:color="auto"/>
                          </w:divBdr>
                          <w:divsChild>
                            <w:div w:id="1808350822">
                              <w:marLeft w:val="0"/>
                              <w:marRight w:val="0"/>
                              <w:marTop w:val="0"/>
                              <w:marBottom w:val="0"/>
                              <w:divBdr>
                                <w:top w:val="none" w:sz="0" w:space="0" w:color="auto"/>
                                <w:left w:val="none" w:sz="0" w:space="0" w:color="auto"/>
                                <w:bottom w:val="none" w:sz="0" w:space="0" w:color="auto"/>
                                <w:right w:val="none" w:sz="0" w:space="0" w:color="auto"/>
                              </w:divBdr>
                              <w:divsChild>
                                <w:div w:id="706492483">
                                  <w:marLeft w:val="0"/>
                                  <w:marRight w:val="0"/>
                                  <w:marTop w:val="0"/>
                                  <w:marBottom w:val="0"/>
                                  <w:divBdr>
                                    <w:top w:val="single" w:sz="6" w:space="0" w:color="F5F5F5"/>
                                    <w:left w:val="single" w:sz="6" w:space="0" w:color="F5F5F5"/>
                                    <w:bottom w:val="single" w:sz="6" w:space="0" w:color="F5F5F5"/>
                                    <w:right w:val="single" w:sz="6" w:space="0" w:color="F5F5F5"/>
                                  </w:divBdr>
                                  <w:divsChild>
                                    <w:div w:id="1953248264">
                                      <w:marLeft w:val="0"/>
                                      <w:marRight w:val="0"/>
                                      <w:marTop w:val="0"/>
                                      <w:marBottom w:val="0"/>
                                      <w:divBdr>
                                        <w:top w:val="none" w:sz="0" w:space="0" w:color="auto"/>
                                        <w:left w:val="none" w:sz="0" w:space="0" w:color="auto"/>
                                        <w:bottom w:val="none" w:sz="0" w:space="0" w:color="auto"/>
                                        <w:right w:val="none" w:sz="0" w:space="0" w:color="auto"/>
                                      </w:divBdr>
                                      <w:divsChild>
                                        <w:div w:id="167807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630906">
      <w:bodyDiv w:val="1"/>
      <w:marLeft w:val="0"/>
      <w:marRight w:val="0"/>
      <w:marTop w:val="0"/>
      <w:marBottom w:val="0"/>
      <w:divBdr>
        <w:top w:val="none" w:sz="0" w:space="0" w:color="auto"/>
        <w:left w:val="none" w:sz="0" w:space="0" w:color="auto"/>
        <w:bottom w:val="none" w:sz="0" w:space="0" w:color="auto"/>
        <w:right w:val="none" w:sz="0" w:space="0" w:color="auto"/>
      </w:divBdr>
      <w:divsChild>
        <w:div w:id="1738282278">
          <w:marLeft w:val="0"/>
          <w:marRight w:val="0"/>
          <w:marTop w:val="0"/>
          <w:marBottom w:val="0"/>
          <w:divBdr>
            <w:top w:val="none" w:sz="0" w:space="0" w:color="auto"/>
            <w:left w:val="none" w:sz="0" w:space="0" w:color="auto"/>
            <w:bottom w:val="none" w:sz="0" w:space="0" w:color="auto"/>
            <w:right w:val="none" w:sz="0" w:space="0" w:color="auto"/>
          </w:divBdr>
          <w:divsChild>
            <w:div w:id="1890796955">
              <w:marLeft w:val="0"/>
              <w:marRight w:val="0"/>
              <w:marTop w:val="0"/>
              <w:marBottom w:val="0"/>
              <w:divBdr>
                <w:top w:val="none" w:sz="0" w:space="0" w:color="auto"/>
                <w:left w:val="none" w:sz="0" w:space="0" w:color="auto"/>
                <w:bottom w:val="none" w:sz="0" w:space="0" w:color="auto"/>
                <w:right w:val="none" w:sz="0" w:space="0" w:color="auto"/>
              </w:divBdr>
              <w:divsChild>
                <w:div w:id="1420130275">
                  <w:marLeft w:val="0"/>
                  <w:marRight w:val="0"/>
                  <w:marTop w:val="0"/>
                  <w:marBottom w:val="0"/>
                  <w:divBdr>
                    <w:top w:val="none" w:sz="0" w:space="0" w:color="auto"/>
                    <w:left w:val="none" w:sz="0" w:space="0" w:color="auto"/>
                    <w:bottom w:val="none" w:sz="0" w:space="0" w:color="auto"/>
                    <w:right w:val="none" w:sz="0" w:space="0" w:color="auto"/>
                  </w:divBdr>
                  <w:divsChild>
                    <w:div w:id="509686803">
                      <w:marLeft w:val="0"/>
                      <w:marRight w:val="0"/>
                      <w:marTop w:val="0"/>
                      <w:marBottom w:val="0"/>
                      <w:divBdr>
                        <w:top w:val="none" w:sz="0" w:space="0" w:color="auto"/>
                        <w:left w:val="none" w:sz="0" w:space="0" w:color="auto"/>
                        <w:bottom w:val="none" w:sz="0" w:space="0" w:color="auto"/>
                        <w:right w:val="none" w:sz="0" w:space="0" w:color="auto"/>
                      </w:divBdr>
                      <w:divsChild>
                        <w:div w:id="31853756">
                          <w:marLeft w:val="0"/>
                          <w:marRight w:val="0"/>
                          <w:marTop w:val="0"/>
                          <w:marBottom w:val="0"/>
                          <w:divBdr>
                            <w:top w:val="none" w:sz="0" w:space="0" w:color="auto"/>
                            <w:left w:val="none" w:sz="0" w:space="0" w:color="auto"/>
                            <w:bottom w:val="none" w:sz="0" w:space="0" w:color="auto"/>
                            <w:right w:val="none" w:sz="0" w:space="0" w:color="auto"/>
                          </w:divBdr>
                          <w:divsChild>
                            <w:div w:id="1638101086">
                              <w:marLeft w:val="0"/>
                              <w:marRight w:val="0"/>
                              <w:marTop w:val="0"/>
                              <w:marBottom w:val="0"/>
                              <w:divBdr>
                                <w:top w:val="none" w:sz="0" w:space="0" w:color="auto"/>
                                <w:left w:val="none" w:sz="0" w:space="0" w:color="auto"/>
                                <w:bottom w:val="none" w:sz="0" w:space="0" w:color="auto"/>
                                <w:right w:val="none" w:sz="0" w:space="0" w:color="auto"/>
                              </w:divBdr>
                              <w:divsChild>
                                <w:div w:id="154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361555">
      <w:bodyDiv w:val="1"/>
      <w:marLeft w:val="0"/>
      <w:marRight w:val="0"/>
      <w:marTop w:val="0"/>
      <w:marBottom w:val="0"/>
      <w:divBdr>
        <w:top w:val="none" w:sz="0" w:space="0" w:color="auto"/>
        <w:left w:val="none" w:sz="0" w:space="0" w:color="auto"/>
        <w:bottom w:val="none" w:sz="0" w:space="0" w:color="auto"/>
        <w:right w:val="none" w:sz="0" w:space="0" w:color="auto"/>
      </w:divBdr>
      <w:divsChild>
        <w:div w:id="363674097">
          <w:marLeft w:val="0"/>
          <w:marRight w:val="0"/>
          <w:marTop w:val="0"/>
          <w:marBottom w:val="0"/>
          <w:divBdr>
            <w:top w:val="none" w:sz="0" w:space="0" w:color="auto"/>
            <w:left w:val="none" w:sz="0" w:space="0" w:color="auto"/>
            <w:bottom w:val="none" w:sz="0" w:space="0" w:color="auto"/>
            <w:right w:val="none" w:sz="0" w:space="0" w:color="auto"/>
          </w:divBdr>
          <w:divsChild>
            <w:div w:id="1128939635">
              <w:marLeft w:val="0"/>
              <w:marRight w:val="0"/>
              <w:marTop w:val="0"/>
              <w:marBottom w:val="0"/>
              <w:divBdr>
                <w:top w:val="none" w:sz="0" w:space="0" w:color="auto"/>
                <w:left w:val="none" w:sz="0" w:space="0" w:color="auto"/>
                <w:bottom w:val="none" w:sz="0" w:space="0" w:color="auto"/>
                <w:right w:val="none" w:sz="0" w:space="0" w:color="auto"/>
              </w:divBdr>
              <w:divsChild>
                <w:div w:id="763692174">
                  <w:marLeft w:val="0"/>
                  <w:marRight w:val="0"/>
                  <w:marTop w:val="0"/>
                  <w:marBottom w:val="0"/>
                  <w:divBdr>
                    <w:top w:val="none" w:sz="0" w:space="0" w:color="auto"/>
                    <w:left w:val="none" w:sz="0" w:space="0" w:color="auto"/>
                    <w:bottom w:val="none" w:sz="0" w:space="0" w:color="auto"/>
                    <w:right w:val="none" w:sz="0" w:space="0" w:color="auto"/>
                  </w:divBdr>
                  <w:divsChild>
                    <w:div w:id="1147822258">
                      <w:marLeft w:val="0"/>
                      <w:marRight w:val="0"/>
                      <w:marTop w:val="0"/>
                      <w:marBottom w:val="0"/>
                      <w:divBdr>
                        <w:top w:val="none" w:sz="0" w:space="0" w:color="auto"/>
                        <w:left w:val="none" w:sz="0" w:space="0" w:color="auto"/>
                        <w:bottom w:val="none" w:sz="0" w:space="0" w:color="auto"/>
                        <w:right w:val="none" w:sz="0" w:space="0" w:color="auto"/>
                      </w:divBdr>
                      <w:divsChild>
                        <w:div w:id="1032726739">
                          <w:marLeft w:val="0"/>
                          <w:marRight w:val="0"/>
                          <w:marTop w:val="0"/>
                          <w:marBottom w:val="0"/>
                          <w:divBdr>
                            <w:top w:val="none" w:sz="0" w:space="0" w:color="auto"/>
                            <w:left w:val="none" w:sz="0" w:space="0" w:color="auto"/>
                            <w:bottom w:val="none" w:sz="0" w:space="0" w:color="auto"/>
                            <w:right w:val="none" w:sz="0" w:space="0" w:color="auto"/>
                          </w:divBdr>
                          <w:divsChild>
                            <w:div w:id="261882745">
                              <w:marLeft w:val="0"/>
                              <w:marRight w:val="0"/>
                              <w:marTop w:val="0"/>
                              <w:marBottom w:val="0"/>
                              <w:divBdr>
                                <w:top w:val="none" w:sz="0" w:space="0" w:color="auto"/>
                                <w:left w:val="none" w:sz="0" w:space="0" w:color="auto"/>
                                <w:bottom w:val="none" w:sz="0" w:space="0" w:color="auto"/>
                                <w:right w:val="none" w:sz="0" w:space="0" w:color="auto"/>
                              </w:divBdr>
                              <w:divsChild>
                                <w:div w:id="1174148745">
                                  <w:marLeft w:val="0"/>
                                  <w:marRight w:val="0"/>
                                  <w:marTop w:val="0"/>
                                  <w:marBottom w:val="0"/>
                                  <w:divBdr>
                                    <w:top w:val="single" w:sz="6" w:space="0" w:color="F5F5F5"/>
                                    <w:left w:val="single" w:sz="6" w:space="0" w:color="F5F5F5"/>
                                    <w:bottom w:val="single" w:sz="6" w:space="0" w:color="F5F5F5"/>
                                    <w:right w:val="single" w:sz="6" w:space="0" w:color="F5F5F5"/>
                                  </w:divBdr>
                                  <w:divsChild>
                                    <w:div w:id="2005089626">
                                      <w:marLeft w:val="0"/>
                                      <w:marRight w:val="0"/>
                                      <w:marTop w:val="0"/>
                                      <w:marBottom w:val="0"/>
                                      <w:divBdr>
                                        <w:top w:val="none" w:sz="0" w:space="0" w:color="auto"/>
                                        <w:left w:val="none" w:sz="0" w:space="0" w:color="auto"/>
                                        <w:bottom w:val="none" w:sz="0" w:space="0" w:color="auto"/>
                                        <w:right w:val="none" w:sz="0" w:space="0" w:color="auto"/>
                                      </w:divBdr>
                                      <w:divsChild>
                                        <w:div w:id="49237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108320">
      <w:bodyDiv w:val="1"/>
      <w:marLeft w:val="0"/>
      <w:marRight w:val="0"/>
      <w:marTop w:val="0"/>
      <w:marBottom w:val="0"/>
      <w:divBdr>
        <w:top w:val="none" w:sz="0" w:space="0" w:color="auto"/>
        <w:left w:val="none" w:sz="0" w:space="0" w:color="auto"/>
        <w:bottom w:val="none" w:sz="0" w:space="0" w:color="auto"/>
        <w:right w:val="none" w:sz="0" w:space="0" w:color="auto"/>
      </w:divBdr>
    </w:div>
    <w:div w:id="1722172749">
      <w:bodyDiv w:val="1"/>
      <w:marLeft w:val="0"/>
      <w:marRight w:val="0"/>
      <w:marTop w:val="0"/>
      <w:marBottom w:val="0"/>
      <w:divBdr>
        <w:top w:val="none" w:sz="0" w:space="0" w:color="auto"/>
        <w:left w:val="none" w:sz="0" w:space="0" w:color="auto"/>
        <w:bottom w:val="none" w:sz="0" w:space="0" w:color="auto"/>
        <w:right w:val="none" w:sz="0" w:space="0" w:color="auto"/>
      </w:divBdr>
      <w:divsChild>
        <w:div w:id="2024474233">
          <w:marLeft w:val="0"/>
          <w:marRight w:val="0"/>
          <w:marTop w:val="0"/>
          <w:marBottom w:val="0"/>
          <w:divBdr>
            <w:top w:val="none" w:sz="0" w:space="0" w:color="auto"/>
            <w:left w:val="none" w:sz="0" w:space="0" w:color="auto"/>
            <w:bottom w:val="none" w:sz="0" w:space="0" w:color="auto"/>
            <w:right w:val="none" w:sz="0" w:space="0" w:color="auto"/>
          </w:divBdr>
          <w:divsChild>
            <w:div w:id="14579610">
              <w:marLeft w:val="0"/>
              <w:marRight w:val="0"/>
              <w:marTop w:val="0"/>
              <w:marBottom w:val="0"/>
              <w:divBdr>
                <w:top w:val="none" w:sz="0" w:space="0" w:color="auto"/>
                <w:left w:val="none" w:sz="0" w:space="0" w:color="auto"/>
                <w:bottom w:val="none" w:sz="0" w:space="0" w:color="auto"/>
                <w:right w:val="none" w:sz="0" w:space="0" w:color="auto"/>
              </w:divBdr>
              <w:divsChild>
                <w:div w:id="1804303085">
                  <w:marLeft w:val="0"/>
                  <w:marRight w:val="0"/>
                  <w:marTop w:val="0"/>
                  <w:marBottom w:val="0"/>
                  <w:divBdr>
                    <w:top w:val="none" w:sz="0" w:space="0" w:color="auto"/>
                    <w:left w:val="none" w:sz="0" w:space="0" w:color="auto"/>
                    <w:bottom w:val="none" w:sz="0" w:space="0" w:color="auto"/>
                    <w:right w:val="none" w:sz="0" w:space="0" w:color="auto"/>
                  </w:divBdr>
                  <w:divsChild>
                    <w:div w:id="1691953708">
                      <w:marLeft w:val="0"/>
                      <w:marRight w:val="0"/>
                      <w:marTop w:val="0"/>
                      <w:marBottom w:val="0"/>
                      <w:divBdr>
                        <w:top w:val="none" w:sz="0" w:space="0" w:color="auto"/>
                        <w:left w:val="none" w:sz="0" w:space="0" w:color="auto"/>
                        <w:bottom w:val="none" w:sz="0" w:space="0" w:color="auto"/>
                        <w:right w:val="none" w:sz="0" w:space="0" w:color="auto"/>
                      </w:divBdr>
                      <w:divsChild>
                        <w:div w:id="1291088153">
                          <w:marLeft w:val="0"/>
                          <w:marRight w:val="0"/>
                          <w:marTop w:val="0"/>
                          <w:marBottom w:val="0"/>
                          <w:divBdr>
                            <w:top w:val="none" w:sz="0" w:space="0" w:color="auto"/>
                            <w:left w:val="none" w:sz="0" w:space="0" w:color="auto"/>
                            <w:bottom w:val="none" w:sz="0" w:space="0" w:color="auto"/>
                            <w:right w:val="none" w:sz="0" w:space="0" w:color="auto"/>
                          </w:divBdr>
                          <w:divsChild>
                            <w:div w:id="1448354780">
                              <w:marLeft w:val="0"/>
                              <w:marRight w:val="0"/>
                              <w:marTop w:val="0"/>
                              <w:marBottom w:val="0"/>
                              <w:divBdr>
                                <w:top w:val="none" w:sz="0" w:space="0" w:color="auto"/>
                                <w:left w:val="none" w:sz="0" w:space="0" w:color="auto"/>
                                <w:bottom w:val="none" w:sz="0" w:space="0" w:color="auto"/>
                                <w:right w:val="none" w:sz="0" w:space="0" w:color="auto"/>
                              </w:divBdr>
                              <w:divsChild>
                                <w:div w:id="1971351836">
                                  <w:marLeft w:val="0"/>
                                  <w:marRight w:val="0"/>
                                  <w:marTop w:val="0"/>
                                  <w:marBottom w:val="0"/>
                                  <w:divBdr>
                                    <w:top w:val="none" w:sz="0" w:space="0" w:color="auto"/>
                                    <w:left w:val="none" w:sz="0" w:space="0" w:color="auto"/>
                                    <w:bottom w:val="none" w:sz="0" w:space="0" w:color="auto"/>
                                    <w:right w:val="none" w:sz="0" w:space="0" w:color="auto"/>
                                  </w:divBdr>
                                  <w:divsChild>
                                    <w:div w:id="2085225785">
                                      <w:marLeft w:val="0"/>
                                      <w:marRight w:val="0"/>
                                      <w:marTop w:val="0"/>
                                      <w:marBottom w:val="0"/>
                                      <w:divBdr>
                                        <w:top w:val="none" w:sz="0" w:space="0" w:color="auto"/>
                                        <w:left w:val="none" w:sz="0" w:space="0" w:color="auto"/>
                                        <w:bottom w:val="none" w:sz="0" w:space="0" w:color="auto"/>
                                        <w:right w:val="none" w:sz="0" w:space="0" w:color="auto"/>
                                      </w:divBdr>
                                      <w:divsChild>
                                        <w:div w:id="468089477">
                                          <w:marLeft w:val="0"/>
                                          <w:marRight w:val="0"/>
                                          <w:marTop w:val="0"/>
                                          <w:marBottom w:val="413"/>
                                          <w:divBdr>
                                            <w:top w:val="none" w:sz="0" w:space="0" w:color="auto"/>
                                            <w:left w:val="none" w:sz="0" w:space="0" w:color="auto"/>
                                            <w:bottom w:val="none" w:sz="0" w:space="0" w:color="auto"/>
                                            <w:right w:val="none" w:sz="0" w:space="0" w:color="auto"/>
                                          </w:divBdr>
                                          <w:divsChild>
                                            <w:div w:id="182847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720496">
      <w:bodyDiv w:val="1"/>
      <w:marLeft w:val="0"/>
      <w:marRight w:val="0"/>
      <w:marTop w:val="0"/>
      <w:marBottom w:val="0"/>
      <w:divBdr>
        <w:top w:val="none" w:sz="0" w:space="0" w:color="auto"/>
        <w:left w:val="none" w:sz="0" w:space="0" w:color="auto"/>
        <w:bottom w:val="none" w:sz="0" w:space="0" w:color="auto"/>
        <w:right w:val="none" w:sz="0" w:space="0" w:color="auto"/>
      </w:divBdr>
    </w:div>
    <w:div w:id="1789202226">
      <w:bodyDiv w:val="1"/>
      <w:marLeft w:val="0"/>
      <w:marRight w:val="0"/>
      <w:marTop w:val="0"/>
      <w:marBottom w:val="0"/>
      <w:divBdr>
        <w:top w:val="none" w:sz="0" w:space="0" w:color="auto"/>
        <w:left w:val="none" w:sz="0" w:space="0" w:color="auto"/>
        <w:bottom w:val="none" w:sz="0" w:space="0" w:color="auto"/>
        <w:right w:val="none" w:sz="0" w:space="0" w:color="auto"/>
      </w:divBdr>
      <w:divsChild>
        <w:div w:id="1082608298">
          <w:marLeft w:val="0"/>
          <w:marRight w:val="0"/>
          <w:marTop w:val="0"/>
          <w:marBottom w:val="0"/>
          <w:divBdr>
            <w:top w:val="none" w:sz="0" w:space="0" w:color="auto"/>
            <w:left w:val="none" w:sz="0" w:space="0" w:color="auto"/>
            <w:bottom w:val="none" w:sz="0" w:space="0" w:color="auto"/>
            <w:right w:val="none" w:sz="0" w:space="0" w:color="auto"/>
          </w:divBdr>
          <w:divsChild>
            <w:div w:id="81611116">
              <w:marLeft w:val="0"/>
              <w:marRight w:val="0"/>
              <w:marTop w:val="0"/>
              <w:marBottom w:val="0"/>
              <w:divBdr>
                <w:top w:val="none" w:sz="0" w:space="0" w:color="auto"/>
                <w:left w:val="none" w:sz="0" w:space="0" w:color="auto"/>
                <w:bottom w:val="none" w:sz="0" w:space="0" w:color="auto"/>
                <w:right w:val="none" w:sz="0" w:space="0" w:color="auto"/>
              </w:divBdr>
              <w:divsChild>
                <w:div w:id="1043558201">
                  <w:marLeft w:val="0"/>
                  <w:marRight w:val="0"/>
                  <w:marTop w:val="0"/>
                  <w:marBottom w:val="0"/>
                  <w:divBdr>
                    <w:top w:val="none" w:sz="0" w:space="0" w:color="auto"/>
                    <w:left w:val="none" w:sz="0" w:space="0" w:color="auto"/>
                    <w:bottom w:val="none" w:sz="0" w:space="0" w:color="auto"/>
                    <w:right w:val="none" w:sz="0" w:space="0" w:color="auto"/>
                  </w:divBdr>
                  <w:divsChild>
                    <w:div w:id="1179006174">
                      <w:marLeft w:val="0"/>
                      <w:marRight w:val="0"/>
                      <w:marTop w:val="0"/>
                      <w:marBottom w:val="0"/>
                      <w:divBdr>
                        <w:top w:val="none" w:sz="0" w:space="0" w:color="auto"/>
                        <w:left w:val="none" w:sz="0" w:space="0" w:color="auto"/>
                        <w:bottom w:val="none" w:sz="0" w:space="0" w:color="auto"/>
                        <w:right w:val="none" w:sz="0" w:space="0" w:color="auto"/>
                      </w:divBdr>
                      <w:divsChild>
                        <w:div w:id="1014956374">
                          <w:marLeft w:val="0"/>
                          <w:marRight w:val="0"/>
                          <w:marTop w:val="0"/>
                          <w:marBottom w:val="0"/>
                          <w:divBdr>
                            <w:top w:val="none" w:sz="0" w:space="0" w:color="auto"/>
                            <w:left w:val="none" w:sz="0" w:space="0" w:color="auto"/>
                            <w:bottom w:val="none" w:sz="0" w:space="0" w:color="auto"/>
                            <w:right w:val="none" w:sz="0" w:space="0" w:color="auto"/>
                          </w:divBdr>
                          <w:divsChild>
                            <w:div w:id="1776704990">
                              <w:marLeft w:val="0"/>
                              <w:marRight w:val="0"/>
                              <w:marTop w:val="0"/>
                              <w:marBottom w:val="0"/>
                              <w:divBdr>
                                <w:top w:val="none" w:sz="0" w:space="0" w:color="auto"/>
                                <w:left w:val="none" w:sz="0" w:space="0" w:color="auto"/>
                                <w:bottom w:val="none" w:sz="0" w:space="0" w:color="auto"/>
                                <w:right w:val="none" w:sz="0" w:space="0" w:color="auto"/>
                              </w:divBdr>
                              <w:divsChild>
                                <w:div w:id="229925848">
                                  <w:marLeft w:val="0"/>
                                  <w:marRight w:val="0"/>
                                  <w:marTop w:val="0"/>
                                  <w:marBottom w:val="0"/>
                                  <w:divBdr>
                                    <w:top w:val="none" w:sz="0" w:space="0" w:color="auto"/>
                                    <w:left w:val="none" w:sz="0" w:space="0" w:color="auto"/>
                                    <w:bottom w:val="none" w:sz="0" w:space="0" w:color="auto"/>
                                    <w:right w:val="none" w:sz="0" w:space="0" w:color="auto"/>
                                  </w:divBdr>
                                  <w:divsChild>
                                    <w:div w:id="1101529342">
                                      <w:marLeft w:val="0"/>
                                      <w:marRight w:val="0"/>
                                      <w:marTop w:val="0"/>
                                      <w:marBottom w:val="0"/>
                                      <w:divBdr>
                                        <w:top w:val="none" w:sz="0" w:space="0" w:color="auto"/>
                                        <w:left w:val="none" w:sz="0" w:space="0" w:color="auto"/>
                                        <w:bottom w:val="none" w:sz="0" w:space="0" w:color="auto"/>
                                        <w:right w:val="none" w:sz="0" w:space="0" w:color="auto"/>
                                      </w:divBdr>
                                      <w:divsChild>
                                        <w:div w:id="1465272357">
                                          <w:marLeft w:val="0"/>
                                          <w:marRight w:val="0"/>
                                          <w:marTop w:val="0"/>
                                          <w:marBottom w:val="413"/>
                                          <w:divBdr>
                                            <w:top w:val="none" w:sz="0" w:space="0" w:color="auto"/>
                                            <w:left w:val="none" w:sz="0" w:space="0" w:color="auto"/>
                                            <w:bottom w:val="none" w:sz="0" w:space="0" w:color="auto"/>
                                            <w:right w:val="none" w:sz="0" w:space="0" w:color="auto"/>
                                          </w:divBdr>
                                          <w:divsChild>
                                            <w:div w:id="15250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9195047">
      <w:bodyDiv w:val="1"/>
      <w:marLeft w:val="0"/>
      <w:marRight w:val="0"/>
      <w:marTop w:val="0"/>
      <w:marBottom w:val="0"/>
      <w:divBdr>
        <w:top w:val="none" w:sz="0" w:space="0" w:color="auto"/>
        <w:left w:val="none" w:sz="0" w:space="0" w:color="auto"/>
        <w:bottom w:val="none" w:sz="0" w:space="0" w:color="auto"/>
        <w:right w:val="none" w:sz="0" w:space="0" w:color="auto"/>
      </w:divBdr>
      <w:divsChild>
        <w:div w:id="1756703229">
          <w:marLeft w:val="0"/>
          <w:marRight w:val="0"/>
          <w:marTop w:val="0"/>
          <w:marBottom w:val="0"/>
          <w:divBdr>
            <w:top w:val="none" w:sz="0" w:space="0" w:color="auto"/>
            <w:left w:val="none" w:sz="0" w:space="0" w:color="auto"/>
            <w:bottom w:val="none" w:sz="0" w:space="0" w:color="auto"/>
            <w:right w:val="none" w:sz="0" w:space="0" w:color="auto"/>
          </w:divBdr>
          <w:divsChild>
            <w:div w:id="376318198">
              <w:marLeft w:val="0"/>
              <w:marRight w:val="0"/>
              <w:marTop w:val="0"/>
              <w:marBottom w:val="0"/>
              <w:divBdr>
                <w:top w:val="none" w:sz="0" w:space="0" w:color="auto"/>
                <w:left w:val="none" w:sz="0" w:space="0" w:color="auto"/>
                <w:bottom w:val="none" w:sz="0" w:space="0" w:color="auto"/>
                <w:right w:val="none" w:sz="0" w:space="0" w:color="auto"/>
              </w:divBdr>
              <w:divsChild>
                <w:div w:id="1968270374">
                  <w:marLeft w:val="0"/>
                  <w:marRight w:val="0"/>
                  <w:marTop w:val="0"/>
                  <w:marBottom w:val="0"/>
                  <w:divBdr>
                    <w:top w:val="none" w:sz="0" w:space="0" w:color="auto"/>
                    <w:left w:val="none" w:sz="0" w:space="0" w:color="auto"/>
                    <w:bottom w:val="none" w:sz="0" w:space="0" w:color="auto"/>
                    <w:right w:val="none" w:sz="0" w:space="0" w:color="auto"/>
                  </w:divBdr>
                  <w:divsChild>
                    <w:div w:id="1614703700">
                      <w:marLeft w:val="0"/>
                      <w:marRight w:val="0"/>
                      <w:marTop w:val="0"/>
                      <w:marBottom w:val="0"/>
                      <w:divBdr>
                        <w:top w:val="none" w:sz="0" w:space="0" w:color="auto"/>
                        <w:left w:val="none" w:sz="0" w:space="0" w:color="auto"/>
                        <w:bottom w:val="none" w:sz="0" w:space="0" w:color="auto"/>
                        <w:right w:val="none" w:sz="0" w:space="0" w:color="auto"/>
                      </w:divBdr>
                      <w:divsChild>
                        <w:div w:id="1381900666">
                          <w:marLeft w:val="0"/>
                          <w:marRight w:val="0"/>
                          <w:marTop w:val="0"/>
                          <w:marBottom w:val="0"/>
                          <w:divBdr>
                            <w:top w:val="none" w:sz="0" w:space="0" w:color="auto"/>
                            <w:left w:val="none" w:sz="0" w:space="0" w:color="auto"/>
                            <w:bottom w:val="none" w:sz="0" w:space="0" w:color="auto"/>
                            <w:right w:val="none" w:sz="0" w:space="0" w:color="auto"/>
                          </w:divBdr>
                          <w:divsChild>
                            <w:div w:id="1623851153">
                              <w:marLeft w:val="0"/>
                              <w:marRight w:val="0"/>
                              <w:marTop w:val="0"/>
                              <w:marBottom w:val="0"/>
                              <w:divBdr>
                                <w:top w:val="none" w:sz="0" w:space="0" w:color="auto"/>
                                <w:left w:val="none" w:sz="0" w:space="0" w:color="auto"/>
                                <w:bottom w:val="none" w:sz="0" w:space="0" w:color="auto"/>
                                <w:right w:val="none" w:sz="0" w:space="0" w:color="auto"/>
                              </w:divBdr>
                              <w:divsChild>
                                <w:div w:id="850411917">
                                  <w:marLeft w:val="0"/>
                                  <w:marRight w:val="0"/>
                                  <w:marTop w:val="0"/>
                                  <w:marBottom w:val="0"/>
                                  <w:divBdr>
                                    <w:top w:val="none" w:sz="0" w:space="0" w:color="auto"/>
                                    <w:left w:val="none" w:sz="0" w:space="0" w:color="auto"/>
                                    <w:bottom w:val="none" w:sz="0" w:space="0" w:color="auto"/>
                                    <w:right w:val="none" w:sz="0" w:space="0" w:color="auto"/>
                                  </w:divBdr>
                                  <w:divsChild>
                                    <w:div w:id="621037838">
                                      <w:marLeft w:val="0"/>
                                      <w:marRight w:val="0"/>
                                      <w:marTop w:val="0"/>
                                      <w:marBottom w:val="0"/>
                                      <w:divBdr>
                                        <w:top w:val="none" w:sz="0" w:space="0" w:color="auto"/>
                                        <w:left w:val="none" w:sz="0" w:space="0" w:color="auto"/>
                                        <w:bottom w:val="none" w:sz="0" w:space="0" w:color="auto"/>
                                        <w:right w:val="none" w:sz="0" w:space="0" w:color="auto"/>
                                      </w:divBdr>
                                      <w:divsChild>
                                        <w:div w:id="1892763477">
                                          <w:marLeft w:val="0"/>
                                          <w:marRight w:val="0"/>
                                          <w:marTop w:val="0"/>
                                          <w:marBottom w:val="495"/>
                                          <w:divBdr>
                                            <w:top w:val="none" w:sz="0" w:space="0" w:color="auto"/>
                                            <w:left w:val="none" w:sz="0" w:space="0" w:color="auto"/>
                                            <w:bottom w:val="none" w:sz="0" w:space="0" w:color="auto"/>
                                            <w:right w:val="none" w:sz="0" w:space="0" w:color="auto"/>
                                          </w:divBdr>
                                          <w:divsChild>
                                            <w:div w:id="8087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162510">
      <w:bodyDiv w:val="1"/>
      <w:marLeft w:val="0"/>
      <w:marRight w:val="0"/>
      <w:marTop w:val="0"/>
      <w:marBottom w:val="0"/>
      <w:divBdr>
        <w:top w:val="none" w:sz="0" w:space="0" w:color="auto"/>
        <w:left w:val="none" w:sz="0" w:space="0" w:color="auto"/>
        <w:bottom w:val="none" w:sz="0" w:space="0" w:color="auto"/>
        <w:right w:val="none" w:sz="0" w:space="0" w:color="auto"/>
      </w:divBdr>
      <w:divsChild>
        <w:div w:id="1410611654">
          <w:marLeft w:val="0"/>
          <w:marRight w:val="0"/>
          <w:marTop w:val="0"/>
          <w:marBottom w:val="0"/>
          <w:divBdr>
            <w:top w:val="none" w:sz="0" w:space="0" w:color="auto"/>
            <w:left w:val="none" w:sz="0" w:space="0" w:color="auto"/>
            <w:bottom w:val="none" w:sz="0" w:space="0" w:color="auto"/>
            <w:right w:val="none" w:sz="0" w:space="0" w:color="auto"/>
          </w:divBdr>
          <w:divsChild>
            <w:div w:id="1332176445">
              <w:marLeft w:val="0"/>
              <w:marRight w:val="0"/>
              <w:marTop w:val="0"/>
              <w:marBottom w:val="0"/>
              <w:divBdr>
                <w:top w:val="none" w:sz="0" w:space="0" w:color="auto"/>
                <w:left w:val="none" w:sz="0" w:space="0" w:color="auto"/>
                <w:bottom w:val="none" w:sz="0" w:space="0" w:color="auto"/>
                <w:right w:val="none" w:sz="0" w:space="0" w:color="auto"/>
              </w:divBdr>
              <w:divsChild>
                <w:div w:id="1065832469">
                  <w:marLeft w:val="0"/>
                  <w:marRight w:val="0"/>
                  <w:marTop w:val="0"/>
                  <w:marBottom w:val="0"/>
                  <w:divBdr>
                    <w:top w:val="none" w:sz="0" w:space="0" w:color="auto"/>
                    <w:left w:val="none" w:sz="0" w:space="0" w:color="auto"/>
                    <w:bottom w:val="none" w:sz="0" w:space="0" w:color="auto"/>
                    <w:right w:val="none" w:sz="0" w:space="0" w:color="auto"/>
                  </w:divBdr>
                  <w:divsChild>
                    <w:div w:id="2014065019">
                      <w:marLeft w:val="0"/>
                      <w:marRight w:val="0"/>
                      <w:marTop w:val="0"/>
                      <w:marBottom w:val="0"/>
                      <w:divBdr>
                        <w:top w:val="none" w:sz="0" w:space="0" w:color="auto"/>
                        <w:left w:val="none" w:sz="0" w:space="0" w:color="auto"/>
                        <w:bottom w:val="none" w:sz="0" w:space="0" w:color="auto"/>
                        <w:right w:val="none" w:sz="0" w:space="0" w:color="auto"/>
                      </w:divBdr>
                      <w:divsChild>
                        <w:div w:id="128594737">
                          <w:marLeft w:val="0"/>
                          <w:marRight w:val="0"/>
                          <w:marTop w:val="0"/>
                          <w:marBottom w:val="0"/>
                          <w:divBdr>
                            <w:top w:val="none" w:sz="0" w:space="0" w:color="auto"/>
                            <w:left w:val="none" w:sz="0" w:space="0" w:color="auto"/>
                            <w:bottom w:val="none" w:sz="0" w:space="0" w:color="auto"/>
                            <w:right w:val="none" w:sz="0" w:space="0" w:color="auto"/>
                          </w:divBdr>
                          <w:divsChild>
                            <w:div w:id="1067415354">
                              <w:marLeft w:val="0"/>
                              <w:marRight w:val="0"/>
                              <w:marTop w:val="0"/>
                              <w:marBottom w:val="0"/>
                              <w:divBdr>
                                <w:top w:val="none" w:sz="0" w:space="0" w:color="auto"/>
                                <w:left w:val="none" w:sz="0" w:space="0" w:color="auto"/>
                                <w:bottom w:val="none" w:sz="0" w:space="0" w:color="auto"/>
                                <w:right w:val="none" w:sz="0" w:space="0" w:color="auto"/>
                              </w:divBdr>
                              <w:divsChild>
                                <w:div w:id="1514567556">
                                  <w:marLeft w:val="0"/>
                                  <w:marRight w:val="0"/>
                                  <w:marTop w:val="0"/>
                                  <w:marBottom w:val="0"/>
                                  <w:divBdr>
                                    <w:top w:val="none" w:sz="0" w:space="0" w:color="auto"/>
                                    <w:left w:val="none" w:sz="0" w:space="0" w:color="auto"/>
                                    <w:bottom w:val="none" w:sz="0" w:space="0" w:color="auto"/>
                                    <w:right w:val="none" w:sz="0" w:space="0" w:color="auto"/>
                                  </w:divBdr>
                                  <w:divsChild>
                                    <w:div w:id="1583639141">
                                      <w:marLeft w:val="0"/>
                                      <w:marRight w:val="60"/>
                                      <w:marTop w:val="0"/>
                                      <w:marBottom w:val="0"/>
                                      <w:divBdr>
                                        <w:top w:val="none" w:sz="0" w:space="0" w:color="auto"/>
                                        <w:left w:val="none" w:sz="0" w:space="0" w:color="auto"/>
                                        <w:bottom w:val="none" w:sz="0" w:space="0" w:color="auto"/>
                                        <w:right w:val="none" w:sz="0" w:space="0" w:color="auto"/>
                                      </w:divBdr>
                                      <w:divsChild>
                                        <w:div w:id="1610552571">
                                          <w:marLeft w:val="0"/>
                                          <w:marRight w:val="0"/>
                                          <w:marTop w:val="0"/>
                                          <w:marBottom w:val="0"/>
                                          <w:divBdr>
                                            <w:top w:val="none" w:sz="0" w:space="0" w:color="auto"/>
                                            <w:left w:val="none" w:sz="0" w:space="0" w:color="auto"/>
                                            <w:bottom w:val="none" w:sz="0" w:space="0" w:color="auto"/>
                                            <w:right w:val="none" w:sz="0" w:space="0" w:color="auto"/>
                                          </w:divBdr>
                                          <w:divsChild>
                                            <w:div w:id="1404178849">
                                              <w:marLeft w:val="0"/>
                                              <w:marRight w:val="0"/>
                                              <w:marTop w:val="0"/>
                                              <w:marBottom w:val="120"/>
                                              <w:divBdr>
                                                <w:top w:val="single" w:sz="6" w:space="0" w:color="F5F5F5"/>
                                                <w:left w:val="single" w:sz="6" w:space="0" w:color="F5F5F5"/>
                                                <w:bottom w:val="single" w:sz="6" w:space="0" w:color="F5F5F5"/>
                                                <w:right w:val="single" w:sz="6" w:space="0" w:color="F5F5F5"/>
                                              </w:divBdr>
                                              <w:divsChild>
                                                <w:div w:id="1218590726">
                                                  <w:marLeft w:val="0"/>
                                                  <w:marRight w:val="0"/>
                                                  <w:marTop w:val="0"/>
                                                  <w:marBottom w:val="0"/>
                                                  <w:divBdr>
                                                    <w:top w:val="none" w:sz="0" w:space="0" w:color="auto"/>
                                                    <w:left w:val="none" w:sz="0" w:space="0" w:color="auto"/>
                                                    <w:bottom w:val="none" w:sz="0" w:space="0" w:color="auto"/>
                                                    <w:right w:val="none" w:sz="0" w:space="0" w:color="auto"/>
                                                  </w:divBdr>
                                                  <w:divsChild>
                                                    <w:div w:id="492264403">
                                                      <w:marLeft w:val="0"/>
                                                      <w:marRight w:val="0"/>
                                                      <w:marTop w:val="0"/>
                                                      <w:marBottom w:val="0"/>
                                                      <w:divBdr>
                                                        <w:top w:val="none" w:sz="0" w:space="0" w:color="auto"/>
                                                        <w:left w:val="none" w:sz="0" w:space="0" w:color="auto"/>
                                                        <w:bottom w:val="none" w:sz="0" w:space="0" w:color="auto"/>
                                                        <w:right w:val="none" w:sz="0" w:space="0" w:color="auto"/>
                                                      </w:divBdr>
                                                    </w:div>
                                                  </w:divsChild>
                                                </w:div>
                                                <w:div w:id="1473979599">
                                                  <w:marLeft w:val="0"/>
                                                  <w:marRight w:val="0"/>
                                                  <w:marTop w:val="0"/>
                                                  <w:marBottom w:val="0"/>
                                                  <w:divBdr>
                                                    <w:top w:val="none" w:sz="0" w:space="0" w:color="auto"/>
                                                    <w:left w:val="none" w:sz="0" w:space="0" w:color="auto"/>
                                                    <w:bottom w:val="none" w:sz="0" w:space="0" w:color="auto"/>
                                                    <w:right w:val="none" w:sz="0" w:space="0" w:color="auto"/>
                                                  </w:divBdr>
                                                  <w:divsChild>
                                                    <w:div w:id="3452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0249936">
      <w:bodyDiv w:val="1"/>
      <w:marLeft w:val="0"/>
      <w:marRight w:val="0"/>
      <w:marTop w:val="0"/>
      <w:marBottom w:val="0"/>
      <w:divBdr>
        <w:top w:val="none" w:sz="0" w:space="0" w:color="auto"/>
        <w:left w:val="none" w:sz="0" w:space="0" w:color="auto"/>
        <w:bottom w:val="none" w:sz="0" w:space="0" w:color="auto"/>
        <w:right w:val="none" w:sz="0" w:space="0" w:color="auto"/>
      </w:divBdr>
      <w:divsChild>
        <w:div w:id="243146813">
          <w:marLeft w:val="0"/>
          <w:marRight w:val="0"/>
          <w:marTop w:val="0"/>
          <w:marBottom w:val="0"/>
          <w:divBdr>
            <w:top w:val="none" w:sz="0" w:space="0" w:color="auto"/>
            <w:left w:val="none" w:sz="0" w:space="0" w:color="auto"/>
            <w:bottom w:val="none" w:sz="0" w:space="0" w:color="auto"/>
            <w:right w:val="none" w:sz="0" w:space="0" w:color="auto"/>
          </w:divBdr>
          <w:divsChild>
            <w:div w:id="179858994">
              <w:marLeft w:val="0"/>
              <w:marRight w:val="0"/>
              <w:marTop w:val="0"/>
              <w:marBottom w:val="0"/>
              <w:divBdr>
                <w:top w:val="none" w:sz="0" w:space="0" w:color="auto"/>
                <w:left w:val="none" w:sz="0" w:space="0" w:color="auto"/>
                <w:bottom w:val="none" w:sz="0" w:space="0" w:color="auto"/>
                <w:right w:val="none" w:sz="0" w:space="0" w:color="auto"/>
              </w:divBdr>
              <w:divsChild>
                <w:div w:id="123013227">
                  <w:marLeft w:val="0"/>
                  <w:marRight w:val="0"/>
                  <w:marTop w:val="0"/>
                  <w:marBottom w:val="0"/>
                  <w:divBdr>
                    <w:top w:val="none" w:sz="0" w:space="0" w:color="auto"/>
                    <w:left w:val="none" w:sz="0" w:space="0" w:color="auto"/>
                    <w:bottom w:val="none" w:sz="0" w:space="0" w:color="auto"/>
                    <w:right w:val="none" w:sz="0" w:space="0" w:color="auto"/>
                  </w:divBdr>
                  <w:divsChild>
                    <w:div w:id="995111850">
                      <w:marLeft w:val="0"/>
                      <w:marRight w:val="0"/>
                      <w:marTop w:val="0"/>
                      <w:marBottom w:val="0"/>
                      <w:divBdr>
                        <w:top w:val="none" w:sz="0" w:space="0" w:color="auto"/>
                        <w:left w:val="none" w:sz="0" w:space="0" w:color="auto"/>
                        <w:bottom w:val="none" w:sz="0" w:space="0" w:color="auto"/>
                        <w:right w:val="none" w:sz="0" w:space="0" w:color="auto"/>
                      </w:divBdr>
                      <w:divsChild>
                        <w:div w:id="1211957409">
                          <w:marLeft w:val="0"/>
                          <w:marRight w:val="0"/>
                          <w:marTop w:val="0"/>
                          <w:marBottom w:val="0"/>
                          <w:divBdr>
                            <w:top w:val="none" w:sz="0" w:space="0" w:color="auto"/>
                            <w:left w:val="none" w:sz="0" w:space="0" w:color="auto"/>
                            <w:bottom w:val="none" w:sz="0" w:space="0" w:color="auto"/>
                            <w:right w:val="none" w:sz="0" w:space="0" w:color="auto"/>
                          </w:divBdr>
                          <w:divsChild>
                            <w:div w:id="1821342528">
                              <w:marLeft w:val="0"/>
                              <w:marRight w:val="0"/>
                              <w:marTop w:val="0"/>
                              <w:marBottom w:val="0"/>
                              <w:divBdr>
                                <w:top w:val="none" w:sz="0" w:space="0" w:color="auto"/>
                                <w:left w:val="none" w:sz="0" w:space="0" w:color="auto"/>
                                <w:bottom w:val="none" w:sz="0" w:space="0" w:color="auto"/>
                                <w:right w:val="none" w:sz="0" w:space="0" w:color="auto"/>
                              </w:divBdr>
                            </w:div>
                            <w:div w:id="446890706">
                              <w:marLeft w:val="0"/>
                              <w:marRight w:val="0"/>
                              <w:marTop w:val="0"/>
                              <w:marBottom w:val="0"/>
                              <w:divBdr>
                                <w:top w:val="none" w:sz="0" w:space="0" w:color="auto"/>
                                <w:left w:val="none" w:sz="0" w:space="0" w:color="auto"/>
                                <w:bottom w:val="none" w:sz="0" w:space="0" w:color="auto"/>
                                <w:right w:val="none" w:sz="0" w:space="0" w:color="auto"/>
                              </w:divBdr>
                              <w:divsChild>
                                <w:div w:id="1216891967">
                                  <w:marLeft w:val="0"/>
                                  <w:marRight w:val="0"/>
                                  <w:marTop w:val="0"/>
                                  <w:marBottom w:val="0"/>
                                  <w:divBdr>
                                    <w:top w:val="none" w:sz="0" w:space="0" w:color="auto"/>
                                    <w:left w:val="none" w:sz="0" w:space="0" w:color="auto"/>
                                    <w:bottom w:val="none" w:sz="0" w:space="0" w:color="auto"/>
                                    <w:right w:val="none" w:sz="0" w:space="0" w:color="auto"/>
                                  </w:divBdr>
                                  <w:divsChild>
                                    <w:div w:id="962541821">
                                      <w:marLeft w:val="0"/>
                                      <w:marRight w:val="0"/>
                                      <w:marTop w:val="0"/>
                                      <w:marBottom w:val="0"/>
                                      <w:divBdr>
                                        <w:top w:val="none" w:sz="0" w:space="0" w:color="auto"/>
                                        <w:left w:val="none" w:sz="0" w:space="0" w:color="auto"/>
                                        <w:bottom w:val="none" w:sz="0" w:space="0" w:color="auto"/>
                                        <w:right w:val="none" w:sz="0" w:space="0" w:color="auto"/>
                                      </w:divBdr>
                                      <w:divsChild>
                                        <w:div w:id="16414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565993">
      <w:bodyDiv w:val="1"/>
      <w:marLeft w:val="0"/>
      <w:marRight w:val="0"/>
      <w:marTop w:val="0"/>
      <w:marBottom w:val="0"/>
      <w:divBdr>
        <w:top w:val="none" w:sz="0" w:space="0" w:color="auto"/>
        <w:left w:val="none" w:sz="0" w:space="0" w:color="auto"/>
        <w:bottom w:val="none" w:sz="0" w:space="0" w:color="auto"/>
        <w:right w:val="none" w:sz="0" w:space="0" w:color="auto"/>
      </w:divBdr>
    </w:div>
    <w:div w:id="2103530049">
      <w:bodyDiv w:val="1"/>
      <w:marLeft w:val="0"/>
      <w:marRight w:val="0"/>
      <w:marTop w:val="0"/>
      <w:marBottom w:val="0"/>
      <w:divBdr>
        <w:top w:val="none" w:sz="0" w:space="0" w:color="auto"/>
        <w:left w:val="none" w:sz="0" w:space="0" w:color="auto"/>
        <w:bottom w:val="none" w:sz="0" w:space="0" w:color="auto"/>
        <w:right w:val="none" w:sz="0" w:space="0" w:color="auto"/>
      </w:divBdr>
      <w:divsChild>
        <w:div w:id="656148253">
          <w:marLeft w:val="0"/>
          <w:marRight w:val="0"/>
          <w:marTop w:val="0"/>
          <w:marBottom w:val="0"/>
          <w:divBdr>
            <w:top w:val="none" w:sz="0" w:space="0" w:color="auto"/>
            <w:left w:val="none" w:sz="0" w:space="0" w:color="auto"/>
            <w:bottom w:val="none" w:sz="0" w:space="0" w:color="auto"/>
            <w:right w:val="none" w:sz="0" w:space="0" w:color="auto"/>
          </w:divBdr>
          <w:divsChild>
            <w:div w:id="2108964939">
              <w:marLeft w:val="0"/>
              <w:marRight w:val="0"/>
              <w:marTop w:val="0"/>
              <w:marBottom w:val="0"/>
              <w:divBdr>
                <w:top w:val="none" w:sz="0" w:space="0" w:color="auto"/>
                <w:left w:val="none" w:sz="0" w:space="0" w:color="auto"/>
                <w:bottom w:val="none" w:sz="0" w:space="0" w:color="auto"/>
                <w:right w:val="none" w:sz="0" w:space="0" w:color="auto"/>
              </w:divBdr>
              <w:divsChild>
                <w:div w:id="650864377">
                  <w:marLeft w:val="0"/>
                  <w:marRight w:val="0"/>
                  <w:marTop w:val="0"/>
                  <w:marBottom w:val="0"/>
                  <w:divBdr>
                    <w:top w:val="none" w:sz="0" w:space="0" w:color="auto"/>
                    <w:left w:val="none" w:sz="0" w:space="0" w:color="auto"/>
                    <w:bottom w:val="none" w:sz="0" w:space="0" w:color="auto"/>
                    <w:right w:val="none" w:sz="0" w:space="0" w:color="auto"/>
                  </w:divBdr>
                  <w:divsChild>
                    <w:div w:id="631326923">
                      <w:marLeft w:val="0"/>
                      <w:marRight w:val="0"/>
                      <w:marTop w:val="0"/>
                      <w:marBottom w:val="0"/>
                      <w:divBdr>
                        <w:top w:val="none" w:sz="0" w:space="0" w:color="auto"/>
                        <w:left w:val="none" w:sz="0" w:space="0" w:color="auto"/>
                        <w:bottom w:val="none" w:sz="0" w:space="0" w:color="auto"/>
                        <w:right w:val="none" w:sz="0" w:space="0" w:color="auto"/>
                      </w:divBdr>
                      <w:divsChild>
                        <w:div w:id="1921400293">
                          <w:marLeft w:val="0"/>
                          <w:marRight w:val="0"/>
                          <w:marTop w:val="0"/>
                          <w:marBottom w:val="0"/>
                          <w:divBdr>
                            <w:top w:val="none" w:sz="0" w:space="0" w:color="auto"/>
                            <w:left w:val="none" w:sz="0" w:space="0" w:color="auto"/>
                            <w:bottom w:val="none" w:sz="0" w:space="0" w:color="auto"/>
                            <w:right w:val="none" w:sz="0" w:space="0" w:color="auto"/>
                          </w:divBdr>
                          <w:divsChild>
                            <w:div w:id="1932467398">
                              <w:marLeft w:val="0"/>
                              <w:marRight w:val="0"/>
                              <w:marTop w:val="0"/>
                              <w:marBottom w:val="0"/>
                              <w:divBdr>
                                <w:top w:val="none" w:sz="0" w:space="0" w:color="auto"/>
                                <w:left w:val="none" w:sz="0" w:space="0" w:color="auto"/>
                                <w:bottom w:val="none" w:sz="0" w:space="0" w:color="auto"/>
                                <w:right w:val="none" w:sz="0" w:space="0" w:color="auto"/>
                              </w:divBdr>
                              <w:divsChild>
                                <w:div w:id="1466772306">
                                  <w:marLeft w:val="0"/>
                                  <w:marRight w:val="0"/>
                                  <w:marTop w:val="0"/>
                                  <w:marBottom w:val="0"/>
                                  <w:divBdr>
                                    <w:top w:val="none" w:sz="0" w:space="0" w:color="auto"/>
                                    <w:left w:val="none" w:sz="0" w:space="0" w:color="auto"/>
                                    <w:bottom w:val="none" w:sz="0" w:space="0" w:color="auto"/>
                                    <w:right w:val="none" w:sz="0" w:space="0" w:color="auto"/>
                                  </w:divBdr>
                                  <w:divsChild>
                                    <w:div w:id="349335418">
                                      <w:marLeft w:val="0"/>
                                      <w:marRight w:val="0"/>
                                      <w:marTop w:val="0"/>
                                      <w:marBottom w:val="0"/>
                                      <w:divBdr>
                                        <w:top w:val="none" w:sz="0" w:space="0" w:color="auto"/>
                                        <w:left w:val="none" w:sz="0" w:space="0" w:color="auto"/>
                                        <w:bottom w:val="none" w:sz="0" w:space="0" w:color="auto"/>
                                        <w:right w:val="none" w:sz="0" w:space="0" w:color="auto"/>
                                      </w:divBdr>
                                      <w:divsChild>
                                        <w:div w:id="1078866644">
                                          <w:marLeft w:val="0"/>
                                          <w:marRight w:val="0"/>
                                          <w:marTop w:val="0"/>
                                          <w:marBottom w:val="413"/>
                                          <w:divBdr>
                                            <w:top w:val="none" w:sz="0" w:space="0" w:color="auto"/>
                                            <w:left w:val="none" w:sz="0" w:space="0" w:color="auto"/>
                                            <w:bottom w:val="none" w:sz="0" w:space="0" w:color="auto"/>
                                            <w:right w:val="none" w:sz="0" w:space="0" w:color="auto"/>
                                          </w:divBdr>
                                          <w:divsChild>
                                            <w:div w:id="13135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F173B4-AC66-4764-BFB3-EC3178960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1803</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The confiscation of land is the reason for the Land Day</vt:lpstr>
    </vt:vector>
  </TitlesOfParts>
  <Company>Hewlett-Packard Company</Company>
  <LinksUpToDate>false</LinksUpToDate>
  <CharactersWithSpaces>12057</CharactersWithSpaces>
  <SharedDoc>false</SharedDoc>
  <HLinks>
    <vt:vector size="6" baseType="variant">
      <vt:variant>
        <vt:i4>2424865</vt:i4>
      </vt:variant>
      <vt:variant>
        <vt:i4>3</vt:i4>
      </vt:variant>
      <vt:variant>
        <vt:i4>0</vt:i4>
      </vt:variant>
      <vt:variant>
        <vt:i4>5</vt:i4>
      </vt:variant>
      <vt:variant>
        <vt:lpwstr>http://www.pcbs.gov.ps/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confiscation of land is the reason for the Land Day</dc:title>
  <dc:creator>arabi</dc:creator>
  <cp:lastModifiedBy>LOAY SHEHADEH</cp:lastModifiedBy>
  <cp:revision>2</cp:revision>
  <cp:lastPrinted>2025-05-12T10:18:00Z</cp:lastPrinted>
  <dcterms:created xsi:type="dcterms:W3CDTF">2025-05-12T10:24:00Z</dcterms:created>
  <dcterms:modified xsi:type="dcterms:W3CDTF">2025-05-12T10:24:00Z</dcterms:modified>
</cp:coreProperties>
</file>