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63724C" w14:textId="77777777" w:rsidR="00FA6DEA" w:rsidRDefault="00FA6DEA" w:rsidP="00CB3B11">
      <w:pPr>
        <w:spacing w:line="240" w:lineRule="auto"/>
        <w:jc w:val="center"/>
        <w:rPr>
          <w:rFonts w:asciiTheme="majorBidi" w:eastAsia="Times New Roman" w:hAnsiTheme="majorBidi" w:cstheme="majorBidi"/>
          <w:b/>
          <w:bCs/>
          <w:sz w:val="28"/>
          <w:szCs w:val="28"/>
          <w:lang w:val="en-US"/>
        </w:rPr>
      </w:pPr>
    </w:p>
    <w:p w14:paraId="6C368CC0" w14:textId="77777777" w:rsidR="00FA6DEA" w:rsidRDefault="00CB3B11" w:rsidP="00FA6DEA">
      <w:pPr>
        <w:spacing w:after="0" w:line="240" w:lineRule="auto"/>
        <w:jc w:val="center"/>
        <w:rPr>
          <w:rFonts w:asciiTheme="majorBidi" w:eastAsia="Times New Roman" w:hAnsiTheme="majorBidi" w:cstheme="majorBidi"/>
          <w:b/>
          <w:bCs/>
          <w:sz w:val="32"/>
          <w:szCs w:val="32"/>
          <w:lang w:val="en-US"/>
        </w:rPr>
      </w:pPr>
      <w:r w:rsidRPr="00FA6DEA">
        <w:rPr>
          <w:rFonts w:asciiTheme="majorBidi" w:eastAsia="Times New Roman" w:hAnsiTheme="majorBidi" w:cstheme="majorBidi"/>
          <w:b/>
          <w:bCs/>
          <w:sz w:val="32"/>
          <w:szCs w:val="32"/>
          <w:lang w:val="en-US"/>
        </w:rPr>
        <w:t>Palestinian Central Bureau of Statistics (PCBS) and</w:t>
      </w:r>
    </w:p>
    <w:p w14:paraId="32C8374C" w14:textId="1BD5980B" w:rsidR="00CB3B11" w:rsidRPr="00FA6DEA" w:rsidRDefault="00CB3B11" w:rsidP="00FA6DEA">
      <w:pPr>
        <w:spacing w:after="0" w:line="240" w:lineRule="auto"/>
        <w:jc w:val="center"/>
        <w:rPr>
          <w:rFonts w:asciiTheme="majorBidi" w:eastAsia="Times New Roman" w:hAnsiTheme="majorBidi" w:cstheme="majorBidi"/>
          <w:b/>
          <w:bCs/>
          <w:sz w:val="32"/>
          <w:szCs w:val="32"/>
          <w:lang w:val="en-US"/>
        </w:rPr>
      </w:pPr>
      <w:r w:rsidRPr="00FA6DEA">
        <w:rPr>
          <w:rFonts w:asciiTheme="majorBidi" w:eastAsia="Times New Roman" w:hAnsiTheme="majorBidi" w:cstheme="majorBidi"/>
          <w:b/>
          <w:bCs/>
          <w:sz w:val="32"/>
          <w:szCs w:val="32"/>
          <w:lang w:val="en-US"/>
        </w:rPr>
        <w:t xml:space="preserve"> Ministry of Culture (MOC)</w:t>
      </w:r>
    </w:p>
    <w:p w14:paraId="4E224665" w14:textId="77777777" w:rsidR="00FA6DEA" w:rsidRPr="00FA6DEA" w:rsidRDefault="00FA6DEA" w:rsidP="00FA6DEA">
      <w:pPr>
        <w:spacing w:after="0" w:line="240" w:lineRule="auto"/>
        <w:jc w:val="center"/>
        <w:rPr>
          <w:rFonts w:asciiTheme="majorBidi" w:hAnsiTheme="majorBidi" w:cstheme="majorBidi"/>
          <w:b/>
          <w:bCs/>
          <w:sz w:val="16"/>
          <w:szCs w:val="16"/>
        </w:rPr>
      </w:pPr>
    </w:p>
    <w:p w14:paraId="43BCAD69" w14:textId="1DE0A4E2" w:rsidR="00CB3B11" w:rsidRPr="00FA6DEA" w:rsidRDefault="00406518" w:rsidP="00CB3B11">
      <w:pPr>
        <w:spacing w:line="240" w:lineRule="auto"/>
        <w:jc w:val="center"/>
        <w:rPr>
          <w:rFonts w:asciiTheme="majorBidi" w:hAnsiTheme="majorBidi" w:cstheme="majorBidi"/>
          <w:b/>
          <w:bCs/>
          <w:sz w:val="28"/>
          <w:szCs w:val="28"/>
        </w:rPr>
      </w:pPr>
      <w:r w:rsidRPr="00FA6DEA">
        <w:rPr>
          <w:rFonts w:asciiTheme="majorBidi" w:hAnsiTheme="majorBidi" w:cstheme="majorBidi"/>
          <w:b/>
          <w:bCs/>
          <w:sz w:val="28"/>
          <w:szCs w:val="28"/>
        </w:rPr>
        <w:t>Press Release by the Palestinian Central Bureau of Statistics (PCBS)</w:t>
      </w:r>
      <w:r w:rsidR="0022133B" w:rsidRPr="00FA6DEA">
        <w:rPr>
          <w:rFonts w:asciiTheme="majorBidi" w:hAnsiTheme="majorBidi" w:cstheme="majorBidi"/>
          <w:b/>
          <w:bCs/>
          <w:sz w:val="28"/>
          <w:szCs w:val="28"/>
          <w:rtl/>
        </w:rPr>
        <w:t xml:space="preserve"> </w:t>
      </w:r>
      <w:r w:rsidRPr="00FA6DEA">
        <w:rPr>
          <w:rFonts w:asciiTheme="majorBidi" w:hAnsiTheme="majorBidi" w:cstheme="majorBidi"/>
          <w:b/>
          <w:bCs/>
          <w:sz w:val="28"/>
          <w:szCs w:val="28"/>
          <w:lang w:val="en-US"/>
        </w:rPr>
        <w:t>&amp; Ministry of</w:t>
      </w:r>
      <w:r w:rsidR="00B76BC1" w:rsidRPr="00FA6DEA">
        <w:rPr>
          <w:rFonts w:asciiTheme="majorBidi" w:hAnsiTheme="majorBidi" w:cstheme="majorBidi"/>
          <w:b/>
          <w:bCs/>
          <w:sz w:val="28"/>
          <w:szCs w:val="28"/>
          <w:lang w:val="en-US"/>
        </w:rPr>
        <w:t xml:space="preserve"> </w:t>
      </w:r>
      <w:r w:rsidRPr="00FA6DEA">
        <w:rPr>
          <w:rFonts w:asciiTheme="majorBidi" w:hAnsiTheme="majorBidi" w:cstheme="majorBidi"/>
          <w:b/>
          <w:bCs/>
          <w:sz w:val="28"/>
          <w:szCs w:val="28"/>
          <w:lang w:val="en-US"/>
        </w:rPr>
        <w:t>Culture (</w:t>
      </w:r>
      <w:r w:rsidR="004F4D58" w:rsidRPr="00FA6DEA">
        <w:rPr>
          <w:rFonts w:asciiTheme="majorBidi" w:hAnsiTheme="majorBidi" w:cstheme="majorBidi"/>
          <w:b/>
          <w:bCs/>
          <w:sz w:val="28"/>
          <w:szCs w:val="28"/>
          <w:lang w:val="en-US"/>
        </w:rPr>
        <w:t>MoC</w:t>
      </w:r>
      <w:r w:rsidRPr="00FA6DEA">
        <w:rPr>
          <w:rFonts w:asciiTheme="majorBidi" w:hAnsiTheme="majorBidi" w:cstheme="majorBidi"/>
          <w:b/>
          <w:bCs/>
          <w:sz w:val="28"/>
          <w:szCs w:val="28"/>
          <w:lang w:val="en-US"/>
        </w:rPr>
        <w:t>)</w:t>
      </w:r>
      <w:r w:rsidRPr="00FA6DEA">
        <w:rPr>
          <w:rFonts w:asciiTheme="majorBidi" w:hAnsiTheme="majorBidi" w:cstheme="majorBidi"/>
          <w:b/>
          <w:bCs/>
          <w:sz w:val="28"/>
          <w:szCs w:val="28"/>
        </w:rPr>
        <w:t xml:space="preserve"> on the occasion of the Palestinian National Culture Day</w:t>
      </w:r>
    </w:p>
    <w:p w14:paraId="73A0992C" w14:textId="77777777" w:rsidR="00BC30CC" w:rsidRPr="00FA6DEA" w:rsidRDefault="00BC30CC" w:rsidP="00CB3B11">
      <w:pPr>
        <w:spacing w:after="0" w:line="240" w:lineRule="exact"/>
        <w:jc w:val="lowKashida"/>
        <w:rPr>
          <w:rFonts w:asciiTheme="majorBidi" w:hAnsiTheme="majorBidi" w:cstheme="majorBidi"/>
          <w:b/>
          <w:bCs/>
          <w:sz w:val="16"/>
          <w:szCs w:val="16"/>
        </w:rPr>
      </w:pPr>
    </w:p>
    <w:p w14:paraId="45D97D23" w14:textId="2AA9E9DA" w:rsidR="00FA6DEA" w:rsidRDefault="00406518" w:rsidP="00FA6DEA">
      <w:pPr>
        <w:spacing w:after="0" w:line="240" w:lineRule="exact"/>
        <w:jc w:val="lowKashida"/>
        <w:rPr>
          <w:rFonts w:asciiTheme="majorBidi" w:hAnsiTheme="majorBidi" w:cstheme="majorBidi"/>
          <w:b/>
          <w:bCs/>
          <w:sz w:val="26"/>
          <w:szCs w:val="26"/>
        </w:rPr>
      </w:pPr>
      <w:r w:rsidRPr="00FA6DEA">
        <w:rPr>
          <w:rFonts w:asciiTheme="majorBidi" w:hAnsiTheme="majorBidi" w:cstheme="majorBidi"/>
          <w:b/>
          <w:bCs/>
          <w:sz w:val="26"/>
          <w:szCs w:val="26"/>
        </w:rPr>
        <w:t>To mark the Palestinian National Culture Day on March 13</w:t>
      </w:r>
      <w:r w:rsidRPr="00FA6DEA">
        <w:rPr>
          <w:rFonts w:asciiTheme="majorBidi" w:hAnsiTheme="majorBidi" w:cstheme="majorBidi"/>
          <w:b/>
          <w:bCs/>
          <w:sz w:val="26"/>
          <w:szCs w:val="26"/>
          <w:vertAlign w:val="superscript"/>
        </w:rPr>
        <w:t>th</w:t>
      </w:r>
      <w:r w:rsidRPr="00FA6DEA">
        <w:rPr>
          <w:rFonts w:asciiTheme="majorBidi" w:hAnsiTheme="majorBidi" w:cstheme="majorBidi"/>
          <w:b/>
          <w:bCs/>
          <w:sz w:val="26"/>
          <w:szCs w:val="26"/>
        </w:rPr>
        <w:t xml:space="preserve">, PCBS &amp; </w:t>
      </w:r>
      <w:proofErr w:type="spellStart"/>
      <w:r w:rsidR="004F4D58" w:rsidRPr="00FA6DEA">
        <w:rPr>
          <w:rFonts w:asciiTheme="majorBidi" w:hAnsiTheme="majorBidi" w:cstheme="majorBidi"/>
          <w:b/>
          <w:bCs/>
          <w:sz w:val="26"/>
          <w:szCs w:val="26"/>
        </w:rPr>
        <w:t>MoC</w:t>
      </w:r>
      <w:proofErr w:type="spellEnd"/>
      <w:r w:rsidR="004F4D58" w:rsidRPr="00FA6DEA">
        <w:rPr>
          <w:rFonts w:asciiTheme="majorBidi" w:hAnsiTheme="majorBidi" w:cstheme="majorBidi"/>
          <w:b/>
          <w:bCs/>
          <w:sz w:val="26"/>
          <w:szCs w:val="26"/>
        </w:rPr>
        <w:t xml:space="preserve"> </w:t>
      </w:r>
      <w:r w:rsidR="0022133B" w:rsidRPr="00FA6DEA">
        <w:rPr>
          <w:rFonts w:asciiTheme="majorBidi" w:hAnsiTheme="majorBidi" w:cstheme="majorBidi"/>
          <w:b/>
          <w:bCs/>
          <w:sz w:val="26"/>
          <w:szCs w:val="26"/>
        </w:rPr>
        <w:t>present</w:t>
      </w:r>
      <w:r w:rsidRPr="00FA6DEA">
        <w:rPr>
          <w:rFonts w:asciiTheme="majorBidi" w:hAnsiTheme="majorBidi" w:cstheme="majorBidi"/>
          <w:b/>
          <w:bCs/>
          <w:sz w:val="26"/>
          <w:szCs w:val="26"/>
        </w:rPr>
        <w:t xml:space="preserve"> the </w:t>
      </w:r>
      <w:r w:rsidR="004F4D58" w:rsidRPr="00FA6DEA">
        <w:rPr>
          <w:rFonts w:asciiTheme="majorBidi" w:hAnsiTheme="majorBidi" w:cstheme="majorBidi"/>
          <w:b/>
          <w:bCs/>
          <w:sz w:val="26"/>
          <w:szCs w:val="26"/>
        </w:rPr>
        <w:t xml:space="preserve">Status </w:t>
      </w:r>
      <w:r w:rsidRPr="00FA6DEA">
        <w:rPr>
          <w:rFonts w:asciiTheme="majorBidi" w:hAnsiTheme="majorBidi" w:cstheme="majorBidi"/>
          <w:b/>
          <w:bCs/>
          <w:sz w:val="26"/>
          <w:szCs w:val="26"/>
        </w:rPr>
        <w:t xml:space="preserve">of </w:t>
      </w:r>
      <w:r w:rsidR="004F4D58" w:rsidRPr="00FA6DEA">
        <w:rPr>
          <w:rFonts w:asciiTheme="majorBidi" w:hAnsiTheme="majorBidi" w:cstheme="majorBidi"/>
          <w:b/>
          <w:bCs/>
          <w:sz w:val="26"/>
          <w:szCs w:val="26"/>
        </w:rPr>
        <w:t xml:space="preserve">Cultural Institutions </w:t>
      </w:r>
      <w:r w:rsidRPr="00FA6DEA">
        <w:rPr>
          <w:rFonts w:asciiTheme="majorBidi" w:hAnsiTheme="majorBidi" w:cstheme="majorBidi"/>
          <w:b/>
          <w:bCs/>
          <w:sz w:val="26"/>
          <w:szCs w:val="26"/>
        </w:rPr>
        <w:t>in Palestine.</w:t>
      </w:r>
    </w:p>
    <w:p w14:paraId="537D2550" w14:textId="77777777" w:rsidR="00FA6DEA" w:rsidRPr="00FA6DEA" w:rsidRDefault="00FA6DEA" w:rsidP="00FA6DEA">
      <w:pPr>
        <w:spacing w:after="0" w:line="240" w:lineRule="exact"/>
        <w:jc w:val="lowKashida"/>
        <w:rPr>
          <w:rFonts w:asciiTheme="majorBidi" w:hAnsiTheme="majorBidi" w:cstheme="majorBidi"/>
          <w:b/>
          <w:bCs/>
          <w:sz w:val="16"/>
          <w:szCs w:val="16"/>
        </w:rPr>
      </w:pPr>
    </w:p>
    <w:p w14:paraId="127719EA" w14:textId="77777777" w:rsidR="00FA6DEA" w:rsidRPr="00FA6DEA" w:rsidRDefault="00FA6DEA" w:rsidP="00FA6DEA">
      <w:pPr>
        <w:spacing w:after="0" w:line="240" w:lineRule="exact"/>
        <w:jc w:val="lowKashida"/>
        <w:rPr>
          <w:rFonts w:asciiTheme="majorBidi" w:eastAsia="Times New Roman" w:hAnsiTheme="majorBidi" w:cstheme="majorBidi"/>
          <w:sz w:val="26"/>
          <w:szCs w:val="26"/>
        </w:rPr>
      </w:pPr>
      <w:r w:rsidRPr="00FA6DEA">
        <w:rPr>
          <w:rFonts w:asciiTheme="majorBidi" w:eastAsia="Times New Roman" w:hAnsiTheme="majorBidi" w:cstheme="majorBidi"/>
          <w:sz w:val="26"/>
          <w:szCs w:val="26"/>
        </w:rPr>
        <w:t>A c</w:t>
      </w:r>
      <w:bookmarkStart w:id="0" w:name="_GoBack"/>
      <w:bookmarkEnd w:id="0"/>
      <w:r w:rsidRPr="00FA6DEA">
        <w:rPr>
          <w:rFonts w:asciiTheme="majorBidi" w:eastAsia="Times New Roman" w:hAnsiTheme="majorBidi" w:cstheme="majorBidi"/>
          <w:sz w:val="26"/>
          <w:szCs w:val="26"/>
        </w:rPr>
        <w:t>ultural institution is defined as an institution that includes items (tools and equipment) used for arts, crafts, recreational and sport activities that work for the promotion and preservation of culture and facilitate the practice of cultural activities in a broad sense.</w:t>
      </w:r>
    </w:p>
    <w:p w14:paraId="07BB69C4" w14:textId="77777777" w:rsidR="00CB3B11" w:rsidRPr="00FA6DEA" w:rsidRDefault="00CB3B11" w:rsidP="00CB3B11">
      <w:pPr>
        <w:spacing w:after="0" w:line="240" w:lineRule="exact"/>
        <w:jc w:val="lowKashida"/>
        <w:rPr>
          <w:rFonts w:asciiTheme="majorBidi" w:eastAsia="Times New Roman" w:hAnsiTheme="majorBidi" w:cstheme="majorBidi"/>
          <w:sz w:val="26"/>
          <w:szCs w:val="26"/>
        </w:rPr>
      </w:pPr>
    </w:p>
    <w:p w14:paraId="373B031F" w14:textId="1B42D2E9" w:rsidR="00406518" w:rsidRPr="00FA6DEA" w:rsidRDefault="00406518" w:rsidP="00CB3B11">
      <w:pPr>
        <w:spacing w:after="0" w:line="240" w:lineRule="exact"/>
        <w:jc w:val="lowKashida"/>
        <w:rPr>
          <w:rFonts w:asciiTheme="majorBidi" w:hAnsiTheme="majorBidi" w:cstheme="majorBidi"/>
          <w:b/>
          <w:bCs/>
          <w:sz w:val="26"/>
          <w:szCs w:val="26"/>
          <w:lang w:val="en-US"/>
        </w:rPr>
      </w:pPr>
      <w:r w:rsidRPr="00FA6DEA">
        <w:rPr>
          <w:rFonts w:asciiTheme="majorBidi" w:hAnsiTheme="majorBidi" w:cstheme="majorBidi"/>
          <w:b/>
          <w:bCs/>
          <w:sz w:val="26"/>
          <w:szCs w:val="26"/>
        </w:rPr>
        <w:t xml:space="preserve">The </w:t>
      </w:r>
      <w:r w:rsidR="00846417" w:rsidRPr="00FA6DEA">
        <w:rPr>
          <w:rFonts w:asciiTheme="majorBidi" w:hAnsiTheme="majorBidi" w:cstheme="majorBidi"/>
          <w:b/>
          <w:bCs/>
          <w:sz w:val="26"/>
          <w:szCs w:val="26"/>
        </w:rPr>
        <w:t>number of cultural centres operating in Palestine increased compared to the previous year</w:t>
      </w:r>
    </w:p>
    <w:p w14:paraId="6DF37B46" w14:textId="77777777" w:rsidR="00406518" w:rsidRPr="00FA6DEA" w:rsidRDefault="00A97815" w:rsidP="00CB3B11">
      <w:pPr>
        <w:pStyle w:val="BodyText"/>
        <w:bidi w:val="0"/>
        <w:jc w:val="both"/>
        <w:rPr>
          <w:rFonts w:asciiTheme="majorBidi" w:hAnsiTheme="majorBidi" w:cstheme="majorBidi"/>
          <w:b w:val="0"/>
          <w:bCs w:val="0"/>
          <w:sz w:val="26"/>
          <w:szCs w:val="26"/>
          <w:lang w:val="en-GB" w:eastAsia="en-GB"/>
        </w:rPr>
      </w:pPr>
      <w:r w:rsidRPr="00FA6DEA">
        <w:rPr>
          <w:rFonts w:asciiTheme="majorBidi" w:hAnsiTheme="majorBidi" w:cstheme="majorBidi"/>
          <w:b w:val="0"/>
          <w:bCs w:val="0"/>
          <w:sz w:val="26"/>
          <w:szCs w:val="26"/>
          <w:lang w:val="en-GB" w:eastAsia="en-GB"/>
        </w:rPr>
        <w:t>T</w:t>
      </w:r>
      <w:r w:rsidR="00406518" w:rsidRPr="00FA6DEA">
        <w:rPr>
          <w:rFonts w:asciiTheme="majorBidi" w:hAnsiTheme="majorBidi" w:cstheme="majorBidi"/>
          <w:b w:val="0"/>
          <w:bCs w:val="0"/>
          <w:sz w:val="26"/>
          <w:szCs w:val="26"/>
          <w:lang w:val="en-GB" w:eastAsia="en-GB"/>
        </w:rPr>
        <w:t xml:space="preserve">he number of cultural centres operating in Palestine </w:t>
      </w:r>
      <w:r w:rsidR="0027533E" w:rsidRPr="00FA6DEA">
        <w:rPr>
          <w:rFonts w:asciiTheme="majorBidi" w:hAnsiTheme="majorBidi" w:cstheme="majorBidi"/>
          <w:b w:val="0"/>
          <w:bCs w:val="0"/>
          <w:sz w:val="26"/>
          <w:szCs w:val="26"/>
          <w:lang w:val="en-GB" w:eastAsia="en-GB"/>
        </w:rPr>
        <w:t>in</w:t>
      </w:r>
      <w:r w:rsidR="00406518" w:rsidRPr="00FA6DEA">
        <w:rPr>
          <w:rFonts w:asciiTheme="majorBidi" w:hAnsiTheme="majorBidi" w:cstheme="majorBidi"/>
          <w:b w:val="0"/>
          <w:bCs w:val="0"/>
          <w:sz w:val="26"/>
          <w:szCs w:val="26"/>
          <w:lang w:val="en-GB" w:eastAsia="en-GB"/>
        </w:rPr>
        <w:t xml:space="preserve">creased from </w:t>
      </w:r>
      <w:r w:rsidR="000A7587" w:rsidRPr="00FA6DEA">
        <w:rPr>
          <w:rFonts w:asciiTheme="majorBidi" w:hAnsiTheme="majorBidi" w:cstheme="majorBidi"/>
          <w:b w:val="0"/>
          <w:bCs w:val="0"/>
          <w:sz w:val="26"/>
          <w:szCs w:val="26"/>
          <w:lang w:val="en-GB" w:eastAsia="en-GB"/>
        </w:rPr>
        <w:t>577</w:t>
      </w:r>
      <w:r w:rsidR="00406518" w:rsidRPr="00FA6DEA">
        <w:rPr>
          <w:rFonts w:asciiTheme="majorBidi" w:hAnsiTheme="majorBidi" w:cstheme="majorBidi"/>
          <w:b w:val="0"/>
          <w:bCs w:val="0"/>
          <w:sz w:val="26"/>
          <w:szCs w:val="26"/>
          <w:lang w:val="en-GB" w:eastAsia="en-GB"/>
        </w:rPr>
        <w:t xml:space="preserve"> cultural centres in </w:t>
      </w:r>
      <w:r w:rsidR="000A7587" w:rsidRPr="00FA6DEA">
        <w:rPr>
          <w:rFonts w:asciiTheme="majorBidi" w:hAnsiTheme="majorBidi" w:cstheme="majorBidi"/>
          <w:b w:val="0"/>
          <w:bCs w:val="0"/>
          <w:sz w:val="26"/>
          <w:szCs w:val="26"/>
          <w:lang w:val="en-GB" w:eastAsia="en-GB"/>
        </w:rPr>
        <w:t>2021</w:t>
      </w:r>
      <w:r w:rsidR="00406518" w:rsidRPr="00FA6DEA">
        <w:rPr>
          <w:rFonts w:asciiTheme="majorBidi" w:hAnsiTheme="majorBidi" w:cstheme="majorBidi"/>
          <w:b w:val="0"/>
          <w:bCs w:val="0"/>
          <w:sz w:val="26"/>
          <w:szCs w:val="26"/>
          <w:lang w:val="en-GB" w:eastAsia="en-GB"/>
        </w:rPr>
        <w:t xml:space="preserve"> to </w:t>
      </w:r>
      <w:r w:rsidR="000A7587" w:rsidRPr="00FA6DEA">
        <w:rPr>
          <w:rFonts w:asciiTheme="majorBidi" w:hAnsiTheme="majorBidi" w:cstheme="majorBidi"/>
          <w:b w:val="0"/>
          <w:bCs w:val="0"/>
          <w:sz w:val="26"/>
          <w:szCs w:val="26"/>
          <w:lang w:val="en-GB" w:eastAsia="en-GB"/>
        </w:rPr>
        <w:t>584</w:t>
      </w:r>
      <w:r w:rsidR="00406518" w:rsidRPr="00FA6DEA">
        <w:rPr>
          <w:rFonts w:asciiTheme="majorBidi" w:hAnsiTheme="majorBidi" w:cstheme="majorBidi"/>
          <w:b w:val="0"/>
          <w:bCs w:val="0"/>
          <w:sz w:val="26"/>
          <w:szCs w:val="26"/>
          <w:lang w:val="en-GB" w:eastAsia="en-GB"/>
        </w:rPr>
        <w:t xml:space="preserve"> cultural centres in </w:t>
      </w:r>
      <w:r w:rsidR="000A7587" w:rsidRPr="00FA6DEA">
        <w:rPr>
          <w:rFonts w:asciiTheme="majorBidi" w:hAnsiTheme="majorBidi" w:cstheme="majorBidi"/>
          <w:b w:val="0"/>
          <w:bCs w:val="0"/>
          <w:sz w:val="26"/>
          <w:szCs w:val="26"/>
          <w:lang w:val="en-GB" w:eastAsia="en-GB"/>
        </w:rPr>
        <w:t>2022</w:t>
      </w:r>
      <w:r w:rsidR="00406518" w:rsidRPr="00FA6DEA">
        <w:rPr>
          <w:rFonts w:asciiTheme="majorBidi" w:hAnsiTheme="majorBidi" w:cstheme="majorBidi"/>
          <w:b w:val="0"/>
          <w:bCs w:val="0"/>
          <w:sz w:val="26"/>
          <w:szCs w:val="26"/>
          <w:lang w:val="en-GB" w:eastAsia="en-GB"/>
        </w:rPr>
        <w:t>, with a</w:t>
      </w:r>
      <w:r w:rsidR="00030CF9" w:rsidRPr="00FA6DEA">
        <w:rPr>
          <w:rFonts w:asciiTheme="majorBidi" w:hAnsiTheme="majorBidi" w:cstheme="majorBidi"/>
          <w:b w:val="0"/>
          <w:bCs w:val="0"/>
          <w:sz w:val="26"/>
          <w:szCs w:val="26"/>
          <w:lang w:val="en-GB" w:eastAsia="en-GB"/>
        </w:rPr>
        <w:t xml:space="preserve"> </w:t>
      </w:r>
      <w:r w:rsidR="00406518" w:rsidRPr="00FA6DEA">
        <w:rPr>
          <w:rFonts w:asciiTheme="majorBidi" w:hAnsiTheme="majorBidi" w:cstheme="majorBidi"/>
          <w:b w:val="0"/>
          <w:bCs w:val="0"/>
          <w:sz w:val="26"/>
          <w:szCs w:val="26"/>
          <w:lang w:val="en-GB" w:eastAsia="en-GB"/>
        </w:rPr>
        <w:t>clear gap in the number of cultural centres between the West Bank and Gaza Strip.</w:t>
      </w:r>
    </w:p>
    <w:p w14:paraId="30CD236B" w14:textId="77777777" w:rsidR="00496E8B" w:rsidRPr="00FA6DEA" w:rsidRDefault="00496E8B" w:rsidP="00496E8B">
      <w:pPr>
        <w:pStyle w:val="BodyText"/>
        <w:bidi w:val="0"/>
        <w:jc w:val="both"/>
        <w:rPr>
          <w:rFonts w:asciiTheme="majorBidi" w:hAnsiTheme="majorBidi" w:cstheme="majorBidi"/>
          <w:b w:val="0"/>
          <w:bCs w:val="0"/>
          <w:sz w:val="16"/>
          <w:szCs w:val="16"/>
          <w:lang w:val="en-GB" w:eastAsia="en-GB"/>
        </w:rPr>
      </w:pPr>
    </w:p>
    <w:p w14:paraId="48D4846E" w14:textId="77777777" w:rsidR="00406518" w:rsidRPr="00FA6DEA" w:rsidRDefault="00406518" w:rsidP="00406518">
      <w:pPr>
        <w:pStyle w:val="BodyText"/>
        <w:bidi w:val="0"/>
        <w:rPr>
          <w:rFonts w:asciiTheme="majorBidi" w:hAnsiTheme="majorBidi" w:cstheme="majorBidi"/>
          <w:sz w:val="26"/>
          <w:szCs w:val="26"/>
        </w:rPr>
      </w:pPr>
      <w:r w:rsidRPr="00FA6DEA">
        <w:rPr>
          <w:rFonts w:asciiTheme="majorBidi" w:hAnsiTheme="majorBidi" w:cstheme="majorBidi"/>
          <w:sz w:val="26"/>
          <w:szCs w:val="26"/>
        </w:rPr>
        <w:t>Distribution of Cultural Centers Operating in Palestine by Region for Selected Years</w:t>
      </w:r>
    </w:p>
    <w:p w14:paraId="1BE95185" w14:textId="77777777" w:rsidR="00406518" w:rsidRPr="00CB3B11" w:rsidRDefault="00406518" w:rsidP="00406518">
      <w:pPr>
        <w:pStyle w:val="BodyText"/>
        <w:rPr>
          <w:rFonts w:asciiTheme="majorBidi" w:hAnsiTheme="majorBidi" w:cstheme="majorBidi"/>
          <w:sz w:val="6"/>
          <w:szCs w:val="6"/>
        </w:rPr>
      </w:pPr>
    </w:p>
    <w:tbl>
      <w:tblPr>
        <w:tblW w:w="54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1"/>
        <w:gridCol w:w="696"/>
        <w:gridCol w:w="835"/>
        <w:gridCol w:w="836"/>
        <w:gridCol w:w="835"/>
        <w:gridCol w:w="836"/>
      </w:tblGrid>
      <w:tr w:rsidR="00CB3B11" w:rsidRPr="00CB3B11" w14:paraId="10A8114E" w14:textId="77777777" w:rsidTr="00FA6DEA">
        <w:trPr>
          <w:trHeight w:hRule="exact" w:val="616"/>
          <w:jc w:val="center"/>
        </w:trPr>
        <w:tc>
          <w:tcPr>
            <w:tcW w:w="1401" w:type="dxa"/>
            <w:vAlign w:val="center"/>
          </w:tcPr>
          <w:p w14:paraId="60E921D2" w14:textId="77777777" w:rsidR="007A72E5" w:rsidRPr="00CB3B11" w:rsidRDefault="007A72E5" w:rsidP="00A9415E">
            <w:pPr>
              <w:spacing w:after="0"/>
              <w:jc w:val="center"/>
              <w:rPr>
                <w:rFonts w:asciiTheme="majorBidi" w:hAnsiTheme="majorBidi" w:cstheme="majorBidi"/>
                <w:b/>
                <w:bCs/>
                <w:sz w:val="24"/>
                <w:szCs w:val="24"/>
                <w:rtl/>
              </w:rPr>
            </w:pPr>
            <w:r w:rsidRPr="00CB3B11">
              <w:rPr>
                <w:rFonts w:asciiTheme="majorBidi" w:hAnsiTheme="majorBidi" w:cstheme="majorBidi"/>
                <w:b/>
                <w:bCs/>
                <w:sz w:val="24"/>
                <w:szCs w:val="24"/>
              </w:rPr>
              <w:t>Region</w:t>
            </w:r>
          </w:p>
        </w:tc>
        <w:tc>
          <w:tcPr>
            <w:tcW w:w="696" w:type="dxa"/>
            <w:vAlign w:val="center"/>
          </w:tcPr>
          <w:p w14:paraId="6AC37291" w14:textId="77777777" w:rsidR="007A72E5" w:rsidRPr="00CB3B11" w:rsidRDefault="007A72E5" w:rsidP="00A9415E">
            <w:pPr>
              <w:spacing w:after="0"/>
              <w:jc w:val="center"/>
              <w:rPr>
                <w:rFonts w:asciiTheme="majorBidi" w:hAnsiTheme="majorBidi" w:cstheme="majorBidi"/>
                <w:b/>
                <w:bCs/>
                <w:sz w:val="24"/>
                <w:szCs w:val="24"/>
                <w:rtl/>
              </w:rPr>
            </w:pPr>
            <w:r w:rsidRPr="00CB3B11">
              <w:rPr>
                <w:rFonts w:asciiTheme="majorBidi" w:hAnsiTheme="majorBidi" w:cstheme="majorBidi"/>
                <w:b/>
                <w:bCs/>
                <w:sz w:val="24"/>
                <w:szCs w:val="24"/>
              </w:rPr>
              <w:t>2018</w:t>
            </w:r>
          </w:p>
        </w:tc>
        <w:tc>
          <w:tcPr>
            <w:tcW w:w="835" w:type="dxa"/>
            <w:vAlign w:val="center"/>
          </w:tcPr>
          <w:p w14:paraId="670F197D" w14:textId="77777777" w:rsidR="007A72E5" w:rsidRPr="00CB3B11" w:rsidRDefault="007A72E5" w:rsidP="00A9415E">
            <w:pPr>
              <w:spacing w:after="0"/>
              <w:ind w:right="30"/>
              <w:jc w:val="center"/>
              <w:rPr>
                <w:rFonts w:asciiTheme="majorBidi" w:hAnsiTheme="majorBidi" w:cstheme="majorBidi"/>
                <w:b/>
                <w:bCs/>
                <w:sz w:val="24"/>
                <w:szCs w:val="24"/>
              </w:rPr>
            </w:pPr>
            <w:r w:rsidRPr="00CB3B11">
              <w:rPr>
                <w:rFonts w:asciiTheme="majorBidi" w:hAnsiTheme="majorBidi" w:cstheme="majorBidi"/>
                <w:b/>
                <w:bCs/>
                <w:sz w:val="24"/>
                <w:szCs w:val="24"/>
              </w:rPr>
              <w:t>2019</w:t>
            </w:r>
          </w:p>
        </w:tc>
        <w:tc>
          <w:tcPr>
            <w:tcW w:w="836" w:type="dxa"/>
            <w:vAlign w:val="center"/>
          </w:tcPr>
          <w:p w14:paraId="4951B111" w14:textId="77777777" w:rsidR="007A72E5" w:rsidRPr="00CB3B11" w:rsidRDefault="007A72E5" w:rsidP="005368C4">
            <w:pPr>
              <w:spacing w:after="0"/>
              <w:ind w:right="30"/>
              <w:rPr>
                <w:rFonts w:asciiTheme="majorBidi" w:hAnsiTheme="majorBidi" w:cstheme="majorBidi"/>
                <w:b/>
                <w:bCs/>
                <w:sz w:val="24"/>
                <w:szCs w:val="24"/>
              </w:rPr>
            </w:pPr>
            <w:r w:rsidRPr="00CB3B11">
              <w:rPr>
                <w:rFonts w:asciiTheme="majorBidi" w:hAnsiTheme="majorBidi" w:cstheme="majorBidi"/>
                <w:b/>
                <w:bCs/>
                <w:sz w:val="24"/>
                <w:szCs w:val="24"/>
              </w:rPr>
              <w:t>2020</w:t>
            </w:r>
          </w:p>
        </w:tc>
        <w:tc>
          <w:tcPr>
            <w:tcW w:w="835" w:type="dxa"/>
            <w:vAlign w:val="center"/>
          </w:tcPr>
          <w:p w14:paraId="5E02BF27" w14:textId="77777777" w:rsidR="007A72E5" w:rsidRPr="00CB3B11" w:rsidRDefault="007A72E5" w:rsidP="007A72E5">
            <w:pPr>
              <w:spacing w:after="0"/>
              <w:ind w:right="30"/>
              <w:rPr>
                <w:rFonts w:asciiTheme="majorBidi" w:hAnsiTheme="majorBidi" w:cstheme="majorBidi"/>
                <w:b/>
                <w:bCs/>
                <w:sz w:val="24"/>
                <w:szCs w:val="24"/>
              </w:rPr>
            </w:pPr>
            <w:r w:rsidRPr="00CB3B11">
              <w:rPr>
                <w:rFonts w:asciiTheme="majorBidi" w:hAnsiTheme="majorBidi" w:cstheme="majorBidi"/>
                <w:b/>
                <w:bCs/>
                <w:sz w:val="24"/>
                <w:szCs w:val="24"/>
              </w:rPr>
              <w:t>2021</w:t>
            </w:r>
          </w:p>
        </w:tc>
        <w:tc>
          <w:tcPr>
            <w:tcW w:w="836" w:type="dxa"/>
            <w:vAlign w:val="center"/>
          </w:tcPr>
          <w:p w14:paraId="2A6C1D2D" w14:textId="77777777" w:rsidR="007A72E5" w:rsidRPr="00CB3B11" w:rsidRDefault="007A72E5" w:rsidP="007A72E5">
            <w:pPr>
              <w:spacing w:after="0"/>
              <w:ind w:right="30"/>
              <w:rPr>
                <w:rFonts w:asciiTheme="majorBidi" w:hAnsiTheme="majorBidi" w:cstheme="majorBidi"/>
                <w:b/>
                <w:bCs/>
                <w:sz w:val="24"/>
                <w:szCs w:val="24"/>
              </w:rPr>
            </w:pPr>
            <w:r w:rsidRPr="00CB3B11">
              <w:rPr>
                <w:rFonts w:asciiTheme="majorBidi" w:hAnsiTheme="majorBidi" w:cstheme="majorBidi"/>
                <w:b/>
                <w:bCs/>
                <w:sz w:val="24"/>
                <w:szCs w:val="24"/>
              </w:rPr>
              <w:t>2022</w:t>
            </w:r>
          </w:p>
        </w:tc>
      </w:tr>
      <w:tr w:rsidR="00CB3B11" w:rsidRPr="00CB3B11" w14:paraId="38FD82A5" w14:textId="77777777" w:rsidTr="00FA6DEA">
        <w:trPr>
          <w:trHeight w:hRule="exact" w:val="616"/>
          <w:jc w:val="center"/>
        </w:trPr>
        <w:tc>
          <w:tcPr>
            <w:tcW w:w="1396" w:type="dxa"/>
            <w:vAlign w:val="center"/>
          </w:tcPr>
          <w:p w14:paraId="1AAC9B87" w14:textId="77777777" w:rsidR="007A72E5" w:rsidRPr="00CB3B11" w:rsidRDefault="007A72E5" w:rsidP="00FA6DEA">
            <w:pPr>
              <w:spacing w:after="0"/>
              <w:jc w:val="both"/>
              <w:rPr>
                <w:rFonts w:asciiTheme="majorBidi" w:hAnsiTheme="majorBidi" w:cstheme="majorBidi"/>
                <w:b/>
                <w:bCs/>
                <w:sz w:val="24"/>
                <w:szCs w:val="24"/>
                <w:lang w:val="en-US"/>
              </w:rPr>
            </w:pPr>
            <w:r w:rsidRPr="00CB3B11">
              <w:rPr>
                <w:rFonts w:asciiTheme="majorBidi" w:hAnsiTheme="majorBidi" w:cstheme="majorBidi"/>
                <w:b/>
                <w:bCs/>
                <w:sz w:val="24"/>
                <w:szCs w:val="24"/>
              </w:rPr>
              <w:t>Palestine</w:t>
            </w:r>
          </w:p>
        </w:tc>
        <w:tc>
          <w:tcPr>
            <w:tcW w:w="696" w:type="dxa"/>
            <w:vAlign w:val="center"/>
          </w:tcPr>
          <w:p w14:paraId="6AD75ABD" w14:textId="77777777" w:rsidR="007A72E5" w:rsidRPr="00CB3B11" w:rsidRDefault="007A72E5" w:rsidP="00A9415E">
            <w:pPr>
              <w:spacing w:after="0"/>
              <w:jc w:val="center"/>
              <w:rPr>
                <w:rFonts w:asciiTheme="majorBidi" w:hAnsiTheme="majorBidi" w:cstheme="majorBidi"/>
                <w:b/>
                <w:bCs/>
                <w:sz w:val="24"/>
                <w:szCs w:val="24"/>
              </w:rPr>
            </w:pPr>
            <w:r w:rsidRPr="00CB3B11">
              <w:rPr>
                <w:rFonts w:asciiTheme="majorBidi" w:hAnsiTheme="majorBidi" w:cstheme="majorBidi"/>
                <w:b/>
                <w:bCs/>
                <w:sz w:val="24"/>
                <w:szCs w:val="24"/>
              </w:rPr>
              <w:t>597</w:t>
            </w:r>
          </w:p>
        </w:tc>
        <w:tc>
          <w:tcPr>
            <w:tcW w:w="835" w:type="dxa"/>
            <w:vAlign w:val="center"/>
          </w:tcPr>
          <w:p w14:paraId="62C0F68D" w14:textId="77777777" w:rsidR="007A72E5" w:rsidRPr="00CB3B11" w:rsidRDefault="007A72E5" w:rsidP="00A9415E">
            <w:pPr>
              <w:spacing w:after="0"/>
              <w:jc w:val="center"/>
              <w:rPr>
                <w:rFonts w:asciiTheme="majorBidi" w:hAnsiTheme="majorBidi" w:cstheme="majorBidi"/>
                <w:b/>
                <w:bCs/>
                <w:sz w:val="24"/>
                <w:szCs w:val="24"/>
              </w:rPr>
            </w:pPr>
            <w:r w:rsidRPr="00CB3B11">
              <w:rPr>
                <w:rFonts w:asciiTheme="majorBidi" w:hAnsiTheme="majorBidi" w:cstheme="majorBidi"/>
                <w:b/>
                <w:bCs/>
                <w:sz w:val="24"/>
                <w:szCs w:val="24"/>
              </w:rPr>
              <w:t>566</w:t>
            </w:r>
          </w:p>
        </w:tc>
        <w:tc>
          <w:tcPr>
            <w:tcW w:w="836" w:type="dxa"/>
            <w:vAlign w:val="center"/>
          </w:tcPr>
          <w:p w14:paraId="1FBF5CA9" w14:textId="77777777" w:rsidR="007A72E5" w:rsidRPr="00CB3B11" w:rsidRDefault="007A72E5" w:rsidP="00A9415E">
            <w:pPr>
              <w:spacing w:after="0"/>
              <w:jc w:val="center"/>
              <w:rPr>
                <w:rFonts w:asciiTheme="majorBidi" w:hAnsiTheme="majorBidi" w:cstheme="majorBidi"/>
                <w:b/>
                <w:bCs/>
                <w:sz w:val="24"/>
                <w:szCs w:val="24"/>
              </w:rPr>
            </w:pPr>
            <w:r w:rsidRPr="00CB3B11">
              <w:rPr>
                <w:rFonts w:asciiTheme="majorBidi" w:hAnsiTheme="majorBidi" w:cstheme="majorBidi"/>
                <w:b/>
                <w:bCs/>
                <w:sz w:val="24"/>
                <w:szCs w:val="24"/>
              </w:rPr>
              <w:t>528</w:t>
            </w:r>
          </w:p>
        </w:tc>
        <w:tc>
          <w:tcPr>
            <w:tcW w:w="835" w:type="dxa"/>
            <w:vAlign w:val="center"/>
          </w:tcPr>
          <w:p w14:paraId="0B528648" w14:textId="77777777" w:rsidR="007A72E5" w:rsidRPr="00CB3B11" w:rsidRDefault="007A72E5" w:rsidP="005368C4">
            <w:pPr>
              <w:spacing w:after="0"/>
              <w:jc w:val="center"/>
              <w:rPr>
                <w:rFonts w:asciiTheme="majorBidi" w:hAnsiTheme="majorBidi" w:cstheme="majorBidi"/>
                <w:b/>
                <w:bCs/>
                <w:sz w:val="24"/>
                <w:szCs w:val="24"/>
                <w:lang w:val="en-US"/>
              </w:rPr>
            </w:pPr>
            <w:r w:rsidRPr="00CB3B11">
              <w:rPr>
                <w:rFonts w:asciiTheme="majorBidi" w:hAnsiTheme="majorBidi" w:cstheme="majorBidi"/>
                <w:b/>
                <w:bCs/>
                <w:sz w:val="24"/>
                <w:szCs w:val="24"/>
              </w:rPr>
              <w:t>577</w:t>
            </w:r>
          </w:p>
        </w:tc>
        <w:tc>
          <w:tcPr>
            <w:tcW w:w="836" w:type="dxa"/>
            <w:vAlign w:val="center"/>
          </w:tcPr>
          <w:p w14:paraId="77F6252F" w14:textId="77777777" w:rsidR="007A72E5" w:rsidRPr="00CB3B11" w:rsidRDefault="00496E8B" w:rsidP="007A72E5">
            <w:pPr>
              <w:spacing w:after="0"/>
              <w:jc w:val="center"/>
              <w:rPr>
                <w:rFonts w:asciiTheme="majorBidi" w:hAnsiTheme="majorBidi" w:cstheme="majorBidi"/>
                <w:b/>
                <w:bCs/>
                <w:sz w:val="24"/>
                <w:szCs w:val="24"/>
              </w:rPr>
            </w:pPr>
            <w:r w:rsidRPr="00CB3B11">
              <w:rPr>
                <w:rFonts w:asciiTheme="majorBidi" w:hAnsiTheme="majorBidi" w:cstheme="majorBidi"/>
                <w:b/>
                <w:bCs/>
                <w:sz w:val="24"/>
                <w:szCs w:val="24"/>
              </w:rPr>
              <w:t>584</w:t>
            </w:r>
          </w:p>
        </w:tc>
      </w:tr>
      <w:tr w:rsidR="00CB3B11" w:rsidRPr="00CB3B11" w14:paraId="3F57B1A3" w14:textId="77777777" w:rsidTr="00FA6DEA">
        <w:trPr>
          <w:trHeight w:hRule="exact" w:val="616"/>
          <w:jc w:val="center"/>
        </w:trPr>
        <w:tc>
          <w:tcPr>
            <w:tcW w:w="1396" w:type="dxa"/>
            <w:vAlign w:val="center"/>
          </w:tcPr>
          <w:p w14:paraId="7089D678" w14:textId="77777777" w:rsidR="007A72E5" w:rsidRPr="00CB3B11" w:rsidRDefault="007A72E5" w:rsidP="00FA6DEA">
            <w:pPr>
              <w:spacing w:after="0"/>
              <w:jc w:val="both"/>
              <w:rPr>
                <w:rFonts w:asciiTheme="majorBidi" w:hAnsiTheme="majorBidi" w:cstheme="majorBidi"/>
                <w:b/>
                <w:bCs/>
                <w:sz w:val="24"/>
                <w:szCs w:val="24"/>
                <w:rtl/>
              </w:rPr>
            </w:pPr>
            <w:r w:rsidRPr="00CB3B11">
              <w:rPr>
                <w:rFonts w:asciiTheme="majorBidi" w:hAnsiTheme="majorBidi" w:cstheme="majorBidi"/>
                <w:sz w:val="24"/>
                <w:szCs w:val="24"/>
              </w:rPr>
              <w:t>West Bank</w:t>
            </w:r>
          </w:p>
        </w:tc>
        <w:tc>
          <w:tcPr>
            <w:tcW w:w="696" w:type="dxa"/>
            <w:vAlign w:val="center"/>
          </w:tcPr>
          <w:p w14:paraId="72F5B453" w14:textId="77777777" w:rsidR="007A72E5" w:rsidRPr="00CB3B11" w:rsidRDefault="007A72E5" w:rsidP="00A9415E">
            <w:pPr>
              <w:spacing w:after="0"/>
              <w:jc w:val="center"/>
              <w:rPr>
                <w:rFonts w:asciiTheme="majorBidi" w:hAnsiTheme="majorBidi" w:cstheme="majorBidi"/>
                <w:sz w:val="24"/>
                <w:szCs w:val="24"/>
              </w:rPr>
            </w:pPr>
            <w:r w:rsidRPr="00CB3B11">
              <w:rPr>
                <w:rFonts w:asciiTheme="majorBidi" w:hAnsiTheme="majorBidi" w:cstheme="majorBidi"/>
                <w:sz w:val="24"/>
                <w:szCs w:val="24"/>
              </w:rPr>
              <w:t>528</w:t>
            </w:r>
          </w:p>
        </w:tc>
        <w:tc>
          <w:tcPr>
            <w:tcW w:w="835" w:type="dxa"/>
            <w:vAlign w:val="center"/>
          </w:tcPr>
          <w:p w14:paraId="5713C25F" w14:textId="77777777" w:rsidR="007A72E5" w:rsidRPr="00CB3B11" w:rsidRDefault="007A72E5" w:rsidP="00A9415E">
            <w:pPr>
              <w:spacing w:after="0"/>
              <w:jc w:val="center"/>
              <w:rPr>
                <w:rFonts w:asciiTheme="majorBidi" w:hAnsiTheme="majorBidi" w:cstheme="majorBidi"/>
                <w:sz w:val="24"/>
                <w:szCs w:val="24"/>
              </w:rPr>
            </w:pPr>
            <w:r w:rsidRPr="00CB3B11">
              <w:rPr>
                <w:rFonts w:asciiTheme="majorBidi" w:hAnsiTheme="majorBidi" w:cstheme="majorBidi"/>
                <w:sz w:val="24"/>
                <w:szCs w:val="24"/>
              </w:rPr>
              <w:t>510</w:t>
            </w:r>
          </w:p>
        </w:tc>
        <w:tc>
          <w:tcPr>
            <w:tcW w:w="836" w:type="dxa"/>
            <w:vAlign w:val="center"/>
          </w:tcPr>
          <w:p w14:paraId="2C1497D8" w14:textId="77777777" w:rsidR="007A72E5" w:rsidRPr="00CB3B11" w:rsidRDefault="007A72E5" w:rsidP="00A9415E">
            <w:pPr>
              <w:spacing w:after="0"/>
              <w:jc w:val="center"/>
              <w:rPr>
                <w:rFonts w:asciiTheme="majorBidi" w:hAnsiTheme="majorBidi" w:cstheme="majorBidi"/>
                <w:sz w:val="24"/>
                <w:szCs w:val="24"/>
              </w:rPr>
            </w:pPr>
            <w:r w:rsidRPr="00CB3B11">
              <w:rPr>
                <w:rFonts w:asciiTheme="majorBidi" w:hAnsiTheme="majorBidi" w:cstheme="majorBidi"/>
                <w:sz w:val="24"/>
                <w:szCs w:val="24"/>
              </w:rPr>
              <w:t>473</w:t>
            </w:r>
          </w:p>
        </w:tc>
        <w:tc>
          <w:tcPr>
            <w:tcW w:w="835" w:type="dxa"/>
            <w:vAlign w:val="center"/>
          </w:tcPr>
          <w:p w14:paraId="2D121170" w14:textId="77777777" w:rsidR="007A72E5" w:rsidRPr="00CB3B11" w:rsidRDefault="007A72E5" w:rsidP="005368C4">
            <w:pPr>
              <w:spacing w:after="0"/>
              <w:jc w:val="center"/>
              <w:rPr>
                <w:rFonts w:asciiTheme="majorBidi" w:hAnsiTheme="majorBidi" w:cstheme="majorBidi"/>
                <w:sz w:val="24"/>
                <w:szCs w:val="24"/>
              </w:rPr>
            </w:pPr>
            <w:r w:rsidRPr="00CB3B11">
              <w:rPr>
                <w:rFonts w:asciiTheme="majorBidi" w:hAnsiTheme="majorBidi" w:cstheme="majorBidi"/>
                <w:sz w:val="24"/>
                <w:szCs w:val="24"/>
              </w:rPr>
              <w:t>505</w:t>
            </w:r>
          </w:p>
        </w:tc>
        <w:tc>
          <w:tcPr>
            <w:tcW w:w="836" w:type="dxa"/>
            <w:vAlign w:val="center"/>
          </w:tcPr>
          <w:p w14:paraId="2933B29B" w14:textId="77777777" w:rsidR="007A72E5" w:rsidRPr="00CB3B11" w:rsidRDefault="00496E8B" w:rsidP="007A72E5">
            <w:pPr>
              <w:spacing w:after="0"/>
              <w:jc w:val="center"/>
              <w:rPr>
                <w:rFonts w:asciiTheme="majorBidi" w:hAnsiTheme="majorBidi" w:cstheme="majorBidi"/>
                <w:sz w:val="24"/>
                <w:szCs w:val="24"/>
              </w:rPr>
            </w:pPr>
            <w:r w:rsidRPr="00CB3B11">
              <w:rPr>
                <w:rFonts w:asciiTheme="majorBidi" w:hAnsiTheme="majorBidi" w:cstheme="majorBidi"/>
                <w:sz w:val="24"/>
                <w:szCs w:val="24"/>
              </w:rPr>
              <w:t>508</w:t>
            </w:r>
          </w:p>
        </w:tc>
      </w:tr>
      <w:tr w:rsidR="00CB3B11" w:rsidRPr="00CB3B11" w14:paraId="5196B25D" w14:textId="77777777" w:rsidTr="00FA6DEA">
        <w:trPr>
          <w:trHeight w:hRule="exact" w:val="494"/>
          <w:jc w:val="center"/>
        </w:trPr>
        <w:tc>
          <w:tcPr>
            <w:tcW w:w="1396" w:type="dxa"/>
            <w:vAlign w:val="center"/>
          </w:tcPr>
          <w:p w14:paraId="22467F13" w14:textId="77777777" w:rsidR="007A72E5" w:rsidRPr="00CB3B11" w:rsidRDefault="007A72E5" w:rsidP="00FA6DEA">
            <w:pPr>
              <w:spacing w:after="0"/>
              <w:jc w:val="both"/>
              <w:rPr>
                <w:rFonts w:asciiTheme="majorBidi" w:hAnsiTheme="majorBidi" w:cstheme="majorBidi"/>
                <w:b/>
                <w:bCs/>
                <w:sz w:val="24"/>
                <w:szCs w:val="24"/>
                <w:rtl/>
              </w:rPr>
            </w:pPr>
            <w:r w:rsidRPr="00CB3B11">
              <w:rPr>
                <w:rFonts w:asciiTheme="majorBidi" w:hAnsiTheme="majorBidi" w:cstheme="majorBidi"/>
                <w:sz w:val="24"/>
                <w:szCs w:val="24"/>
              </w:rPr>
              <w:t>Gaza Strip</w:t>
            </w:r>
          </w:p>
        </w:tc>
        <w:tc>
          <w:tcPr>
            <w:tcW w:w="696" w:type="dxa"/>
            <w:vAlign w:val="center"/>
          </w:tcPr>
          <w:p w14:paraId="0585D2F9" w14:textId="77777777" w:rsidR="007A72E5" w:rsidRPr="00CB3B11" w:rsidRDefault="007A72E5" w:rsidP="00A9415E">
            <w:pPr>
              <w:spacing w:after="0"/>
              <w:jc w:val="center"/>
              <w:rPr>
                <w:rFonts w:asciiTheme="majorBidi" w:hAnsiTheme="majorBidi" w:cstheme="majorBidi"/>
                <w:sz w:val="24"/>
                <w:szCs w:val="24"/>
              </w:rPr>
            </w:pPr>
            <w:r w:rsidRPr="00CB3B11">
              <w:rPr>
                <w:rFonts w:asciiTheme="majorBidi" w:hAnsiTheme="majorBidi" w:cstheme="majorBidi"/>
                <w:sz w:val="24"/>
                <w:szCs w:val="24"/>
              </w:rPr>
              <w:t>69</w:t>
            </w:r>
          </w:p>
        </w:tc>
        <w:tc>
          <w:tcPr>
            <w:tcW w:w="835" w:type="dxa"/>
            <w:vAlign w:val="center"/>
          </w:tcPr>
          <w:p w14:paraId="79FB507A" w14:textId="77777777" w:rsidR="007A72E5" w:rsidRPr="00CB3B11" w:rsidRDefault="007A72E5" w:rsidP="00A9415E">
            <w:pPr>
              <w:spacing w:after="0"/>
              <w:jc w:val="center"/>
              <w:rPr>
                <w:rFonts w:asciiTheme="majorBidi" w:hAnsiTheme="majorBidi" w:cstheme="majorBidi"/>
                <w:sz w:val="24"/>
                <w:szCs w:val="24"/>
              </w:rPr>
            </w:pPr>
            <w:r w:rsidRPr="00CB3B11">
              <w:rPr>
                <w:rFonts w:asciiTheme="majorBidi" w:hAnsiTheme="majorBidi" w:cstheme="majorBidi"/>
                <w:sz w:val="24"/>
                <w:szCs w:val="24"/>
              </w:rPr>
              <w:t>56</w:t>
            </w:r>
          </w:p>
        </w:tc>
        <w:tc>
          <w:tcPr>
            <w:tcW w:w="836" w:type="dxa"/>
            <w:vAlign w:val="center"/>
          </w:tcPr>
          <w:p w14:paraId="394B571A" w14:textId="77777777" w:rsidR="007A72E5" w:rsidRPr="00CB3B11" w:rsidRDefault="007A72E5" w:rsidP="00A9415E">
            <w:pPr>
              <w:spacing w:after="0"/>
              <w:jc w:val="center"/>
              <w:rPr>
                <w:rFonts w:asciiTheme="majorBidi" w:hAnsiTheme="majorBidi" w:cstheme="majorBidi"/>
                <w:sz w:val="24"/>
                <w:szCs w:val="24"/>
              </w:rPr>
            </w:pPr>
            <w:r w:rsidRPr="00CB3B11">
              <w:rPr>
                <w:rFonts w:asciiTheme="majorBidi" w:hAnsiTheme="majorBidi" w:cstheme="majorBidi"/>
                <w:sz w:val="24"/>
                <w:szCs w:val="24"/>
              </w:rPr>
              <w:t>55</w:t>
            </w:r>
          </w:p>
        </w:tc>
        <w:tc>
          <w:tcPr>
            <w:tcW w:w="835" w:type="dxa"/>
            <w:vAlign w:val="center"/>
          </w:tcPr>
          <w:p w14:paraId="1A5940D0" w14:textId="77777777" w:rsidR="007A72E5" w:rsidRPr="00CB3B11" w:rsidRDefault="007A72E5" w:rsidP="005368C4">
            <w:pPr>
              <w:spacing w:after="0"/>
              <w:jc w:val="center"/>
              <w:rPr>
                <w:rFonts w:asciiTheme="majorBidi" w:hAnsiTheme="majorBidi" w:cstheme="majorBidi"/>
                <w:sz w:val="24"/>
                <w:szCs w:val="24"/>
              </w:rPr>
            </w:pPr>
            <w:r w:rsidRPr="00CB3B11">
              <w:rPr>
                <w:rFonts w:asciiTheme="majorBidi" w:hAnsiTheme="majorBidi" w:cstheme="majorBidi"/>
                <w:sz w:val="24"/>
                <w:szCs w:val="24"/>
              </w:rPr>
              <w:t>72</w:t>
            </w:r>
          </w:p>
        </w:tc>
        <w:tc>
          <w:tcPr>
            <w:tcW w:w="836" w:type="dxa"/>
            <w:vAlign w:val="center"/>
          </w:tcPr>
          <w:p w14:paraId="6D182029" w14:textId="77777777" w:rsidR="007A72E5" w:rsidRPr="00CB3B11" w:rsidRDefault="00496E8B" w:rsidP="007A72E5">
            <w:pPr>
              <w:spacing w:after="0"/>
              <w:jc w:val="center"/>
              <w:rPr>
                <w:rFonts w:asciiTheme="majorBidi" w:hAnsiTheme="majorBidi" w:cstheme="majorBidi"/>
                <w:sz w:val="24"/>
                <w:szCs w:val="24"/>
              </w:rPr>
            </w:pPr>
            <w:r w:rsidRPr="00CB3B11">
              <w:rPr>
                <w:rFonts w:asciiTheme="majorBidi" w:hAnsiTheme="majorBidi" w:cstheme="majorBidi"/>
                <w:sz w:val="24"/>
                <w:szCs w:val="24"/>
              </w:rPr>
              <w:t>76</w:t>
            </w:r>
          </w:p>
        </w:tc>
      </w:tr>
    </w:tbl>
    <w:p w14:paraId="1D45822A" w14:textId="77777777" w:rsidR="00406518" w:rsidRPr="00FA6DEA" w:rsidRDefault="00406518" w:rsidP="00406518">
      <w:pPr>
        <w:pStyle w:val="BodyText"/>
        <w:rPr>
          <w:rFonts w:asciiTheme="majorBidi" w:hAnsiTheme="majorBidi" w:cstheme="majorBidi" w:hint="cs"/>
          <w:color w:val="FF0000"/>
          <w:sz w:val="16"/>
          <w:szCs w:val="16"/>
        </w:rPr>
      </w:pPr>
    </w:p>
    <w:p w14:paraId="0E9F39B6" w14:textId="77777777" w:rsidR="00406518" w:rsidRPr="00FA6DEA" w:rsidRDefault="004A4B04" w:rsidP="00015860">
      <w:pPr>
        <w:spacing w:after="0" w:line="240" w:lineRule="auto"/>
        <w:jc w:val="both"/>
        <w:rPr>
          <w:rFonts w:asciiTheme="majorBidi" w:hAnsiTheme="majorBidi" w:cstheme="majorBidi"/>
          <w:sz w:val="26"/>
          <w:szCs w:val="26"/>
          <w:rtl/>
        </w:rPr>
      </w:pPr>
      <w:r w:rsidRPr="00FA6DEA">
        <w:rPr>
          <w:rFonts w:asciiTheme="majorBidi" w:hAnsiTheme="majorBidi" w:cstheme="majorBidi"/>
          <w:sz w:val="26"/>
          <w:szCs w:val="26"/>
        </w:rPr>
        <w:t>T</w:t>
      </w:r>
      <w:r w:rsidR="00406518" w:rsidRPr="00FA6DEA">
        <w:rPr>
          <w:rFonts w:asciiTheme="majorBidi" w:hAnsiTheme="majorBidi" w:cstheme="majorBidi"/>
          <w:sz w:val="26"/>
          <w:szCs w:val="26"/>
        </w:rPr>
        <w:t xml:space="preserve">he number of cultural activities </w:t>
      </w:r>
      <w:r w:rsidR="000A66C0" w:rsidRPr="00FA6DEA">
        <w:rPr>
          <w:rFonts w:asciiTheme="majorBidi" w:hAnsiTheme="majorBidi" w:cstheme="majorBidi"/>
          <w:sz w:val="26"/>
          <w:szCs w:val="26"/>
        </w:rPr>
        <w:t>in</w:t>
      </w:r>
      <w:r w:rsidR="00406518" w:rsidRPr="00FA6DEA">
        <w:rPr>
          <w:rFonts w:asciiTheme="majorBidi" w:hAnsiTheme="majorBidi" w:cstheme="majorBidi"/>
          <w:sz w:val="26"/>
          <w:szCs w:val="26"/>
        </w:rPr>
        <w:t>creased</w:t>
      </w:r>
      <w:r w:rsidR="000A66C0" w:rsidRPr="00FA6DEA">
        <w:rPr>
          <w:rFonts w:asciiTheme="majorBidi" w:hAnsiTheme="majorBidi" w:cstheme="majorBidi"/>
          <w:sz w:val="26"/>
          <w:szCs w:val="26"/>
          <w:lang w:val="en-US"/>
        </w:rPr>
        <w:t xml:space="preserve"> in </w:t>
      </w:r>
      <w:r w:rsidR="00015860" w:rsidRPr="00FA6DEA">
        <w:rPr>
          <w:rFonts w:asciiTheme="majorBidi" w:hAnsiTheme="majorBidi" w:cstheme="majorBidi"/>
          <w:sz w:val="26"/>
          <w:szCs w:val="26"/>
          <w:lang w:val="en-US"/>
        </w:rPr>
        <w:t>2022</w:t>
      </w:r>
      <w:r w:rsidR="00406518" w:rsidRPr="00FA6DEA">
        <w:rPr>
          <w:rFonts w:asciiTheme="majorBidi" w:hAnsiTheme="majorBidi" w:cstheme="majorBidi"/>
          <w:sz w:val="26"/>
          <w:szCs w:val="26"/>
        </w:rPr>
        <w:t xml:space="preserve"> by</w:t>
      </w:r>
      <w:r w:rsidR="000A66C0" w:rsidRPr="00FA6DEA">
        <w:rPr>
          <w:rFonts w:asciiTheme="majorBidi" w:hAnsiTheme="majorBidi" w:cstheme="majorBidi"/>
          <w:sz w:val="26"/>
          <w:szCs w:val="26"/>
        </w:rPr>
        <w:t xml:space="preserve"> </w:t>
      </w:r>
      <w:r w:rsidR="00197DCA" w:rsidRPr="00FA6DEA">
        <w:rPr>
          <w:rFonts w:asciiTheme="majorBidi" w:hAnsiTheme="majorBidi" w:cstheme="majorBidi"/>
          <w:sz w:val="26"/>
          <w:szCs w:val="26"/>
        </w:rPr>
        <w:t>4</w:t>
      </w:r>
      <w:r w:rsidR="000A66C0" w:rsidRPr="00FA6DEA">
        <w:rPr>
          <w:rFonts w:asciiTheme="majorBidi" w:hAnsiTheme="majorBidi" w:cstheme="majorBidi"/>
          <w:sz w:val="26"/>
          <w:szCs w:val="26"/>
        </w:rPr>
        <w:t>%</w:t>
      </w:r>
      <w:r w:rsidR="00406518" w:rsidRPr="00FA6DEA">
        <w:rPr>
          <w:rFonts w:asciiTheme="majorBidi" w:hAnsiTheme="majorBidi" w:cstheme="majorBidi"/>
          <w:sz w:val="26"/>
          <w:szCs w:val="26"/>
        </w:rPr>
        <w:t xml:space="preserve"> </w:t>
      </w:r>
      <w:r w:rsidR="000A66C0" w:rsidRPr="00FA6DEA">
        <w:rPr>
          <w:rFonts w:asciiTheme="majorBidi" w:hAnsiTheme="majorBidi" w:cstheme="majorBidi"/>
          <w:sz w:val="26"/>
          <w:szCs w:val="26"/>
        </w:rPr>
        <w:t xml:space="preserve">compared to </w:t>
      </w:r>
      <w:r w:rsidR="007E3B6B" w:rsidRPr="00FA6DEA">
        <w:rPr>
          <w:rFonts w:asciiTheme="majorBidi" w:hAnsiTheme="majorBidi" w:cstheme="majorBidi"/>
          <w:sz w:val="26"/>
          <w:szCs w:val="26"/>
        </w:rPr>
        <w:t xml:space="preserve">the </w:t>
      </w:r>
      <w:r w:rsidR="000A66C0" w:rsidRPr="00FA6DEA">
        <w:rPr>
          <w:rFonts w:asciiTheme="majorBidi" w:hAnsiTheme="majorBidi" w:cstheme="majorBidi"/>
          <w:sz w:val="26"/>
          <w:szCs w:val="26"/>
        </w:rPr>
        <w:t>previous year</w:t>
      </w:r>
      <w:r w:rsidR="00015860" w:rsidRPr="00FA6DEA">
        <w:rPr>
          <w:rFonts w:asciiTheme="majorBidi" w:hAnsiTheme="majorBidi" w:cstheme="majorBidi"/>
          <w:sz w:val="26"/>
          <w:szCs w:val="26"/>
        </w:rPr>
        <w:t>.</w:t>
      </w:r>
    </w:p>
    <w:p w14:paraId="0D75B44A" w14:textId="77777777" w:rsidR="00406518" w:rsidRPr="00FA6DEA" w:rsidRDefault="00406518" w:rsidP="00406518">
      <w:pPr>
        <w:spacing w:after="0" w:line="240" w:lineRule="auto"/>
        <w:jc w:val="both"/>
        <w:rPr>
          <w:rFonts w:asciiTheme="majorBidi" w:hAnsiTheme="majorBidi" w:cstheme="majorBidi"/>
          <w:sz w:val="16"/>
          <w:szCs w:val="16"/>
          <w:rtl/>
        </w:rPr>
      </w:pPr>
    </w:p>
    <w:p w14:paraId="7792450F" w14:textId="77777777" w:rsidR="00406518" w:rsidRPr="00FA6DEA" w:rsidRDefault="00015860" w:rsidP="006019DD">
      <w:pPr>
        <w:spacing w:after="0" w:line="240" w:lineRule="auto"/>
        <w:jc w:val="both"/>
        <w:rPr>
          <w:rFonts w:asciiTheme="majorBidi" w:hAnsiTheme="majorBidi" w:cstheme="majorBidi"/>
          <w:sz w:val="26"/>
          <w:szCs w:val="26"/>
          <w:lang w:val="en-US"/>
        </w:rPr>
      </w:pPr>
      <w:r w:rsidRPr="00FA6DEA">
        <w:rPr>
          <w:rFonts w:asciiTheme="majorBidi" w:hAnsiTheme="majorBidi" w:cstheme="majorBidi"/>
          <w:sz w:val="26"/>
          <w:szCs w:val="26"/>
        </w:rPr>
        <w:t>T</w:t>
      </w:r>
      <w:r w:rsidR="00406518" w:rsidRPr="00FA6DEA">
        <w:rPr>
          <w:rFonts w:asciiTheme="majorBidi" w:hAnsiTheme="majorBidi" w:cstheme="majorBidi"/>
          <w:sz w:val="26"/>
          <w:szCs w:val="26"/>
        </w:rPr>
        <w:t>raining courses continued to rank first among cultural acti</w:t>
      </w:r>
      <w:r w:rsidR="00FC1C73" w:rsidRPr="00FA6DEA">
        <w:rPr>
          <w:rFonts w:asciiTheme="majorBidi" w:hAnsiTheme="majorBidi" w:cstheme="majorBidi"/>
          <w:sz w:val="26"/>
          <w:szCs w:val="26"/>
        </w:rPr>
        <w:t>vities held in cultural centres</w:t>
      </w:r>
      <w:r w:rsidR="00FC1C73" w:rsidRPr="00FA6DEA">
        <w:rPr>
          <w:rFonts w:asciiTheme="majorBidi" w:hAnsiTheme="majorBidi" w:cstheme="majorBidi"/>
          <w:sz w:val="26"/>
          <w:szCs w:val="26"/>
          <w:rtl/>
        </w:rPr>
        <w:t xml:space="preserve"> </w:t>
      </w:r>
      <w:r w:rsidR="00FC1C73" w:rsidRPr="00FA6DEA">
        <w:rPr>
          <w:rFonts w:asciiTheme="majorBidi" w:hAnsiTheme="majorBidi" w:cstheme="majorBidi"/>
          <w:sz w:val="26"/>
          <w:szCs w:val="26"/>
          <w:lang w:val="en-US"/>
        </w:rPr>
        <w:t>(about 66% of the activities).</w:t>
      </w:r>
    </w:p>
    <w:p w14:paraId="417049E9" w14:textId="77777777" w:rsidR="0022133B" w:rsidRPr="00FA6DEA" w:rsidRDefault="0022133B" w:rsidP="006019DD">
      <w:pPr>
        <w:spacing w:after="0" w:line="240" w:lineRule="auto"/>
        <w:jc w:val="both"/>
        <w:rPr>
          <w:rFonts w:asciiTheme="majorBidi" w:hAnsiTheme="majorBidi" w:cstheme="majorBidi"/>
          <w:sz w:val="16"/>
          <w:szCs w:val="16"/>
        </w:rPr>
      </w:pPr>
    </w:p>
    <w:p w14:paraId="07A6C371" w14:textId="77777777" w:rsidR="00406518" w:rsidRPr="00FA6DEA" w:rsidRDefault="00406518" w:rsidP="00406518">
      <w:pPr>
        <w:spacing w:after="0" w:line="240" w:lineRule="auto"/>
        <w:jc w:val="center"/>
        <w:rPr>
          <w:rFonts w:asciiTheme="majorBidi" w:hAnsiTheme="majorBidi" w:cstheme="majorBidi"/>
          <w:sz w:val="26"/>
          <w:szCs w:val="26"/>
        </w:rPr>
      </w:pPr>
      <w:r w:rsidRPr="00FA6DEA">
        <w:rPr>
          <w:rFonts w:asciiTheme="majorBidi" w:hAnsiTheme="majorBidi" w:cstheme="majorBidi"/>
          <w:b/>
          <w:bCs/>
          <w:sz w:val="26"/>
          <w:szCs w:val="26"/>
        </w:rPr>
        <w:t>Percentage Distribution of Activities Held in Cultural Centres Operating in Palestine by Type of Activity for Selected Years</w:t>
      </w:r>
    </w:p>
    <w:p w14:paraId="23A47629" w14:textId="77777777" w:rsidR="00406518" w:rsidRPr="00FA6DEA" w:rsidRDefault="00406518" w:rsidP="00406518">
      <w:pPr>
        <w:spacing w:after="0" w:line="240" w:lineRule="auto"/>
        <w:jc w:val="center"/>
        <w:rPr>
          <w:rFonts w:asciiTheme="majorBidi" w:hAnsiTheme="majorBidi" w:cstheme="majorBidi"/>
          <w:sz w:val="16"/>
          <w:szCs w:val="16"/>
        </w:rPr>
      </w:pPr>
    </w:p>
    <w:tbl>
      <w:tblPr>
        <w:tblW w:w="63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912"/>
        <w:gridCol w:w="914"/>
        <w:gridCol w:w="877"/>
        <w:gridCol w:w="949"/>
        <w:gridCol w:w="912"/>
      </w:tblGrid>
      <w:tr w:rsidR="009F08E0" w:rsidRPr="00BC30CC" w14:paraId="2F8A7463" w14:textId="77777777" w:rsidTr="00FA6DEA">
        <w:trPr>
          <w:trHeight w:hRule="exact" w:val="597"/>
          <w:jc w:val="center"/>
        </w:trPr>
        <w:tc>
          <w:tcPr>
            <w:tcW w:w="1812" w:type="dxa"/>
            <w:vAlign w:val="center"/>
          </w:tcPr>
          <w:p w14:paraId="7755BE86" w14:textId="77777777" w:rsidR="009F08E0" w:rsidRPr="00BC30CC" w:rsidRDefault="009F08E0" w:rsidP="00A9415E">
            <w:pPr>
              <w:spacing w:after="0"/>
              <w:jc w:val="center"/>
              <w:rPr>
                <w:rFonts w:asciiTheme="majorBidi" w:hAnsiTheme="majorBidi" w:cstheme="majorBidi"/>
                <w:b/>
                <w:bCs/>
                <w:lang w:val="en-US"/>
              </w:rPr>
            </w:pPr>
            <w:r w:rsidRPr="00BC30CC">
              <w:rPr>
                <w:rFonts w:asciiTheme="majorBidi" w:hAnsiTheme="majorBidi" w:cstheme="majorBidi"/>
                <w:b/>
                <w:bCs/>
                <w:lang w:val="en-US"/>
              </w:rPr>
              <w:t>Type of Activity</w:t>
            </w:r>
          </w:p>
        </w:tc>
        <w:tc>
          <w:tcPr>
            <w:tcW w:w="912" w:type="dxa"/>
            <w:vAlign w:val="center"/>
          </w:tcPr>
          <w:p w14:paraId="2F7B221D" w14:textId="77777777" w:rsidR="009F08E0" w:rsidRPr="00BC30CC" w:rsidRDefault="009F08E0" w:rsidP="00A9415E">
            <w:pPr>
              <w:spacing w:after="0"/>
              <w:jc w:val="center"/>
              <w:rPr>
                <w:rFonts w:asciiTheme="majorBidi" w:hAnsiTheme="majorBidi" w:cstheme="majorBidi"/>
                <w:b/>
                <w:bCs/>
                <w:rtl/>
              </w:rPr>
            </w:pPr>
            <w:r w:rsidRPr="00BC30CC">
              <w:rPr>
                <w:rFonts w:asciiTheme="majorBidi" w:hAnsiTheme="majorBidi" w:cstheme="majorBidi"/>
                <w:b/>
                <w:bCs/>
              </w:rPr>
              <w:t>2018</w:t>
            </w:r>
          </w:p>
        </w:tc>
        <w:tc>
          <w:tcPr>
            <w:tcW w:w="914" w:type="dxa"/>
            <w:vAlign w:val="center"/>
          </w:tcPr>
          <w:p w14:paraId="21D88555" w14:textId="77777777" w:rsidR="009F08E0" w:rsidRPr="00BC30CC" w:rsidRDefault="009F08E0" w:rsidP="00A9415E">
            <w:pPr>
              <w:spacing w:after="0"/>
              <w:ind w:right="85"/>
              <w:jc w:val="center"/>
              <w:rPr>
                <w:rFonts w:asciiTheme="majorBidi" w:hAnsiTheme="majorBidi" w:cstheme="majorBidi"/>
                <w:b/>
                <w:bCs/>
              </w:rPr>
            </w:pPr>
            <w:r w:rsidRPr="00BC30CC">
              <w:rPr>
                <w:rFonts w:asciiTheme="majorBidi" w:hAnsiTheme="majorBidi" w:cstheme="majorBidi"/>
                <w:b/>
                <w:bCs/>
              </w:rPr>
              <w:t>2019</w:t>
            </w:r>
          </w:p>
        </w:tc>
        <w:tc>
          <w:tcPr>
            <w:tcW w:w="877" w:type="dxa"/>
            <w:vAlign w:val="center"/>
          </w:tcPr>
          <w:p w14:paraId="0A7FDCB5" w14:textId="77777777" w:rsidR="009F08E0" w:rsidRPr="00BC30CC" w:rsidRDefault="009F08E0" w:rsidP="00E3283D">
            <w:pPr>
              <w:spacing w:after="0"/>
              <w:ind w:right="85"/>
              <w:jc w:val="center"/>
              <w:rPr>
                <w:rFonts w:asciiTheme="majorBidi" w:hAnsiTheme="majorBidi" w:cstheme="majorBidi"/>
                <w:b/>
                <w:bCs/>
              </w:rPr>
            </w:pPr>
            <w:r w:rsidRPr="00BC30CC">
              <w:rPr>
                <w:rFonts w:asciiTheme="majorBidi" w:hAnsiTheme="majorBidi" w:cstheme="majorBidi"/>
                <w:b/>
                <w:bCs/>
              </w:rPr>
              <w:t>2020</w:t>
            </w:r>
          </w:p>
        </w:tc>
        <w:tc>
          <w:tcPr>
            <w:tcW w:w="949" w:type="dxa"/>
            <w:vAlign w:val="center"/>
          </w:tcPr>
          <w:p w14:paraId="6642C286" w14:textId="77777777" w:rsidR="009F08E0" w:rsidRPr="00BC30CC" w:rsidRDefault="009F08E0" w:rsidP="009F08E0">
            <w:pPr>
              <w:spacing w:after="0"/>
              <w:ind w:right="85"/>
              <w:jc w:val="right"/>
              <w:rPr>
                <w:rFonts w:asciiTheme="majorBidi" w:hAnsiTheme="majorBidi" w:cstheme="majorBidi"/>
                <w:b/>
                <w:bCs/>
              </w:rPr>
            </w:pPr>
            <w:r w:rsidRPr="00BC30CC">
              <w:rPr>
                <w:rFonts w:asciiTheme="majorBidi" w:hAnsiTheme="majorBidi" w:cstheme="majorBidi"/>
                <w:b/>
                <w:bCs/>
              </w:rPr>
              <w:t>2021</w:t>
            </w:r>
          </w:p>
        </w:tc>
        <w:tc>
          <w:tcPr>
            <w:tcW w:w="912" w:type="dxa"/>
            <w:vAlign w:val="center"/>
          </w:tcPr>
          <w:p w14:paraId="2A2D866B" w14:textId="77777777" w:rsidR="009F08E0" w:rsidRPr="00BC30CC" w:rsidRDefault="009F08E0" w:rsidP="009F08E0">
            <w:pPr>
              <w:spacing w:after="0"/>
              <w:ind w:right="85"/>
              <w:jc w:val="right"/>
              <w:rPr>
                <w:rFonts w:asciiTheme="majorBidi" w:hAnsiTheme="majorBidi" w:cstheme="majorBidi"/>
                <w:b/>
                <w:bCs/>
              </w:rPr>
            </w:pPr>
            <w:r w:rsidRPr="00BC30CC">
              <w:rPr>
                <w:rFonts w:asciiTheme="majorBidi" w:hAnsiTheme="majorBidi" w:cstheme="majorBidi"/>
                <w:b/>
                <w:bCs/>
              </w:rPr>
              <w:t>2022</w:t>
            </w:r>
          </w:p>
        </w:tc>
      </w:tr>
      <w:tr w:rsidR="009F08E0" w:rsidRPr="00BC30CC" w14:paraId="11FE8C8E" w14:textId="77777777" w:rsidTr="00FA6DEA">
        <w:trPr>
          <w:trHeight w:hRule="exact" w:val="326"/>
          <w:jc w:val="center"/>
        </w:trPr>
        <w:tc>
          <w:tcPr>
            <w:tcW w:w="1812" w:type="dxa"/>
            <w:vAlign w:val="center"/>
          </w:tcPr>
          <w:p w14:paraId="6D9FD8AC" w14:textId="77777777" w:rsidR="009F08E0" w:rsidRPr="00BC30CC" w:rsidRDefault="009F08E0" w:rsidP="00FA6DEA">
            <w:pPr>
              <w:spacing w:after="0"/>
              <w:jc w:val="both"/>
              <w:rPr>
                <w:rFonts w:asciiTheme="majorBidi" w:hAnsiTheme="majorBidi" w:cstheme="majorBidi"/>
              </w:rPr>
            </w:pPr>
            <w:r w:rsidRPr="00BC30CC">
              <w:rPr>
                <w:rFonts w:asciiTheme="majorBidi" w:hAnsiTheme="majorBidi" w:cstheme="majorBidi"/>
              </w:rPr>
              <w:t>Training Courses</w:t>
            </w:r>
          </w:p>
        </w:tc>
        <w:tc>
          <w:tcPr>
            <w:tcW w:w="912" w:type="dxa"/>
            <w:vAlign w:val="center"/>
          </w:tcPr>
          <w:p w14:paraId="28482F1A" w14:textId="77777777" w:rsidR="009F08E0" w:rsidRPr="00BC30CC" w:rsidRDefault="009F08E0" w:rsidP="00BC30CC">
            <w:pPr>
              <w:bidi/>
              <w:spacing w:after="0"/>
              <w:jc w:val="center"/>
              <w:rPr>
                <w:rFonts w:asciiTheme="majorBidi" w:hAnsiTheme="majorBidi" w:cstheme="majorBidi"/>
                <w:rtl/>
              </w:rPr>
            </w:pPr>
            <w:r w:rsidRPr="00BC30CC">
              <w:rPr>
                <w:rFonts w:asciiTheme="majorBidi" w:hAnsiTheme="majorBidi" w:cstheme="majorBidi"/>
              </w:rPr>
              <w:t>65.0</w:t>
            </w:r>
          </w:p>
        </w:tc>
        <w:tc>
          <w:tcPr>
            <w:tcW w:w="914" w:type="dxa"/>
            <w:vAlign w:val="center"/>
          </w:tcPr>
          <w:p w14:paraId="7443D295" w14:textId="77777777" w:rsidR="009F08E0" w:rsidRPr="00BC30CC" w:rsidRDefault="009F08E0" w:rsidP="00BC30CC">
            <w:pPr>
              <w:spacing w:after="0"/>
              <w:jc w:val="center"/>
              <w:rPr>
                <w:rFonts w:asciiTheme="majorBidi" w:hAnsiTheme="majorBidi" w:cstheme="majorBidi"/>
              </w:rPr>
            </w:pPr>
            <w:r w:rsidRPr="00BC30CC">
              <w:rPr>
                <w:rFonts w:asciiTheme="majorBidi" w:hAnsiTheme="majorBidi" w:cstheme="majorBidi"/>
              </w:rPr>
              <w:t>66.5</w:t>
            </w:r>
          </w:p>
        </w:tc>
        <w:tc>
          <w:tcPr>
            <w:tcW w:w="877" w:type="dxa"/>
            <w:vAlign w:val="center"/>
          </w:tcPr>
          <w:p w14:paraId="68F28BAC" w14:textId="77777777" w:rsidR="009F08E0" w:rsidRPr="00BC30CC" w:rsidRDefault="009F08E0" w:rsidP="00BC30CC">
            <w:pPr>
              <w:spacing w:after="0"/>
              <w:jc w:val="center"/>
              <w:rPr>
                <w:rFonts w:asciiTheme="majorBidi" w:hAnsiTheme="majorBidi" w:cstheme="majorBidi"/>
              </w:rPr>
            </w:pPr>
            <w:r w:rsidRPr="00BC30CC">
              <w:rPr>
                <w:rFonts w:asciiTheme="majorBidi" w:hAnsiTheme="majorBidi" w:cstheme="majorBidi"/>
              </w:rPr>
              <w:t>62.8</w:t>
            </w:r>
          </w:p>
        </w:tc>
        <w:tc>
          <w:tcPr>
            <w:tcW w:w="949" w:type="dxa"/>
            <w:vAlign w:val="center"/>
          </w:tcPr>
          <w:p w14:paraId="3BE534E7" w14:textId="77777777" w:rsidR="009F08E0" w:rsidRPr="00BC30CC" w:rsidRDefault="009F08E0" w:rsidP="00BC30CC">
            <w:pPr>
              <w:spacing w:after="0"/>
              <w:jc w:val="center"/>
              <w:rPr>
                <w:rFonts w:asciiTheme="majorBidi" w:hAnsiTheme="majorBidi" w:cstheme="majorBidi"/>
                <w:rtl/>
              </w:rPr>
            </w:pPr>
            <w:r w:rsidRPr="00BC30CC">
              <w:rPr>
                <w:rFonts w:asciiTheme="majorBidi" w:hAnsiTheme="majorBidi" w:cstheme="majorBidi"/>
              </w:rPr>
              <w:t>62.7</w:t>
            </w:r>
          </w:p>
        </w:tc>
        <w:tc>
          <w:tcPr>
            <w:tcW w:w="912" w:type="dxa"/>
            <w:vAlign w:val="center"/>
          </w:tcPr>
          <w:p w14:paraId="632B5F94" w14:textId="77777777" w:rsidR="009F08E0" w:rsidRPr="00BC30CC" w:rsidRDefault="00360831" w:rsidP="00BC30CC">
            <w:pPr>
              <w:spacing w:after="0"/>
              <w:jc w:val="center"/>
              <w:rPr>
                <w:rFonts w:asciiTheme="majorBidi" w:hAnsiTheme="majorBidi" w:cstheme="majorBidi"/>
              </w:rPr>
            </w:pPr>
            <w:r w:rsidRPr="00BC30CC">
              <w:rPr>
                <w:rFonts w:asciiTheme="majorBidi" w:hAnsiTheme="majorBidi" w:cstheme="majorBidi"/>
              </w:rPr>
              <w:t>65.5</w:t>
            </w:r>
          </w:p>
        </w:tc>
      </w:tr>
      <w:tr w:rsidR="009F08E0" w:rsidRPr="00BC30CC" w14:paraId="274FC87E" w14:textId="77777777" w:rsidTr="00FA6DEA">
        <w:trPr>
          <w:trHeight w:hRule="exact" w:val="326"/>
          <w:jc w:val="center"/>
        </w:trPr>
        <w:tc>
          <w:tcPr>
            <w:tcW w:w="1812" w:type="dxa"/>
            <w:vAlign w:val="center"/>
          </w:tcPr>
          <w:p w14:paraId="6D62EA9E" w14:textId="77777777" w:rsidR="009F08E0" w:rsidRPr="00BC30CC" w:rsidRDefault="009F08E0" w:rsidP="00FA6DEA">
            <w:pPr>
              <w:spacing w:after="0"/>
              <w:jc w:val="both"/>
              <w:rPr>
                <w:rFonts w:asciiTheme="majorBidi" w:hAnsiTheme="majorBidi" w:cstheme="majorBidi"/>
              </w:rPr>
            </w:pPr>
            <w:r w:rsidRPr="00BC30CC">
              <w:rPr>
                <w:rFonts w:asciiTheme="majorBidi" w:hAnsiTheme="majorBidi" w:cstheme="majorBidi"/>
              </w:rPr>
              <w:t>Performances</w:t>
            </w:r>
          </w:p>
        </w:tc>
        <w:tc>
          <w:tcPr>
            <w:tcW w:w="912" w:type="dxa"/>
            <w:vAlign w:val="center"/>
          </w:tcPr>
          <w:p w14:paraId="06CF90BC" w14:textId="77777777" w:rsidR="009F08E0" w:rsidRPr="00BC30CC" w:rsidRDefault="009F08E0" w:rsidP="00BC30CC">
            <w:pPr>
              <w:bidi/>
              <w:spacing w:after="0"/>
              <w:jc w:val="center"/>
              <w:rPr>
                <w:rFonts w:asciiTheme="majorBidi" w:hAnsiTheme="majorBidi" w:cstheme="majorBidi"/>
              </w:rPr>
            </w:pPr>
            <w:r w:rsidRPr="00BC30CC">
              <w:rPr>
                <w:rFonts w:asciiTheme="majorBidi" w:hAnsiTheme="majorBidi" w:cstheme="majorBidi"/>
              </w:rPr>
              <w:t>16.5</w:t>
            </w:r>
          </w:p>
        </w:tc>
        <w:tc>
          <w:tcPr>
            <w:tcW w:w="914" w:type="dxa"/>
            <w:vAlign w:val="center"/>
          </w:tcPr>
          <w:p w14:paraId="63F02DF9" w14:textId="77777777" w:rsidR="009F08E0" w:rsidRPr="00BC30CC" w:rsidRDefault="009F08E0" w:rsidP="00BC30CC">
            <w:pPr>
              <w:spacing w:after="0"/>
              <w:jc w:val="center"/>
              <w:rPr>
                <w:rFonts w:asciiTheme="majorBidi" w:hAnsiTheme="majorBidi" w:cstheme="majorBidi"/>
              </w:rPr>
            </w:pPr>
            <w:r w:rsidRPr="00BC30CC">
              <w:rPr>
                <w:rFonts w:asciiTheme="majorBidi" w:hAnsiTheme="majorBidi" w:cstheme="majorBidi"/>
              </w:rPr>
              <w:t>14.8</w:t>
            </w:r>
          </w:p>
        </w:tc>
        <w:tc>
          <w:tcPr>
            <w:tcW w:w="877" w:type="dxa"/>
            <w:vAlign w:val="center"/>
          </w:tcPr>
          <w:p w14:paraId="102093B5" w14:textId="77777777" w:rsidR="009F08E0" w:rsidRPr="00BC30CC" w:rsidRDefault="009F08E0" w:rsidP="00BC30CC">
            <w:pPr>
              <w:spacing w:after="0"/>
              <w:jc w:val="center"/>
              <w:rPr>
                <w:rFonts w:asciiTheme="majorBidi" w:hAnsiTheme="majorBidi" w:cstheme="majorBidi"/>
              </w:rPr>
            </w:pPr>
            <w:r w:rsidRPr="00BC30CC">
              <w:rPr>
                <w:rFonts w:asciiTheme="majorBidi" w:hAnsiTheme="majorBidi" w:cstheme="majorBidi"/>
              </w:rPr>
              <w:t>11.1</w:t>
            </w:r>
          </w:p>
        </w:tc>
        <w:tc>
          <w:tcPr>
            <w:tcW w:w="949" w:type="dxa"/>
            <w:vAlign w:val="center"/>
          </w:tcPr>
          <w:p w14:paraId="4CCF4FF5" w14:textId="77777777" w:rsidR="009F08E0" w:rsidRPr="00BC30CC" w:rsidRDefault="009F08E0" w:rsidP="00BC30CC">
            <w:pPr>
              <w:spacing w:after="0"/>
              <w:jc w:val="center"/>
              <w:rPr>
                <w:rFonts w:asciiTheme="majorBidi" w:hAnsiTheme="majorBidi" w:cstheme="majorBidi"/>
              </w:rPr>
            </w:pPr>
            <w:r w:rsidRPr="00BC30CC">
              <w:rPr>
                <w:rFonts w:asciiTheme="majorBidi" w:hAnsiTheme="majorBidi" w:cstheme="majorBidi"/>
              </w:rPr>
              <w:t>7.9</w:t>
            </w:r>
          </w:p>
        </w:tc>
        <w:tc>
          <w:tcPr>
            <w:tcW w:w="912" w:type="dxa"/>
            <w:vAlign w:val="center"/>
          </w:tcPr>
          <w:p w14:paraId="483B559A" w14:textId="77777777" w:rsidR="009F08E0" w:rsidRPr="00BC30CC" w:rsidRDefault="00360831" w:rsidP="00BC30CC">
            <w:pPr>
              <w:spacing w:after="0"/>
              <w:jc w:val="center"/>
              <w:rPr>
                <w:rFonts w:asciiTheme="majorBidi" w:hAnsiTheme="majorBidi" w:cstheme="majorBidi"/>
              </w:rPr>
            </w:pPr>
            <w:r w:rsidRPr="00BC30CC">
              <w:rPr>
                <w:rFonts w:asciiTheme="majorBidi" w:hAnsiTheme="majorBidi" w:cstheme="majorBidi"/>
              </w:rPr>
              <w:t>9.2</w:t>
            </w:r>
          </w:p>
        </w:tc>
      </w:tr>
      <w:tr w:rsidR="009F08E0" w:rsidRPr="00BC30CC" w14:paraId="28A76D5B" w14:textId="77777777" w:rsidTr="00FA6DEA">
        <w:trPr>
          <w:trHeight w:hRule="exact" w:val="326"/>
          <w:jc w:val="center"/>
        </w:trPr>
        <w:tc>
          <w:tcPr>
            <w:tcW w:w="1812" w:type="dxa"/>
            <w:vAlign w:val="center"/>
          </w:tcPr>
          <w:p w14:paraId="3ACB518E" w14:textId="77777777" w:rsidR="009F08E0" w:rsidRPr="00BC30CC" w:rsidRDefault="009F08E0" w:rsidP="00FA6DEA">
            <w:pPr>
              <w:spacing w:after="0"/>
              <w:jc w:val="both"/>
              <w:rPr>
                <w:rFonts w:asciiTheme="majorBidi" w:hAnsiTheme="majorBidi" w:cstheme="majorBidi"/>
              </w:rPr>
            </w:pPr>
            <w:r w:rsidRPr="00BC30CC">
              <w:rPr>
                <w:rFonts w:asciiTheme="majorBidi" w:hAnsiTheme="majorBidi" w:cstheme="majorBidi"/>
              </w:rPr>
              <w:t>Lectures</w:t>
            </w:r>
          </w:p>
        </w:tc>
        <w:tc>
          <w:tcPr>
            <w:tcW w:w="912" w:type="dxa"/>
            <w:vAlign w:val="center"/>
          </w:tcPr>
          <w:p w14:paraId="25048EE0" w14:textId="77777777" w:rsidR="009F08E0" w:rsidRPr="00BC30CC" w:rsidRDefault="009F08E0" w:rsidP="00BC30CC">
            <w:pPr>
              <w:bidi/>
              <w:spacing w:after="0"/>
              <w:jc w:val="center"/>
              <w:rPr>
                <w:rFonts w:asciiTheme="majorBidi" w:hAnsiTheme="majorBidi" w:cstheme="majorBidi"/>
              </w:rPr>
            </w:pPr>
            <w:r w:rsidRPr="00BC30CC">
              <w:rPr>
                <w:rFonts w:asciiTheme="majorBidi" w:hAnsiTheme="majorBidi" w:cstheme="majorBidi"/>
              </w:rPr>
              <w:t>9.2</w:t>
            </w:r>
          </w:p>
        </w:tc>
        <w:tc>
          <w:tcPr>
            <w:tcW w:w="914" w:type="dxa"/>
            <w:vAlign w:val="center"/>
          </w:tcPr>
          <w:p w14:paraId="3AE9FC7F" w14:textId="77777777" w:rsidR="009F08E0" w:rsidRPr="00BC30CC" w:rsidRDefault="009F08E0" w:rsidP="00BC30CC">
            <w:pPr>
              <w:spacing w:after="0"/>
              <w:jc w:val="center"/>
              <w:rPr>
                <w:rFonts w:asciiTheme="majorBidi" w:hAnsiTheme="majorBidi" w:cstheme="majorBidi"/>
              </w:rPr>
            </w:pPr>
            <w:r w:rsidRPr="00BC30CC">
              <w:rPr>
                <w:rFonts w:asciiTheme="majorBidi" w:hAnsiTheme="majorBidi" w:cstheme="majorBidi"/>
              </w:rPr>
              <w:t>10.4</w:t>
            </w:r>
          </w:p>
        </w:tc>
        <w:tc>
          <w:tcPr>
            <w:tcW w:w="877" w:type="dxa"/>
            <w:vAlign w:val="center"/>
          </w:tcPr>
          <w:p w14:paraId="3D8854CD" w14:textId="77777777" w:rsidR="009F08E0" w:rsidRPr="00BC30CC" w:rsidRDefault="009F08E0" w:rsidP="00BC30CC">
            <w:pPr>
              <w:spacing w:after="0"/>
              <w:jc w:val="center"/>
              <w:rPr>
                <w:rFonts w:asciiTheme="majorBidi" w:hAnsiTheme="majorBidi" w:cstheme="majorBidi"/>
                <w:lang w:val="en-US"/>
              </w:rPr>
            </w:pPr>
            <w:r w:rsidRPr="00BC30CC">
              <w:rPr>
                <w:rFonts w:asciiTheme="majorBidi" w:hAnsiTheme="majorBidi" w:cstheme="majorBidi"/>
              </w:rPr>
              <w:t>14.5</w:t>
            </w:r>
          </w:p>
        </w:tc>
        <w:tc>
          <w:tcPr>
            <w:tcW w:w="949" w:type="dxa"/>
            <w:vAlign w:val="center"/>
          </w:tcPr>
          <w:p w14:paraId="322A0CF2" w14:textId="77777777" w:rsidR="009F08E0" w:rsidRPr="00BC30CC" w:rsidRDefault="009F08E0" w:rsidP="00BC30CC">
            <w:pPr>
              <w:spacing w:after="0"/>
              <w:jc w:val="center"/>
              <w:rPr>
                <w:rFonts w:asciiTheme="majorBidi" w:hAnsiTheme="majorBidi" w:cstheme="majorBidi"/>
              </w:rPr>
            </w:pPr>
            <w:r w:rsidRPr="00BC30CC">
              <w:rPr>
                <w:rFonts w:asciiTheme="majorBidi" w:hAnsiTheme="majorBidi" w:cstheme="majorBidi"/>
              </w:rPr>
              <w:t>17.5</w:t>
            </w:r>
          </w:p>
        </w:tc>
        <w:tc>
          <w:tcPr>
            <w:tcW w:w="912" w:type="dxa"/>
            <w:vAlign w:val="center"/>
          </w:tcPr>
          <w:p w14:paraId="123F7CE7" w14:textId="77777777" w:rsidR="009F08E0" w:rsidRPr="00BC30CC" w:rsidRDefault="00360831" w:rsidP="00BC30CC">
            <w:pPr>
              <w:spacing w:after="0"/>
              <w:jc w:val="center"/>
              <w:rPr>
                <w:rFonts w:asciiTheme="majorBidi" w:hAnsiTheme="majorBidi" w:cstheme="majorBidi"/>
              </w:rPr>
            </w:pPr>
            <w:r w:rsidRPr="00BC30CC">
              <w:rPr>
                <w:rFonts w:asciiTheme="majorBidi" w:hAnsiTheme="majorBidi" w:cstheme="majorBidi"/>
              </w:rPr>
              <w:t>13.8</w:t>
            </w:r>
          </w:p>
        </w:tc>
      </w:tr>
      <w:tr w:rsidR="009F08E0" w:rsidRPr="00BC30CC" w14:paraId="2907F951" w14:textId="77777777" w:rsidTr="00FA6DEA">
        <w:trPr>
          <w:trHeight w:hRule="exact" w:val="326"/>
          <w:jc w:val="center"/>
        </w:trPr>
        <w:tc>
          <w:tcPr>
            <w:tcW w:w="1812" w:type="dxa"/>
            <w:vAlign w:val="center"/>
          </w:tcPr>
          <w:p w14:paraId="3A1B01D1" w14:textId="77777777" w:rsidR="009F08E0" w:rsidRPr="00BC30CC" w:rsidRDefault="009F08E0" w:rsidP="00FA6DEA">
            <w:pPr>
              <w:spacing w:after="0"/>
              <w:jc w:val="both"/>
              <w:rPr>
                <w:rFonts w:asciiTheme="majorBidi" w:hAnsiTheme="majorBidi" w:cstheme="majorBidi"/>
                <w:rtl/>
                <w:lang w:val="en-US"/>
              </w:rPr>
            </w:pPr>
            <w:r w:rsidRPr="00BC30CC">
              <w:rPr>
                <w:rFonts w:asciiTheme="majorBidi" w:hAnsiTheme="majorBidi" w:cstheme="majorBidi"/>
                <w:lang w:val="en-US"/>
              </w:rPr>
              <w:t>Seminars</w:t>
            </w:r>
          </w:p>
        </w:tc>
        <w:tc>
          <w:tcPr>
            <w:tcW w:w="912" w:type="dxa"/>
            <w:vAlign w:val="center"/>
          </w:tcPr>
          <w:p w14:paraId="39218CE3" w14:textId="77777777" w:rsidR="009F08E0" w:rsidRPr="00BC30CC" w:rsidRDefault="009F08E0" w:rsidP="00BC30CC">
            <w:pPr>
              <w:bidi/>
              <w:spacing w:after="0"/>
              <w:jc w:val="center"/>
              <w:rPr>
                <w:rFonts w:asciiTheme="majorBidi" w:hAnsiTheme="majorBidi" w:cstheme="majorBidi"/>
              </w:rPr>
            </w:pPr>
            <w:r w:rsidRPr="00BC30CC">
              <w:rPr>
                <w:rFonts w:asciiTheme="majorBidi" w:hAnsiTheme="majorBidi" w:cstheme="majorBidi"/>
              </w:rPr>
              <w:t>7.3</w:t>
            </w:r>
          </w:p>
        </w:tc>
        <w:tc>
          <w:tcPr>
            <w:tcW w:w="914" w:type="dxa"/>
            <w:vAlign w:val="center"/>
          </w:tcPr>
          <w:p w14:paraId="5726B1C3" w14:textId="77777777" w:rsidR="009F08E0" w:rsidRPr="00BC30CC" w:rsidRDefault="009F08E0" w:rsidP="00BC30CC">
            <w:pPr>
              <w:spacing w:after="0"/>
              <w:jc w:val="center"/>
              <w:rPr>
                <w:rFonts w:asciiTheme="majorBidi" w:hAnsiTheme="majorBidi" w:cstheme="majorBidi"/>
              </w:rPr>
            </w:pPr>
            <w:r w:rsidRPr="00BC30CC">
              <w:rPr>
                <w:rFonts w:asciiTheme="majorBidi" w:hAnsiTheme="majorBidi" w:cstheme="majorBidi"/>
              </w:rPr>
              <w:t>5.9</w:t>
            </w:r>
          </w:p>
        </w:tc>
        <w:tc>
          <w:tcPr>
            <w:tcW w:w="877" w:type="dxa"/>
            <w:vAlign w:val="center"/>
          </w:tcPr>
          <w:p w14:paraId="027E62C1" w14:textId="77777777" w:rsidR="009F08E0" w:rsidRPr="00BC30CC" w:rsidRDefault="009F08E0" w:rsidP="00BC30CC">
            <w:pPr>
              <w:spacing w:after="0"/>
              <w:jc w:val="center"/>
              <w:rPr>
                <w:rFonts w:asciiTheme="majorBidi" w:hAnsiTheme="majorBidi" w:cstheme="majorBidi"/>
              </w:rPr>
            </w:pPr>
            <w:r w:rsidRPr="00BC30CC">
              <w:rPr>
                <w:rFonts w:asciiTheme="majorBidi" w:hAnsiTheme="majorBidi" w:cstheme="majorBidi"/>
              </w:rPr>
              <w:t>10.2</w:t>
            </w:r>
          </w:p>
        </w:tc>
        <w:tc>
          <w:tcPr>
            <w:tcW w:w="949" w:type="dxa"/>
            <w:vAlign w:val="center"/>
          </w:tcPr>
          <w:p w14:paraId="459F4295" w14:textId="77777777" w:rsidR="009F08E0" w:rsidRPr="00BC30CC" w:rsidRDefault="009F08E0" w:rsidP="00BC30CC">
            <w:pPr>
              <w:spacing w:after="0"/>
              <w:jc w:val="center"/>
              <w:rPr>
                <w:rFonts w:asciiTheme="majorBidi" w:hAnsiTheme="majorBidi" w:cstheme="majorBidi"/>
              </w:rPr>
            </w:pPr>
            <w:r w:rsidRPr="00BC30CC">
              <w:rPr>
                <w:rFonts w:asciiTheme="majorBidi" w:hAnsiTheme="majorBidi" w:cstheme="majorBidi"/>
              </w:rPr>
              <w:t>10.2</w:t>
            </w:r>
          </w:p>
        </w:tc>
        <w:tc>
          <w:tcPr>
            <w:tcW w:w="912" w:type="dxa"/>
            <w:vAlign w:val="center"/>
          </w:tcPr>
          <w:p w14:paraId="09CA1804" w14:textId="77777777" w:rsidR="009F08E0" w:rsidRPr="00BC30CC" w:rsidRDefault="00360831" w:rsidP="00BC30CC">
            <w:pPr>
              <w:spacing w:after="0"/>
              <w:jc w:val="center"/>
              <w:rPr>
                <w:rFonts w:asciiTheme="majorBidi" w:hAnsiTheme="majorBidi" w:cstheme="majorBidi"/>
              </w:rPr>
            </w:pPr>
            <w:r w:rsidRPr="00BC30CC">
              <w:rPr>
                <w:rFonts w:asciiTheme="majorBidi" w:hAnsiTheme="majorBidi" w:cstheme="majorBidi"/>
              </w:rPr>
              <w:t>9.3</w:t>
            </w:r>
          </w:p>
        </w:tc>
      </w:tr>
      <w:tr w:rsidR="009F08E0" w:rsidRPr="00BC30CC" w14:paraId="53A053D9" w14:textId="77777777" w:rsidTr="00FA6DEA">
        <w:trPr>
          <w:trHeight w:hRule="exact" w:val="326"/>
          <w:jc w:val="center"/>
        </w:trPr>
        <w:tc>
          <w:tcPr>
            <w:tcW w:w="1812" w:type="dxa"/>
            <w:vAlign w:val="center"/>
          </w:tcPr>
          <w:p w14:paraId="31F4642E" w14:textId="77777777" w:rsidR="009F08E0" w:rsidRPr="00BC30CC" w:rsidRDefault="009F08E0" w:rsidP="00FA6DEA">
            <w:pPr>
              <w:spacing w:after="0"/>
              <w:jc w:val="both"/>
              <w:rPr>
                <w:rFonts w:asciiTheme="majorBidi" w:hAnsiTheme="majorBidi" w:cstheme="majorBidi"/>
              </w:rPr>
            </w:pPr>
            <w:r w:rsidRPr="00BC30CC">
              <w:rPr>
                <w:rFonts w:asciiTheme="majorBidi" w:hAnsiTheme="majorBidi" w:cstheme="majorBidi"/>
              </w:rPr>
              <w:t>Exhibitions</w:t>
            </w:r>
          </w:p>
        </w:tc>
        <w:tc>
          <w:tcPr>
            <w:tcW w:w="912" w:type="dxa"/>
            <w:vAlign w:val="center"/>
          </w:tcPr>
          <w:p w14:paraId="07B404B1" w14:textId="77777777" w:rsidR="009F08E0" w:rsidRPr="00BC30CC" w:rsidRDefault="009F08E0" w:rsidP="00BC30CC">
            <w:pPr>
              <w:bidi/>
              <w:spacing w:after="0"/>
              <w:jc w:val="center"/>
              <w:rPr>
                <w:rFonts w:asciiTheme="majorBidi" w:hAnsiTheme="majorBidi" w:cstheme="majorBidi"/>
              </w:rPr>
            </w:pPr>
            <w:r w:rsidRPr="00BC30CC">
              <w:rPr>
                <w:rFonts w:asciiTheme="majorBidi" w:hAnsiTheme="majorBidi" w:cstheme="majorBidi"/>
              </w:rPr>
              <w:t>2.0</w:t>
            </w:r>
          </w:p>
        </w:tc>
        <w:tc>
          <w:tcPr>
            <w:tcW w:w="914" w:type="dxa"/>
            <w:vAlign w:val="center"/>
          </w:tcPr>
          <w:p w14:paraId="2024B4D2" w14:textId="77777777" w:rsidR="009F08E0" w:rsidRPr="00BC30CC" w:rsidRDefault="009F08E0" w:rsidP="00BC30CC">
            <w:pPr>
              <w:spacing w:after="0"/>
              <w:jc w:val="center"/>
              <w:rPr>
                <w:rFonts w:asciiTheme="majorBidi" w:hAnsiTheme="majorBidi" w:cstheme="majorBidi"/>
              </w:rPr>
            </w:pPr>
            <w:r w:rsidRPr="00BC30CC">
              <w:rPr>
                <w:rFonts w:asciiTheme="majorBidi" w:hAnsiTheme="majorBidi" w:cstheme="majorBidi"/>
              </w:rPr>
              <w:t>2.4</w:t>
            </w:r>
          </w:p>
        </w:tc>
        <w:tc>
          <w:tcPr>
            <w:tcW w:w="877" w:type="dxa"/>
            <w:vAlign w:val="center"/>
          </w:tcPr>
          <w:p w14:paraId="3B39B0CF" w14:textId="77777777" w:rsidR="009F08E0" w:rsidRPr="00BC30CC" w:rsidRDefault="009F08E0" w:rsidP="00BC30CC">
            <w:pPr>
              <w:spacing w:after="0"/>
              <w:jc w:val="center"/>
              <w:rPr>
                <w:rFonts w:asciiTheme="majorBidi" w:hAnsiTheme="majorBidi" w:cstheme="majorBidi"/>
              </w:rPr>
            </w:pPr>
            <w:r w:rsidRPr="00BC30CC">
              <w:rPr>
                <w:rFonts w:asciiTheme="majorBidi" w:hAnsiTheme="majorBidi" w:cstheme="majorBidi"/>
              </w:rPr>
              <w:t>1.4</w:t>
            </w:r>
          </w:p>
        </w:tc>
        <w:tc>
          <w:tcPr>
            <w:tcW w:w="949" w:type="dxa"/>
            <w:vAlign w:val="center"/>
          </w:tcPr>
          <w:p w14:paraId="2F40CAD8" w14:textId="77777777" w:rsidR="009F08E0" w:rsidRPr="00BC30CC" w:rsidRDefault="009F08E0" w:rsidP="00BC30CC">
            <w:pPr>
              <w:spacing w:after="0"/>
              <w:jc w:val="center"/>
              <w:rPr>
                <w:rFonts w:asciiTheme="majorBidi" w:hAnsiTheme="majorBidi" w:cstheme="majorBidi"/>
              </w:rPr>
            </w:pPr>
            <w:r w:rsidRPr="00BC30CC">
              <w:rPr>
                <w:rFonts w:asciiTheme="majorBidi" w:hAnsiTheme="majorBidi" w:cstheme="majorBidi"/>
              </w:rPr>
              <w:t>1.7</w:t>
            </w:r>
          </w:p>
        </w:tc>
        <w:tc>
          <w:tcPr>
            <w:tcW w:w="912" w:type="dxa"/>
            <w:vAlign w:val="center"/>
          </w:tcPr>
          <w:p w14:paraId="63B28B8C" w14:textId="77777777" w:rsidR="009F08E0" w:rsidRPr="00BC30CC" w:rsidRDefault="00360831" w:rsidP="00BC30CC">
            <w:pPr>
              <w:spacing w:after="0"/>
              <w:jc w:val="center"/>
              <w:rPr>
                <w:rFonts w:asciiTheme="majorBidi" w:hAnsiTheme="majorBidi" w:cstheme="majorBidi"/>
              </w:rPr>
            </w:pPr>
            <w:r w:rsidRPr="00BC30CC">
              <w:rPr>
                <w:rFonts w:asciiTheme="majorBidi" w:hAnsiTheme="majorBidi" w:cstheme="majorBidi"/>
              </w:rPr>
              <w:t>2.2</w:t>
            </w:r>
          </w:p>
        </w:tc>
      </w:tr>
      <w:tr w:rsidR="009F08E0" w:rsidRPr="00BC30CC" w14:paraId="4A8AA203" w14:textId="77777777" w:rsidTr="00FA6DEA">
        <w:trPr>
          <w:trHeight w:hRule="exact" w:val="326"/>
          <w:jc w:val="center"/>
        </w:trPr>
        <w:tc>
          <w:tcPr>
            <w:tcW w:w="1812" w:type="dxa"/>
            <w:vAlign w:val="center"/>
          </w:tcPr>
          <w:p w14:paraId="48BD8B71" w14:textId="77777777" w:rsidR="009F08E0" w:rsidRPr="00BC30CC" w:rsidRDefault="009F08E0" w:rsidP="00FA6DEA">
            <w:pPr>
              <w:spacing w:after="0"/>
              <w:jc w:val="both"/>
              <w:rPr>
                <w:rFonts w:asciiTheme="majorBidi" w:hAnsiTheme="majorBidi" w:cstheme="majorBidi"/>
                <w:b/>
                <w:bCs/>
                <w:rtl/>
              </w:rPr>
            </w:pPr>
            <w:r w:rsidRPr="00BC30CC">
              <w:rPr>
                <w:rFonts w:asciiTheme="majorBidi" w:hAnsiTheme="majorBidi" w:cstheme="majorBidi"/>
                <w:b/>
                <w:bCs/>
              </w:rPr>
              <w:t>Total (%)</w:t>
            </w:r>
          </w:p>
        </w:tc>
        <w:tc>
          <w:tcPr>
            <w:tcW w:w="912" w:type="dxa"/>
            <w:vAlign w:val="center"/>
          </w:tcPr>
          <w:p w14:paraId="2A9B3F33" w14:textId="77777777" w:rsidR="009F08E0" w:rsidRPr="00BC30CC" w:rsidRDefault="009F08E0" w:rsidP="00BC30CC">
            <w:pPr>
              <w:bidi/>
              <w:spacing w:after="0"/>
              <w:jc w:val="center"/>
              <w:rPr>
                <w:rFonts w:asciiTheme="majorBidi" w:hAnsiTheme="majorBidi" w:cstheme="majorBidi"/>
                <w:b/>
                <w:bCs/>
              </w:rPr>
            </w:pPr>
            <w:r w:rsidRPr="00BC30CC">
              <w:rPr>
                <w:rFonts w:asciiTheme="majorBidi" w:hAnsiTheme="majorBidi" w:cstheme="majorBidi"/>
                <w:b/>
                <w:bCs/>
              </w:rPr>
              <w:t>100</w:t>
            </w:r>
          </w:p>
        </w:tc>
        <w:tc>
          <w:tcPr>
            <w:tcW w:w="914" w:type="dxa"/>
            <w:vAlign w:val="center"/>
          </w:tcPr>
          <w:p w14:paraId="20D45681" w14:textId="77777777" w:rsidR="009F08E0" w:rsidRPr="00BC30CC" w:rsidRDefault="009F08E0" w:rsidP="00BC30CC">
            <w:pPr>
              <w:spacing w:after="0"/>
              <w:jc w:val="center"/>
              <w:rPr>
                <w:rFonts w:asciiTheme="majorBidi" w:hAnsiTheme="majorBidi" w:cstheme="majorBidi"/>
                <w:b/>
                <w:bCs/>
              </w:rPr>
            </w:pPr>
            <w:r w:rsidRPr="00BC30CC">
              <w:rPr>
                <w:rFonts w:asciiTheme="majorBidi" w:hAnsiTheme="majorBidi" w:cstheme="majorBidi"/>
                <w:b/>
                <w:bCs/>
              </w:rPr>
              <w:t>100</w:t>
            </w:r>
          </w:p>
        </w:tc>
        <w:tc>
          <w:tcPr>
            <w:tcW w:w="877" w:type="dxa"/>
            <w:vAlign w:val="center"/>
          </w:tcPr>
          <w:p w14:paraId="0D075793" w14:textId="77777777" w:rsidR="009F08E0" w:rsidRPr="00BC30CC" w:rsidRDefault="009F08E0" w:rsidP="00BC30CC">
            <w:pPr>
              <w:spacing w:after="0"/>
              <w:jc w:val="center"/>
              <w:rPr>
                <w:rFonts w:asciiTheme="majorBidi" w:hAnsiTheme="majorBidi" w:cstheme="majorBidi"/>
                <w:b/>
                <w:bCs/>
              </w:rPr>
            </w:pPr>
            <w:r w:rsidRPr="00BC30CC">
              <w:rPr>
                <w:rFonts w:asciiTheme="majorBidi" w:hAnsiTheme="majorBidi" w:cstheme="majorBidi"/>
                <w:b/>
                <w:bCs/>
              </w:rPr>
              <w:t>100</w:t>
            </w:r>
          </w:p>
        </w:tc>
        <w:tc>
          <w:tcPr>
            <w:tcW w:w="949" w:type="dxa"/>
            <w:vAlign w:val="center"/>
          </w:tcPr>
          <w:p w14:paraId="6DB76B88" w14:textId="77777777" w:rsidR="009F08E0" w:rsidRPr="00BC30CC" w:rsidRDefault="009F08E0" w:rsidP="00BC30CC">
            <w:pPr>
              <w:spacing w:after="0"/>
              <w:jc w:val="center"/>
              <w:rPr>
                <w:rFonts w:asciiTheme="majorBidi" w:hAnsiTheme="majorBidi" w:cstheme="majorBidi"/>
                <w:b/>
                <w:bCs/>
              </w:rPr>
            </w:pPr>
            <w:r w:rsidRPr="00BC30CC">
              <w:rPr>
                <w:rFonts w:asciiTheme="majorBidi" w:hAnsiTheme="majorBidi" w:cstheme="majorBidi"/>
                <w:b/>
                <w:bCs/>
              </w:rPr>
              <w:t>100</w:t>
            </w:r>
          </w:p>
        </w:tc>
        <w:tc>
          <w:tcPr>
            <w:tcW w:w="912" w:type="dxa"/>
            <w:vAlign w:val="center"/>
          </w:tcPr>
          <w:p w14:paraId="30A52509" w14:textId="77777777" w:rsidR="009F08E0" w:rsidRPr="00BC30CC" w:rsidRDefault="00360831" w:rsidP="00BC30CC">
            <w:pPr>
              <w:spacing w:after="0"/>
              <w:jc w:val="center"/>
              <w:rPr>
                <w:rFonts w:asciiTheme="majorBidi" w:hAnsiTheme="majorBidi" w:cstheme="majorBidi"/>
                <w:b/>
                <w:bCs/>
              </w:rPr>
            </w:pPr>
            <w:r w:rsidRPr="00BC30CC">
              <w:rPr>
                <w:rFonts w:asciiTheme="majorBidi" w:hAnsiTheme="majorBidi" w:cstheme="majorBidi"/>
                <w:b/>
                <w:bCs/>
              </w:rPr>
              <w:t>100</w:t>
            </w:r>
          </w:p>
        </w:tc>
      </w:tr>
      <w:tr w:rsidR="009F08E0" w:rsidRPr="00BC30CC" w14:paraId="143D5DEF" w14:textId="77777777" w:rsidTr="00FA6DEA">
        <w:trPr>
          <w:trHeight w:hRule="exact" w:val="502"/>
          <w:jc w:val="center"/>
        </w:trPr>
        <w:tc>
          <w:tcPr>
            <w:tcW w:w="1812" w:type="dxa"/>
            <w:vAlign w:val="center"/>
          </w:tcPr>
          <w:p w14:paraId="43761B77" w14:textId="77777777" w:rsidR="009F08E0" w:rsidRPr="00BC30CC" w:rsidRDefault="009F08E0" w:rsidP="00FA6DEA">
            <w:pPr>
              <w:spacing w:after="0"/>
              <w:jc w:val="both"/>
              <w:rPr>
                <w:rFonts w:asciiTheme="majorBidi" w:hAnsiTheme="majorBidi" w:cstheme="majorBidi"/>
                <w:b/>
                <w:bCs/>
                <w:rtl/>
              </w:rPr>
            </w:pPr>
            <w:r w:rsidRPr="00BC30CC">
              <w:rPr>
                <w:rFonts w:asciiTheme="majorBidi" w:hAnsiTheme="majorBidi" w:cstheme="majorBidi"/>
                <w:b/>
                <w:bCs/>
              </w:rPr>
              <w:t>Total  (Number)</w:t>
            </w:r>
          </w:p>
        </w:tc>
        <w:tc>
          <w:tcPr>
            <w:tcW w:w="912" w:type="dxa"/>
            <w:vAlign w:val="center"/>
          </w:tcPr>
          <w:p w14:paraId="25087DEC" w14:textId="77777777" w:rsidR="009F08E0" w:rsidRPr="00BC30CC" w:rsidRDefault="009F08E0" w:rsidP="00BC30CC">
            <w:pPr>
              <w:bidi/>
              <w:spacing w:after="0"/>
              <w:jc w:val="center"/>
              <w:rPr>
                <w:rFonts w:asciiTheme="majorBidi" w:hAnsiTheme="majorBidi" w:cstheme="majorBidi"/>
                <w:b/>
                <w:bCs/>
              </w:rPr>
            </w:pPr>
            <w:r w:rsidRPr="00BC30CC">
              <w:rPr>
                <w:rFonts w:asciiTheme="majorBidi" w:hAnsiTheme="majorBidi" w:cstheme="majorBidi"/>
                <w:b/>
                <w:bCs/>
              </w:rPr>
              <w:t>9,534</w:t>
            </w:r>
          </w:p>
        </w:tc>
        <w:tc>
          <w:tcPr>
            <w:tcW w:w="914" w:type="dxa"/>
            <w:vAlign w:val="center"/>
          </w:tcPr>
          <w:p w14:paraId="51D38A78" w14:textId="77777777" w:rsidR="009F08E0" w:rsidRPr="00BC30CC" w:rsidRDefault="009F08E0" w:rsidP="00BC30CC">
            <w:pPr>
              <w:spacing w:after="0"/>
              <w:jc w:val="center"/>
              <w:rPr>
                <w:rFonts w:asciiTheme="majorBidi" w:hAnsiTheme="majorBidi" w:cstheme="majorBidi"/>
                <w:b/>
                <w:bCs/>
              </w:rPr>
            </w:pPr>
            <w:r w:rsidRPr="00BC30CC">
              <w:rPr>
                <w:rFonts w:asciiTheme="majorBidi" w:hAnsiTheme="majorBidi" w:cstheme="majorBidi"/>
                <w:b/>
                <w:bCs/>
              </w:rPr>
              <w:t>9,187</w:t>
            </w:r>
          </w:p>
        </w:tc>
        <w:tc>
          <w:tcPr>
            <w:tcW w:w="877" w:type="dxa"/>
            <w:vAlign w:val="center"/>
          </w:tcPr>
          <w:p w14:paraId="3B73FF3A" w14:textId="77777777" w:rsidR="009F08E0" w:rsidRPr="00BC30CC" w:rsidRDefault="009F08E0" w:rsidP="00BC30CC">
            <w:pPr>
              <w:spacing w:after="0"/>
              <w:jc w:val="center"/>
              <w:rPr>
                <w:rFonts w:asciiTheme="majorBidi" w:hAnsiTheme="majorBidi" w:cstheme="majorBidi"/>
                <w:b/>
                <w:bCs/>
              </w:rPr>
            </w:pPr>
            <w:r w:rsidRPr="00BC30CC">
              <w:rPr>
                <w:rFonts w:asciiTheme="majorBidi" w:hAnsiTheme="majorBidi" w:cstheme="majorBidi"/>
                <w:b/>
                <w:bCs/>
              </w:rPr>
              <w:t>4,738</w:t>
            </w:r>
          </w:p>
        </w:tc>
        <w:tc>
          <w:tcPr>
            <w:tcW w:w="949" w:type="dxa"/>
            <w:vAlign w:val="center"/>
          </w:tcPr>
          <w:p w14:paraId="6C13218B" w14:textId="77777777" w:rsidR="009F08E0" w:rsidRPr="00BC30CC" w:rsidRDefault="009F08E0" w:rsidP="00BC30CC">
            <w:pPr>
              <w:spacing w:after="0"/>
              <w:jc w:val="center"/>
              <w:rPr>
                <w:rFonts w:asciiTheme="majorBidi" w:hAnsiTheme="majorBidi" w:cstheme="majorBidi"/>
                <w:b/>
                <w:bCs/>
              </w:rPr>
            </w:pPr>
            <w:r w:rsidRPr="00BC30CC">
              <w:rPr>
                <w:rFonts w:asciiTheme="majorBidi" w:hAnsiTheme="majorBidi" w:cstheme="majorBidi"/>
                <w:b/>
                <w:bCs/>
              </w:rPr>
              <w:t>7,291</w:t>
            </w:r>
          </w:p>
        </w:tc>
        <w:tc>
          <w:tcPr>
            <w:tcW w:w="912" w:type="dxa"/>
            <w:vAlign w:val="center"/>
          </w:tcPr>
          <w:p w14:paraId="34FACAA8" w14:textId="77777777" w:rsidR="009F08E0" w:rsidRPr="00BC30CC" w:rsidRDefault="00360831" w:rsidP="00BC30CC">
            <w:pPr>
              <w:spacing w:after="0"/>
              <w:jc w:val="center"/>
              <w:rPr>
                <w:rFonts w:asciiTheme="majorBidi" w:hAnsiTheme="majorBidi" w:cstheme="majorBidi"/>
                <w:b/>
                <w:bCs/>
              </w:rPr>
            </w:pPr>
            <w:r w:rsidRPr="00BC30CC">
              <w:rPr>
                <w:rFonts w:asciiTheme="majorBidi" w:hAnsiTheme="majorBidi" w:cstheme="majorBidi"/>
                <w:b/>
                <w:bCs/>
              </w:rPr>
              <w:t>7,601</w:t>
            </w:r>
          </w:p>
        </w:tc>
      </w:tr>
    </w:tbl>
    <w:p w14:paraId="2F547FB0" w14:textId="77777777" w:rsidR="00CB3B11" w:rsidRPr="00BC30CC" w:rsidRDefault="00CB3B11" w:rsidP="0057263C">
      <w:pPr>
        <w:spacing w:line="240" w:lineRule="auto"/>
        <w:jc w:val="both"/>
        <w:rPr>
          <w:rFonts w:asciiTheme="majorBidi" w:hAnsiTheme="majorBidi" w:cstheme="majorBidi"/>
          <w:b/>
          <w:bCs/>
          <w:color w:val="FF0000"/>
          <w:sz w:val="2"/>
          <w:szCs w:val="2"/>
        </w:rPr>
      </w:pPr>
    </w:p>
    <w:p w14:paraId="15242052" w14:textId="77777777" w:rsidR="00FA6DEA" w:rsidRDefault="00FA6DEA" w:rsidP="00CB3B11">
      <w:pPr>
        <w:spacing w:after="0" w:line="240" w:lineRule="auto"/>
        <w:jc w:val="both"/>
        <w:rPr>
          <w:rFonts w:asciiTheme="majorBidi" w:hAnsiTheme="majorBidi" w:cstheme="majorBidi"/>
          <w:b/>
          <w:bCs/>
          <w:sz w:val="26"/>
          <w:szCs w:val="26"/>
        </w:rPr>
      </w:pPr>
    </w:p>
    <w:p w14:paraId="0304BECC" w14:textId="77777777" w:rsidR="00FA6DEA" w:rsidRDefault="00FA6DEA" w:rsidP="00CB3B11">
      <w:pPr>
        <w:spacing w:after="0" w:line="240" w:lineRule="auto"/>
        <w:jc w:val="both"/>
        <w:rPr>
          <w:rFonts w:asciiTheme="majorBidi" w:hAnsiTheme="majorBidi" w:cstheme="majorBidi"/>
          <w:b/>
          <w:bCs/>
          <w:sz w:val="26"/>
          <w:szCs w:val="26"/>
        </w:rPr>
      </w:pPr>
    </w:p>
    <w:p w14:paraId="34667271" w14:textId="77777777" w:rsidR="00FA6DEA" w:rsidRDefault="00FA6DEA" w:rsidP="00CB3B11">
      <w:pPr>
        <w:spacing w:after="0" w:line="240" w:lineRule="auto"/>
        <w:jc w:val="both"/>
        <w:rPr>
          <w:rFonts w:asciiTheme="majorBidi" w:hAnsiTheme="majorBidi" w:cstheme="majorBidi"/>
          <w:b/>
          <w:bCs/>
          <w:sz w:val="26"/>
          <w:szCs w:val="26"/>
        </w:rPr>
      </w:pPr>
    </w:p>
    <w:p w14:paraId="0789C310" w14:textId="77777777" w:rsidR="00FA6DEA" w:rsidRDefault="00FA6DEA" w:rsidP="00CB3B11">
      <w:pPr>
        <w:spacing w:after="0" w:line="240" w:lineRule="auto"/>
        <w:jc w:val="both"/>
        <w:rPr>
          <w:rFonts w:asciiTheme="majorBidi" w:hAnsiTheme="majorBidi" w:cstheme="majorBidi"/>
          <w:b/>
          <w:bCs/>
          <w:sz w:val="26"/>
          <w:szCs w:val="26"/>
        </w:rPr>
      </w:pPr>
    </w:p>
    <w:p w14:paraId="48ECDDEC" w14:textId="77777777" w:rsidR="00FA6DEA" w:rsidRDefault="00FA6DEA" w:rsidP="00CB3B11">
      <w:pPr>
        <w:spacing w:after="0" w:line="240" w:lineRule="auto"/>
        <w:jc w:val="both"/>
        <w:rPr>
          <w:rFonts w:asciiTheme="majorBidi" w:hAnsiTheme="majorBidi" w:cstheme="majorBidi"/>
          <w:b/>
          <w:bCs/>
          <w:sz w:val="26"/>
          <w:szCs w:val="26"/>
        </w:rPr>
      </w:pPr>
    </w:p>
    <w:p w14:paraId="45B122ED" w14:textId="035AAEB4" w:rsidR="00406518" w:rsidRPr="00FA6DEA" w:rsidRDefault="005836C3" w:rsidP="00CB3B11">
      <w:pPr>
        <w:spacing w:after="0" w:line="240" w:lineRule="auto"/>
        <w:jc w:val="both"/>
        <w:rPr>
          <w:rFonts w:asciiTheme="majorBidi" w:hAnsiTheme="majorBidi" w:cstheme="majorBidi"/>
          <w:b/>
          <w:bCs/>
          <w:sz w:val="26"/>
          <w:szCs w:val="26"/>
          <w:lang w:val="en-US"/>
        </w:rPr>
      </w:pPr>
      <w:r w:rsidRPr="00FA6DEA">
        <w:rPr>
          <w:rFonts w:asciiTheme="majorBidi" w:hAnsiTheme="majorBidi" w:cstheme="majorBidi"/>
          <w:b/>
          <w:bCs/>
          <w:sz w:val="26"/>
          <w:szCs w:val="26"/>
        </w:rPr>
        <w:t xml:space="preserve">More than half of participants </w:t>
      </w:r>
      <w:r w:rsidR="007E3B6B" w:rsidRPr="00FA6DEA">
        <w:rPr>
          <w:rFonts w:asciiTheme="majorBidi" w:hAnsiTheme="majorBidi" w:cstheme="majorBidi"/>
          <w:b/>
          <w:bCs/>
          <w:sz w:val="26"/>
          <w:szCs w:val="26"/>
        </w:rPr>
        <w:t xml:space="preserve">participated </w:t>
      </w:r>
      <w:r w:rsidR="0057263C" w:rsidRPr="00FA6DEA">
        <w:rPr>
          <w:rFonts w:asciiTheme="majorBidi" w:hAnsiTheme="majorBidi" w:cstheme="majorBidi"/>
          <w:b/>
          <w:bCs/>
          <w:sz w:val="26"/>
          <w:szCs w:val="26"/>
        </w:rPr>
        <w:t xml:space="preserve">in </w:t>
      </w:r>
      <w:r w:rsidR="007E3B6B" w:rsidRPr="00FA6DEA">
        <w:rPr>
          <w:rFonts w:asciiTheme="majorBidi" w:hAnsiTheme="majorBidi" w:cstheme="majorBidi"/>
          <w:b/>
          <w:bCs/>
          <w:sz w:val="26"/>
          <w:szCs w:val="26"/>
        </w:rPr>
        <w:t xml:space="preserve">face-to-face cultural activities </w:t>
      </w:r>
    </w:p>
    <w:p w14:paraId="3795C25A" w14:textId="44648704" w:rsidR="00417B16" w:rsidRPr="00FA6DEA" w:rsidRDefault="00406518" w:rsidP="00CB3B11">
      <w:pPr>
        <w:spacing w:after="0" w:line="240" w:lineRule="auto"/>
        <w:jc w:val="both"/>
        <w:rPr>
          <w:rFonts w:asciiTheme="majorBidi" w:hAnsiTheme="majorBidi" w:cstheme="majorBidi"/>
          <w:color w:val="FF0000"/>
          <w:sz w:val="26"/>
          <w:szCs w:val="26"/>
        </w:rPr>
      </w:pPr>
      <w:r w:rsidRPr="00FA6DEA">
        <w:rPr>
          <w:rFonts w:asciiTheme="majorBidi" w:hAnsiTheme="majorBidi" w:cstheme="majorBidi"/>
          <w:sz w:val="26"/>
          <w:szCs w:val="26"/>
        </w:rPr>
        <w:t xml:space="preserve">In </w:t>
      </w:r>
      <w:r w:rsidR="00183950" w:rsidRPr="00FA6DEA">
        <w:rPr>
          <w:rFonts w:asciiTheme="majorBidi" w:hAnsiTheme="majorBidi" w:cstheme="majorBidi"/>
          <w:sz w:val="26"/>
          <w:szCs w:val="26"/>
        </w:rPr>
        <w:t>2022</w:t>
      </w:r>
      <w:r w:rsidRPr="00FA6DEA">
        <w:rPr>
          <w:rFonts w:asciiTheme="majorBidi" w:hAnsiTheme="majorBidi" w:cstheme="majorBidi"/>
          <w:sz w:val="26"/>
          <w:szCs w:val="26"/>
        </w:rPr>
        <w:t xml:space="preserve">, about </w:t>
      </w:r>
      <w:r w:rsidR="00183950" w:rsidRPr="00FA6DEA">
        <w:rPr>
          <w:rFonts w:asciiTheme="majorBidi" w:hAnsiTheme="majorBidi" w:cstheme="majorBidi"/>
          <w:sz w:val="26"/>
          <w:szCs w:val="26"/>
        </w:rPr>
        <w:t>588</w:t>
      </w:r>
      <w:r w:rsidRPr="00FA6DEA">
        <w:rPr>
          <w:rFonts w:asciiTheme="majorBidi" w:hAnsiTheme="majorBidi" w:cstheme="majorBidi"/>
          <w:sz w:val="26"/>
          <w:szCs w:val="26"/>
        </w:rPr>
        <w:t xml:space="preserve"> thousand persons participated in the cultural activities of the </w:t>
      </w:r>
      <w:r w:rsidR="007E3B6B" w:rsidRPr="00FA6DEA">
        <w:rPr>
          <w:rFonts w:asciiTheme="majorBidi" w:hAnsiTheme="majorBidi" w:cstheme="majorBidi"/>
          <w:sz w:val="26"/>
          <w:szCs w:val="26"/>
        </w:rPr>
        <w:t xml:space="preserve">respondent </w:t>
      </w:r>
      <w:r w:rsidRPr="00FA6DEA">
        <w:rPr>
          <w:rFonts w:asciiTheme="majorBidi" w:hAnsiTheme="majorBidi" w:cstheme="majorBidi"/>
          <w:sz w:val="26"/>
          <w:szCs w:val="26"/>
        </w:rPr>
        <w:t>operating cultural centres</w:t>
      </w:r>
      <w:r w:rsidR="009B76DF" w:rsidRPr="00FA6DEA">
        <w:rPr>
          <w:rFonts w:asciiTheme="majorBidi" w:hAnsiTheme="majorBidi" w:cstheme="majorBidi"/>
          <w:sz w:val="26"/>
          <w:szCs w:val="26"/>
        </w:rPr>
        <w:t xml:space="preserve"> (about </w:t>
      </w:r>
      <w:r w:rsidR="00183950" w:rsidRPr="00FA6DEA">
        <w:rPr>
          <w:rFonts w:asciiTheme="majorBidi" w:hAnsiTheme="majorBidi" w:cstheme="majorBidi"/>
          <w:sz w:val="26"/>
          <w:szCs w:val="26"/>
        </w:rPr>
        <w:t>331</w:t>
      </w:r>
      <w:r w:rsidR="009B76DF" w:rsidRPr="00FA6DEA">
        <w:rPr>
          <w:rFonts w:asciiTheme="majorBidi" w:hAnsiTheme="majorBidi" w:cstheme="majorBidi"/>
          <w:sz w:val="26"/>
          <w:szCs w:val="26"/>
        </w:rPr>
        <w:t xml:space="preserve"> thousand participants participated in cultural activities held face-to-face</w:t>
      </w:r>
      <w:r w:rsidR="003B66D6" w:rsidRPr="00FA6DEA">
        <w:rPr>
          <w:rFonts w:asciiTheme="majorBidi" w:hAnsiTheme="majorBidi" w:cstheme="majorBidi"/>
          <w:sz w:val="26"/>
          <w:szCs w:val="26"/>
          <w:lang w:val="en-US"/>
        </w:rPr>
        <w:t xml:space="preserve"> (about 56%))</w:t>
      </w:r>
      <w:r w:rsidRPr="00FA6DEA">
        <w:rPr>
          <w:rFonts w:asciiTheme="majorBidi" w:hAnsiTheme="majorBidi" w:cstheme="majorBidi"/>
          <w:sz w:val="26"/>
          <w:szCs w:val="26"/>
        </w:rPr>
        <w:t xml:space="preserve">; about </w:t>
      </w:r>
      <w:r w:rsidR="00390CF0" w:rsidRPr="00FA6DEA">
        <w:rPr>
          <w:rFonts w:asciiTheme="majorBidi" w:hAnsiTheme="majorBidi" w:cstheme="majorBidi"/>
          <w:sz w:val="26"/>
          <w:szCs w:val="26"/>
        </w:rPr>
        <w:t>369</w:t>
      </w:r>
      <w:r w:rsidRPr="00FA6DEA">
        <w:rPr>
          <w:rFonts w:asciiTheme="majorBidi" w:hAnsiTheme="majorBidi" w:cstheme="majorBidi"/>
          <w:sz w:val="26"/>
          <w:szCs w:val="26"/>
        </w:rPr>
        <w:t xml:space="preserve"> thousand participants in the West Bank and </w:t>
      </w:r>
      <w:r w:rsidR="00390CF0" w:rsidRPr="00FA6DEA">
        <w:rPr>
          <w:rFonts w:asciiTheme="majorBidi" w:hAnsiTheme="majorBidi" w:cstheme="majorBidi"/>
          <w:sz w:val="26"/>
          <w:szCs w:val="26"/>
        </w:rPr>
        <w:t>219</w:t>
      </w:r>
      <w:r w:rsidRPr="00FA6DEA">
        <w:rPr>
          <w:rFonts w:asciiTheme="majorBidi" w:hAnsiTheme="majorBidi" w:cstheme="majorBidi"/>
          <w:sz w:val="26"/>
          <w:szCs w:val="26"/>
        </w:rPr>
        <w:t xml:space="preserve"> thousand participants in Gaza Strip.</w:t>
      </w:r>
      <w:r w:rsidRPr="00FA6DEA">
        <w:rPr>
          <w:rFonts w:asciiTheme="majorBidi" w:hAnsiTheme="majorBidi" w:cstheme="majorBidi"/>
          <w:color w:val="FF0000"/>
          <w:sz w:val="26"/>
          <w:szCs w:val="26"/>
        </w:rPr>
        <w:t xml:space="preserve"> </w:t>
      </w:r>
      <w:r w:rsidRPr="00FA6DEA">
        <w:rPr>
          <w:rFonts w:asciiTheme="majorBidi" w:hAnsiTheme="majorBidi" w:cstheme="majorBidi"/>
          <w:sz w:val="26"/>
          <w:szCs w:val="26"/>
        </w:rPr>
        <w:t xml:space="preserve">In </w:t>
      </w:r>
      <w:r w:rsidR="00997F97" w:rsidRPr="00FA6DEA">
        <w:rPr>
          <w:rFonts w:asciiTheme="majorBidi" w:hAnsiTheme="majorBidi" w:cstheme="majorBidi"/>
          <w:sz w:val="26"/>
          <w:szCs w:val="26"/>
        </w:rPr>
        <w:t>2021</w:t>
      </w:r>
      <w:r w:rsidRPr="00FA6DEA">
        <w:rPr>
          <w:rFonts w:asciiTheme="majorBidi" w:hAnsiTheme="majorBidi" w:cstheme="majorBidi"/>
          <w:sz w:val="26"/>
          <w:szCs w:val="26"/>
        </w:rPr>
        <w:t xml:space="preserve">, about </w:t>
      </w:r>
      <w:r w:rsidR="00997F97" w:rsidRPr="00FA6DEA">
        <w:rPr>
          <w:rFonts w:asciiTheme="majorBidi" w:hAnsiTheme="majorBidi" w:cstheme="majorBidi"/>
          <w:sz w:val="26"/>
          <w:szCs w:val="26"/>
        </w:rPr>
        <w:t>437</w:t>
      </w:r>
      <w:r w:rsidRPr="00FA6DEA">
        <w:rPr>
          <w:rFonts w:asciiTheme="majorBidi" w:hAnsiTheme="majorBidi" w:cstheme="majorBidi"/>
          <w:sz w:val="26"/>
          <w:szCs w:val="26"/>
        </w:rPr>
        <w:t xml:space="preserve"> thousand persons part</w:t>
      </w:r>
      <w:r w:rsidR="00417B16" w:rsidRPr="00FA6DEA">
        <w:rPr>
          <w:rFonts w:asciiTheme="majorBidi" w:hAnsiTheme="majorBidi" w:cstheme="majorBidi"/>
          <w:sz w:val="26"/>
          <w:szCs w:val="26"/>
        </w:rPr>
        <w:t xml:space="preserve">icipated in cultural activities, of whom about </w:t>
      </w:r>
      <w:r w:rsidR="00997F97" w:rsidRPr="00FA6DEA">
        <w:rPr>
          <w:rFonts w:asciiTheme="majorBidi" w:hAnsiTheme="majorBidi" w:cstheme="majorBidi"/>
          <w:sz w:val="26"/>
          <w:szCs w:val="26"/>
        </w:rPr>
        <w:t>209</w:t>
      </w:r>
      <w:r w:rsidR="00417B16" w:rsidRPr="00FA6DEA">
        <w:rPr>
          <w:rFonts w:asciiTheme="majorBidi" w:hAnsiTheme="majorBidi" w:cstheme="majorBidi"/>
          <w:sz w:val="26"/>
          <w:szCs w:val="26"/>
        </w:rPr>
        <w:t xml:space="preserve"> thousand participants participated in cultural activities held </w:t>
      </w:r>
      <w:r w:rsidR="00997F97" w:rsidRPr="00FA6DEA">
        <w:rPr>
          <w:rFonts w:asciiTheme="majorBidi" w:hAnsiTheme="majorBidi" w:cstheme="majorBidi"/>
          <w:sz w:val="26"/>
          <w:szCs w:val="26"/>
        </w:rPr>
        <w:t>online</w:t>
      </w:r>
      <w:r w:rsidR="00417B16" w:rsidRPr="00FA6DEA">
        <w:rPr>
          <w:rFonts w:asciiTheme="majorBidi" w:hAnsiTheme="majorBidi" w:cstheme="majorBidi"/>
          <w:color w:val="FF0000"/>
          <w:sz w:val="26"/>
          <w:szCs w:val="26"/>
        </w:rPr>
        <w:t>.</w:t>
      </w:r>
    </w:p>
    <w:p w14:paraId="6141718C" w14:textId="77777777" w:rsidR="00CB3B11" w:rsidRPr="00FA6DEA" w:rsidRDefault="00CB3B11" w:rsidP="006B4A30">
      <w:pPr>
        <w:spacing w:after="0" w:line="240" w:lineRule="auto"/>
        <w:jc w:val="center"/>
        <w:rPr>
          <w:rFonts w:asciiTheme="majorBidi" w:hAnsiTheme="majorBidi" w:cstheme="majorBidi"/>
          <w:b/>
          <w:bCs/>
          <w:sz w:val="16"/>
          <w:szCs w:val="16"/>
        </w:rPr>
      </w:pPr>
    </w:p>
    <w:p w14:paraId="074DD1E3" w14:textId="6838AC93" w:rsidR="00406518" w:rsidRPr="00FA6DEA" w:rsidRDefault="00406518" w:rsidP="006B4A30">
      <w:pPr>
        <w:spacing w:after="0" w:line="240" w:lineRule="auto"/>
        <w:jc w:val="center"/>
        <w:rPr>
          <w:rFonts w:asciiTheme="majorBidi" w:hAnsiTheme="majorBidi" w:cstheme="majorBidi"/>
          <w:b/>
          <w:bCs/>
          <w:sz w:val="26"/>
          <w:szCs w:val="26"/>
        </w:rPr>
      </w:pPr>
      <w:r w:rsidRPr="00FA6DEA">
        <w:rPr>
          <w:rFonts w:asciiTheme="majorBidi" w:hAnsiTheme="majorBidi" w:cstheme="majorBidi"/>
          <w:b/>
          <w:bCs/>
          <w:sz w:val="26"/>
          <w:szCs w:val="26"/>
        </w:rPr>
        <w:t>Distribution of Participants in Cultural Activities Held by Method of</w:t>
      </w:r>
      <w:r w:rsidR="001E5848" w:rsidRPr="00FA6DEA">
        <w:rPr>
          <w:rFonts w:asciiTheme="majorBidi" w:hAnsiTheme="majorBidi" w:cstheme="majorBidi"/>
          <w:b/>
          <w:bCs/>
          <w:sz w:val="26"/>
          <w:szCs w:val="26"/>
          <w:rtl/>
        </w:rPr>
        <w:t xml:space="preserve"> </w:t>
      </w:r>
      <w:r w:rsidRPr="00FA6DEA">
        <w:rPr>
          <w:rFonts w:asciiTheme="majorBidi" w:hAnsiTheme="majorBidi" w:cstheme="majorBidi"/>
          <w:b/>
          <w:bCs/>
          <w:sz w:val="26"/>
          <w:szCs w:val="26"/>
          <w:lang w:val="en-US"/>
        </w:rPr>
        <w:t>Holding the Activity</w:t>
      </w:r>
      <w:r w:rsidRPr="00FA6DEA">
        <w:rPr>
          <w:rFonts w:asciiTheme="majorBidi" w:hAnsiTheme="majorBidi" w:cstheme="majorBidi"/>
          <w:b/>
          <w:bCs/>
          <w:sz w:val="26"/>
          <w:szCs w:val="26"/>
        </w:rPr>
        <w:t>,</w:t>
      </w:r>
      <w:r w:rsidR="00030CF9" w:rsidRPr="00FA6DEA">
        <w:rPr>
          <w:rFonts w:asciiTheme="majorBidi" w:hAnsiTheme="majorBidi" w:cstheme="majorBidi"/>
          <w:b/>
          <w:bCs/>
          <w:sz w:val="26"/>
          <w:szCs w:val="26"/>
        </w:rPr>
        <w:t xml:space="preserve"> </w:t>
      </w:r>
      <w:r w:rsidR="006B4A30" w:rsidRPr="00FA6DEA">
        <w:rPr>
          <w:rFonts w:asciiTheme="majorBidi" w:hAnsiTheme="majorBidi" w:cstheme="majorBidi"/>
          <w:b/>
          <w:bCs/>
          <w:sz w:val="26"/>
          <w:szCs w:val="26"/>
        </w:rPr>
        <w:t>2022</w:t>
      </w:r>
    </w:p>
    <w:p w14:paraId="4F79A71D" w14:textId="77777777" w:rsidR="00406518" w:rsidRPr="00CB3B11" w:rsidRDefault="00406518" w:rsidP="00406518">
      <w:pPr>
        <w:spacing w:after="0" w:line="240" w:lineRule="auto"/>
        <w:jc w:val="center"/>
        <w:rPr>
          <w:rFonts w:asciiTheme="majorBidi" w:hAnsiTheme="majorBidi" w:cstheme="majorBidi"/>
          <w:b/>
          <w:bCs/>
          <w:color w:val="FF0000"/>
          <w:sz w:val="12"/>
          <w:szCs w:val="12"/>
        </w:rPr>
      </w:pPr>
    </w:p>
    <w:p w14:paraId="090CDF7A" w14:textId="77777777" w:rsidR="00406518" w:rsidRPr="00CB3B11" w:rsidRDefault="00406518" w:rsidP="00030CF9">
      <w:pPr>
        <w:spacing w:line="240" w:lineRule="auto"/>
        <w:jc w:val="center"/>
        <w:rPr>
          <w:rFonts w:asciiTheme="majorBidi" w:hAnsiTheme="majorBidi" w:cstheme="majorBidi"/>
          <w:b/>
          <w:bCs/>
          <w:color w:val="FF0000"/>
          <w:sz w:val="24"/>
          <w:szCs w:val="24"/>
          <w:rtl/>
        </w:rPr>
      </w:pPr>
      <w:r w:rsidRPr="00CB3B11">
        <w:rPr>
          <w:rFonts w:asciiTheme="majorBidi" w:hAnsiTheme="majorBidi" w:cstheme="majorBidi"/>
          <w:noProof/>
          <w:color w:val="FF0000"/>
          <w:sz w:val="20"/>
          <w:szCs w:val="20"/>
          <w:lang w:val="en-US" w:eastAsia="en-US"/>
        </w:rPr>
        <w:drawing>
          <wp:inline distT="0" distB="0" distL="0" distR="0" wp14:anchorId="5B6C1A91" wp14:editId="7C52D26D">
            <wp:extent cx="3067050" cy="1781175"/>
            <wp:effectExtent l="0" t="0" r="0" b="9525"/>
            <wp:docPr id="3"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AB1D231" w14:textId="28EC31A5" w:rsidR="00C53E74" w:rsidRPr="00FA6DEA" w:rsidRDefault="00406518" w:rsidP="00BC30CC">
      <w:pPr>
        <w:spacing w:after="0" w:line="240" w:lineRule="auto"/>
        <w:jc w:val="both"/>
        <w:rPr>
          <w:rFonts w:asciiTheme="majorBidi" w:hAnsiTheme="majorBidi" w:cstheme="majorBidi"/>
          <w:b/>
          <w:bCs/>
          <w:sz w:val="26"/>
          <w:szCs w:val="26"/>
          <w:lang w:val="en-US"/>
        </w:rPr>
      </w:pPr>
      <w:r w:rsidRPr="00FA6DEA">
        <w:rPr>
          <w:rFonts w:asciiTheme="majorBidi" w:hAnsiTheme="majorBidi" w:cstheme="majorBidi"/>
          <w:b/>
          <w:bCs/>
          <w:sz w:val="26"/>
          <w:szCs w:val="26"/>
        </w:rPr>
        <w:t xml:space="preserve">A </w:t>
      </w:r>
      <w:r w:rsidR="00E4713E" w:rsidRPr="00FA6DEA">
        <w:rPr>
          <w:rFonts w:asciiTheme="majorBidi" w:hAnsiTheme="majorBidi" w:cstheme="majorBidi"/>
          <w:b/>
          <w:bCs/>
          <w:sz w:val="26"/>
          <w:szCs w:val="26"/>
        </w:rPr>
        <w:t>noticeable</w:t>
      </w:r>
      <w:r w:rsidRPr="00FA6DEA">
        <w:rPr>
          <w:rFonts w:asciiTheme="majorBidi" w:hAnsiTheme="majorBidi" w:cstheme="majorBidi"/>
          <w:b/>
          <w:bCs/>
          <w:sz w:val="26"/>
          <w:szCs w:val="26"/>
        </w:rPr>
        <w:t xml:space="preserve"> </w:t>
      </w:r>
      <w:r w:rsidR="00E4713E" w:rsidRPr="00FA6DEA">
        <w:rPr>
          <w:rFonts w:asciiTheme="majorBidi" w:hAnsiTheme="majorBidi" w:cstheme="majorBidi"/>
          <w:b/>
          <w:bCs/>
          <w:sz w:val="26"/>
          <w:szCs w:val="26"/>
        </w:rPr>
        <w:t>increase</w:t>
      </w:r>
      <w:r w:rsidRPr="00FA6DEA">
        <w:rPr>
          <w:rFonts w:asciiTheme="majorBidi" w:hAnsiTheme="majorBidi" w:cstheme="majorBidi"/>
          <w:b/>
          <w:bCs/>
          <w:sz w:val="26"/>
          <w:szCs w:val="26"/>
        </w:rPr>
        <w:t xml:space="preserve"> in the number of museums visitors during </w:t>
      </w:r>
      <w:r w:rsidR="0022133B" w:rsidRPr="00FA6DEA">
        <w:rPr>
          <w:rFonts w:asciiTheme="majorBidi" w:hAnsiTheme="majorBidi" w:cstheme="majorBidi"/>
          <w:b/>
          <w:bCs/>
          <w:sz w:val="26"/>
          <w:szCs w:val="26"/>
        </w:rPr>
        <w:t>2022</w:t>
      </w:r>
      <w:r w:rsidR="000C620C" w:rsidRPr="00FA6DEA">
        <w:rPr>
          <w:rFonts w:asciiTheme="majorBidi" w:hAnsiTheme="majorBidi" w:cstheme="majorBidi"/>
          <w:b/>
          <w:bCs/>
          <w:sz w:val="26"/>
          <w:szCs w:val="26"/>
        </w:rPr>
        <w:t xml:space="preserve"> compared with 2021</w:t>
      </w:r>
    </w:p>
    <w:p w14:paraId="7356FAEB" w14:textId="21887CAA" w:rsidR="00BC30CC" w:rsidRPr="00FA6DEA" w:rsidRDefault="00406518" w:rsidP="00BC30CC">
      <w:pPr>
        <w:spacing w:after="0" w:line="240" w:lineRule="auto"/>
        <w:jc w:val="both"/>
        <w:rPr>
          <w:rFonts w:asciiTheme="majorBidi" w:hAnsiTheme="majorBidi" w:cstheme="majorBidi"/>
          <w:sz w:val="26"/>
          <w:szCs w:val="26"/>
        </w:rPr>
      </w:pPr>
      <w:r w:rsidRPr="00FA6DEA">
        <w:rPr>
          <w:rFonts w:asciiTheme="majorBidi" w:hAnsiTheme="majorBidi" w:cstheme="majorBidi"/>
          <w:sz w:val="26"/>
          <w:szCs w:val="26"/>
        </w:rPr>
        <w:t xml:space="preserve">There were </w:t>
      </w:r>
      <w:r w:rsidR="00FC3AE0" w:rsidRPr="00FA6DEA">
        <w:rPr>
          <w:rFonts w:asciiTheme="majorBidi" w:hAnsiTheme="majorBidi" w:cstheme="majorBidi"/>
          <w:sz w:val="26"/>
          <w:szCs w:val="26"/>
        </w:rPr>
        <w:t>32</w:t>
      </w:r>
      <w:r w:rsidRPr="00FA6DEA">
        <w:rPr>
          <w:rFonts w:asciiTheme="majorBidi" w:hAnsiTheme="majorBidi" w:cstheme="majorBidi"/>
          <w:sz w:val="26"/>
          <w:szCs w:val="26"/>
        </w:rPr>
        <w:t xml:space="preserve"> museums operating in Palestine in </w:t>
      </w:r>
      <w:r w:rsidR="00FC3AE0" w:rsidRPr="00FA6DEA">
        <w:rPr>
          <w:rFonts w:asciiTheme="majorBidi" w:hAnsiTheme="majorBidi" w:cstheme="majorBidi"/>
          <w:sz w:val="26"/>
          <w:szCs w:val="26"/>
        </w:rPr>
        <w:t>2022</w:t>
      </w:r>
      <w:r w:rsidRPr="00FA6DEA">
        <w:rPr>
          <w:rFonts w:asciiTheme="majorBidi" w:hAnsiTheme="majorBidi" w:cstheme="majorBidi"/>
          <w:sz w:val="26"/>
          <w:szCs w:val="26"/>
        </w:rPr>
        <w:t xml:space="preserve">: </w:t>
      </w:r>
      <w:r w:rsidR="00FC3AE0" w:rsidRPr="00FA6DEA">
        <w:rPr>
          <w:rFonts w:asciiTheme="majorBidi" w:hAnsiTheme="majorBidi" w:cstheme="majorBidi"/>
          <w:sz w:val="26"/>
          <w:szCs w:val="26"/>
        </w:rPr>
        <w:t>27</w:t>
      </w:r>
      <w:r w:rsidRPr="00FA6DEA">
        <w:rPr>
          <w:rFonts w:asciiTheme="majorBidi" w:hAnsiTheme="majorBidi" w:cstheme="majorBidi"/>
          <w:sz w:val="26"/>
          <w:szCs w:val="26"/>
        </w:rPr>
        <w:t xml:space="preserve"> museums in the West Bank (</w:t>
      </w:r>
      <w:r w:rsidR="006A0CB1" w:rsidRPr="00FA6DEA">
        <w:rPr>
          <w:rFonts w:asciiTheme="majorBidi" w:hAnsiTheme="majorBidi" w:cstheme="majorBidi"/>
          <w:sz w:val="26"/>
          <w:szCs w:val="26"/>
        </w:rPr>
        <w:t>two</w:t>
      </w:r>
      <w:r w:rsidRPr="00FA6DEA">
        <w:rPr>
          <w:rFonts w:asciiTheme="majorBidi" w:hAnsiTheme="majorBidi" w:cstheme="majorBidi"/>
          <w:sz w:val="26"/>
          <w:szCs w:val="26"/>
        </w:rPr>
        <w:t xml:space="preserve"> of them did not respond) and 5 museums in Gaza Strip. </w:t>
      </w:r>
    </w:p>
    <w:p w14:paraId="7346B842" w14:textId="7D3C0418" w:rsidR="009B76DF" w:rsidRPr="00FA6DEA" w:rsidRDefault="00ED28B3" w:rsidP="00CB3B11">
      <w:pPr>
        <w:spacing w:after="0" w:line="240" w:lineRule="auto"/>
        <w:jc w:val="both"/>
        <w:rPr>
          <w:rFonts w:asciiTheme="majorBidi" w:hAnsiTheme="majorBidi" w:cstheme="majorBidi"/>
          <w:sz w:val="26"/>
          <w:szCs w:val="26"/>
        </w:rPr>
      </w:pPr>
      <w:r w:rsidRPr="00FA6DEA">
        <w:rPr>
          <w:rFonts w:asciiTheme="majorBidi" w:hAnsiTheme="majorBidi" w:cstheme="majorBidi"/>
          <w:sz w:val="26"/>
          <w:szCs w:val="26"/>
        </w:rPr>
        <w:t>T</w:t>
      </w:r>
      <w:r w:rsidR="00406518" w:rsidRPr="00FA6DEA">
        <w:rPr>
          <w:rFonts w:asciiTheme="majorBidi" w:hAnsiTheme="majorBidi" w:cstheme="majorBidi"/>
          <w:sz w:val="26"/>
          <w:szCs w:val="26"/>
        </w:rPr>
        <w:t xml:space="preserve">he number of visitors to museums that provided data reached about </w:t>
      </w:r>
      <w:r w:rsidR="005E237B" w:rsidRPr="00FA6DEA">
        <w:rPr>
          <w:rFonts w:asciiTheme="majorBidi" w:hAnsiTheme="majorBidi" w:cstheme="majorBidi"/>
          <w:sz w:val="26"/>
          <w:szCs w:val="26"/>
        </w:rPr>
        <w:t>265</w:t>
      </w:r>
      <w:r w:rsidR="00406518" w:rsidRPr="00FA6DEA">
        <w:rPr>
          <w:rFonts w:asciiTheme="majorBidi" w:hAnsiTheme="majorBidi" w:cstheme="majorBidi"/>
          <w:sz w:val="26"/>
          <w:szCs w:val="26"/>
        </w:rPr>
        <w:t xml:space="preserve"> thousand visitors in </w:t>
      </w:r>
      <w:r w:rsidR="005E237B" w:rsidRPr="00FA6DEA">
        <w:rPr>
          <w:rFonts w:asciiTheme="majorBidi" w:hAnsiTheme="majorBidi" w:cstheme="majorBidi"/>
          <w:sz w:val="26"/>
          <w:szCs w:val="26"/>
        </w:rPr>
        <w:t>2022</w:t>
      </w:r>
      <w:r w:rsidR="00406518" w:rsidRPr="00FA6DEA">
        <w:rPr>
          <w:rFonts w:asciiTheme="majorBidi" w:hAnsiTheme="majorBidi" w:cstheme="majorBidi"/>
          <w:sz w:val="26"/>
          <w:szCs w:val="26"/>
        </w:rPr>
        <w:t xml:space="preserve">: </w:t>
      </w:r>
      <w:r w:rsidR="00977BF9" w:rsidRPr="00FA6DEA">
        <w:rPr>
          <w:rFonts w:asciiTheme="majorBidi" w:hAnsiTheme="majorBidi" w:cstheme="majorBidi"/>
          <w:sz w:val="26"/>
          <w:szCs w:val="26"/>
        </w:rPr>
        <w:t>77</w:t>
      </w:r>
      <w:r w:rsidR="00406518" w:rsidRPr="00FA6DEA">
        <w:rPr>
          <w:rFonts w:asciiTheme="majorBidi" w:hAnsiTheme="majorBidi" w:cstheme="majorBidi"/>
          <w:sz w:val="26"/>
          <w:szCs w:val="26"/>
        </w:rPr>
        <w:t xml:space="preserve">% were Palestinians and </w:t>
      </w:r>
      <w:r w:rsidR="00977BF9" w:rsidRPr="00FA6DEA">
        <w:rPr>
          <w:rFonts w:asciiTheme="majorBidi" w:hAnsiTheme="majorBidi" w:cstheme="majorBidi"/>
          <w:sz w:val="26"/>
          <w:szCs w:val="26"/>
        </w:rPr>
        <w:t>23</w:t>
      </w:r>
      <w:r w:rsidR="00406518" w:rsidRPr="00FA6DEA">
        <w:rPr>
          <w:rFonts w:asciiTheme="majorBidi" w:hAnsiTheme="majorBidi" w:cstheme="majorBidi"/>
          <w:sz w:val="26"/>
          <w:szCs w:val="26"/>
        </w:rPr>
        <w:t xml:space="preserve">% of them are from other nationalities. </w:t>
      </w:r>
      <w:r w:rsidR="00B36FE2" w:rsidRPr="00FA6DEA">
        <w:rPr>
          <w:rFonts w:asciiTheme="majorBidi" w:hAnsiTheme="majorBidi" w:cstheme="majorBidi"/>
          <w:sz w:val="26"/>
          <w:szCs w:val="26"/>
        </w:rPr>
        <w:t xml:space="preserve">In </w:t>
      </w:r>
      <w:r w:rsidR="005E237B" w:rsidRPr="00FA6DEA">
        <w:rPr>
          <w:rFonts w:asciiTheme="majorBidi" w:hAnsiTheme="majorBidi" w:cstheme="majorBidi"/>
          <w:sz w:val="26"/>
          <w:szCs w:val="26"/>
        </w:rPr>
        <w:t xml:space="preserve">2021, </w:t>
      </w:r>
      <w:r w:rsidR="00B36FE2" w:rsidRPr="00FA6DEA">
        <w:rPr>
          <w:rFonts w:asciiTheme="majorBidi" w:hAnsiTheme="majorBidi" w:cstheme="majorBidi"/>
          <w:sz w:val="26"/>
          <w:szCs w:val="26"/>
        </w:rPr>
        <w:t>2020</w:t>
      </w:r>
      <w:r w:rsidR="00846417" w:rsidRPr="00FA6DEA">
        <w:rPr>
          <w:rFonts w:asciiTheme="majorBidi" w:hAnsiTheme="majorBidi" w:cstheme="majorBidi"/>
          <w:sz w:val="26"/>
          <w:szCs w:val="26"/>
        </w:rPr>
        <w:t xml:space="preserve"> and </w:t>
      </w:r>
      <w:r w:rsidR="00B36FE2" w:rsidRPr="00FA6DEA">
        <w:rPr>
          <w:rFonts w:asciiTheme="majorBidi" w:hAnsiTheme="majorBidi" w:cstheme="majorBidi"/>
          <w:sz w:val="26"/>
          <w:szCs w:val="26"/>
        </w:rPr>
        <w:t>2019</w:t>
      </w:r>
      <w:r w:rsidR="00846417" w:rsidRPr="00FA6DEA">
        <w:rPr>
          <w:rFonts w:asciiTheme="majorBidi" w:hAnsiTheme="majorBidi" w:cstheme="majorBidi"/>
          <w:sz w:val="26"/>
          <w:szCs w:val="26"/>
        </w:rPr>
        <w:t>,</w:t>
      </w:r>
      <w:r w:rsidR="00B36FE2" w:rsidRPr="00FA6DEA">
        <w:rPr>
          <w:rFonts w:asciiTheme="majorBidi" w:hAnsiTheme="majorBidi" w:cstheme="majorBidi"/>
          <w:sz w:val="26"/>
          <w:szCs w:val="26"/>
        </w:rPr>
        <w:t xml:space="preserve"> the number of visitors to museums was about</w:t>
      </w:r>
      <w:r w:rsidR="005E237B" w:rsidRPr="00FA6DEA">
        <w:rPr>
          <w:rFonts w:asciiTheme="majorBidi" w:hAnsiTheme="majorBidi" w:cstheme="majorBidi"/>
          <w:sz w:val="26"/>
          <w:szCs w:val="26"/>
        </w:rPr>
        <w:t xml:space="preserve"> 114 thousand,</w:t>
      </w:r>
      <w:r w:rsidR="00B36FE2" w:rsidRPr="00FA6DEA">
        <w:rPr>
          <w:rFonts w:asciiTheme="majorBidi" w:hAnsiTheme="majorBidi" w:cstheme="majorBidi"/>
          <w:sz w:val="26"/>
          <w:szCs w:val="26"/>
        </w:rPr>
        <w:t xml:space="preserve"> 26 thousand and 388 thousand respectively.</w:t>
      </w:r>
      <w:r w:rsidR="00803727" w:rsidRPr="00FA6DEA">
        <w:rPr>
          <w:rFonts w:asciiTheme="majorBidi" w:hAnsiTheme="majorBidi" w:cstheme="majorBidi"/>
          <w:color w:val="FF0000"/>
          <w:sz w:val="26"/>
          <w:szCs w:val="26"/>
        </w:rPr>
        <w:t xml:space="preserve"> </w:t>
      </w:r>
      <w:r w:rsidR="00406518" w:rsidRPr="00FA6DEA">
        <w:rPr>
          <w:rFonts w:asciiTheme="majorBidi" w:hAnsiTheme="majorBidi" w:cstheme="majorBidi"/>
          <w:sz w:val="26"/>
          <w:szCs w:val="26"/>
        </w:rPr>
        <w:t xml:space="preserve">The results showed that the largest number of visitors was in </w:t>
      </w:r>
      <w:r w:rsidR="009729A1" w:rsidRPr="00FA6DEA">
        <w:rPr>
          <w:rFonts w:asciiTheme="majorBidi" w:hAnsiTheme="majorBidi" w:cstheme="majorBidi"/>
          <w:sz w:val="26"/>
          <w:szCs w:val="26"/>
        </w:rPr>
        <w:t>March</w:t>
      </w:r>
      <w:r w:rsidR="00406518" w:rsidRPr="00FA6DEA">
        <w:rPr>
          <w:rFonts w:asciiTheme="majorBidi" w:hAnsiTheme="majorBidi" w:cstheme="majorBidi"/>
          <w:sz w:val="26"/>
          <w:szCs w:val="26"/>
        </w:rPr>
        <w:t xml:space="preserve"> with about </w:t>
      </w:r>
      <w:r w:rsidR="009729A1" w:rsidRPr="00FA6DEA">
        <w:rPr>
          <w:rFonts w:asciiTheme="majorBidi" w:hAnsiTheme="majorBidi" w:cstheme="majorBidi"/>
          <w:sz w:val="26"/>
          <w:szCs w:val="26"/>
        </w:rPr>
        <w:t>31</w:t>
      </w:r>
      <w:r w:rsidR="00406518" w:rsidRPr="00FA6DEA">
        <w:rPr>
          <w:rFonts w:asciiTheme="majorBidi" w:hAnsiTheme="majorBidi" w:cstheme="majorBidi"/>
          <w:sz w:val="26"/>
          <w:szCs w:val="26"/>
        </w:rPr>
        <w:t xml:space="preserve"> thousand visitors, while the lowest number was in </w:t>
      </w:r>
      <w:r w:rsidR="009729A1" w:rsidRPr="00FA6DEA">
        <w:rPr>
          <w:rFonts w:asciiTheme="majorBidi" w:hAnsiTheme="majorBidi" w:cstheme="majorBidi"/>
          <w:sz w:val="26"/>
          <w:szCs w:val="26"/>
        </w:rPr>
        <w:t>February</w:t>
      </w:r>
      <w:r w:rsidR="00406518" w:rsidRPr="00FA6DEA">
        <w:rPr>
          <w:rFonts w:asciiTheme="majorBidi" w:hAnsiTheme="majorBidi" w:cstheme="majorBidi"/>
          <w:sz w:val="26"/>
          <w:szCs w:val="26"/>
        </w:rPr>
        <w:t xml:space="preserve"> with </w:t>
      </w:r>
      <w:r w:rsidR="009729A1" w:rsidRPr="00FA6DEA">
        <w:rPr>
          <w:rFonts w:asciiTheme="majorBidi" w:hAnsiTheme="majorBidi" w:cstheme="majorBidi"/>
          <w:sz w:val="26"/>
          <w:szCs w:val="26"/>
        </w:rPr>
        <w:t>14</w:t>
      </w:r>
      <w:r w:rsidR="002D0825" w:rsidRPr="00FA6DEA">
        <w:rPr>
          <w:rFonts w:asciiTheme="majorBidi" w:hAnsiTheme="majorBidi" w:cstheme="majorBidi"/>
          <w:sz w:val="26"/>
          <w:szCs w:val="26"/>
        </w:rPr>
        <w:t xml:space="preserve"> thousand</w:t>
      </w:r>
      <w:r w:rsidR="00406518" w:rsidRPr="00FA6DEA">
        <w:rPr>
          <w:rFonts w:asciiTheme="majorBidi" w:hAnsiTheme="majorBidi" w:cstheme="majorBidi"/>
          <w:sz w:val="26"/>
          <w:szCs w:val="26"/>
        </w:rPr>
        <w:t xml:space="preserve"> visitors.</w:t>
      </w:r>
    </w:p>
    <w:p w14:paraId="02760AD4" w14:textId="77777777" w:rsidR="00CB3B11" w:rsidRPr="00FA6DEA" w:rsidRDefault="00CB3B11" w:rsidP="00CB3B11">
      <w:pPr>
        <w:spacing w:after="0" w:line="240" w:lineRule="auto"/>
        <w:jc w:val="both"/>
        <w:rPr>
          <w:rFonts w:asciiTheme="majorBidi" w:hAnsiTheme="majorBidi" w:cstheme="majorBidi"/>
          <w:sz w:val="16"/>
          <w:szCs w:val="16"/>
        </w:rPr>
      </w:pPr>
    </w:p>
    <w:p w14:paraId="7B17AAF1" w14:textId="782990C7" w:rsidR="00406518" w:rsidRPr="00FA6DEA" w:rsidRDefault="00406518" w:rsidP="00CB3B11">
      <w:pPr>
        <w:spacing w:after="0" w:line="240" w:lineRule="exact"/>
        <w:jc w:val="lowKashida"/>
        <w:rPr>
          <w:rFonts w:asciiTheme="majorBidi" w:hAnsiTheme="majorBidi" w:cstheme="majorBidi"/>
          <w:b/>
          <w:bCs/>
          <w:sz w:val="26"/>
          <w:szCs w:val="26"/>
          <w:lang w:val="en-US"/>
        </w:rPr>
      </w:pPr>
      <w:r w:rsidRPr="00FA6DEA">
        <w:rPr>
          <w:rFonts w:asciiTheme="majorBidi" w:hAnsiTheme="majorBidi" w:cstheme="majorBidi"/>
          <w:b/>
          <w:bCs/>
          <w:sz w:val="26"/>
          <w:szCs w:val="26"/>
        </w:rPr>
        <w:t xml:space="preserve">The </w:t>
      </w:r>
      <w:r w:rsidR="00846417" w:rsidRPr="00FA6DEA">
        <w:rPr>
          <w:rFonts w:asciiTheme="majorBidi" w:hAnsiTheme="majorBidi" w:cstheme="majorBidi"/>
          <w:b/>
          <w:bCs/>
          <w:sz w:val="26"/>
          <w:szCs w:val="26"/>
        </w:rPr>
        <w:t xml:space="preserve">number of theatre plays </w:t>
      </w:r>
      <w:r w:rsidR="004B0E14" w:rsidRPr="00FA6DEA">
        <w:rPr>
          <w:rFonts w:asciiTheme="majorBidi" w:hAnsiTheme="majorBidi" w:cstheme="majorBidi"/>
          <w:b/>
          <w:bCs/>
          <w:sz w:val="26"/>
          <w:szCs w:val="26"/>
        </w:rPr>
        <w:t>dec</w:t>
      </w:r>
      <w:r w:rsidRPr="00FA6DEA">
        <w:rPr>
          <w:rFonts w:asciiTheme="majorBidi" w:hAnsiTheme="majorBidi" w:cstheme="majorBidi"/>
          <w:b/>
          <w:bCs/>
          <w:sz w:val="26"/>
          <w:szCs w:val="26"/>
        </w:rPr>
        <w:t>reased</w:t>
      </w:r>
      <w:r w:rsidR="004A1846" w:rsidRPr="00FA6DEA">
        <w:rPr>
          <w:rFonts w:asciiTheme="majorBidi" w:hAnsiTheme="majorBidi" w:cstheme="majorBidi"/>
          <w:b/>
          <w:bCs/>
          <w:sz w:val="26"/>
          <w:szCs w:val="26"/>
        </w:rPr>
        <w:t xml:space="preserve"> in </w:t>
      </w:r>
      <w:r w:rsidR="004B0E14" w:rsidRPr="00FA6DEA">
        <w:rPr>
          <w:rFonts w:asciiTheme="majorBidi" w:hAnsiTheme="majorBidi" w:cstheme="majorBidi"/>
          <w:b/>
          <w:bCs/>
          <w:sz w:val="26"/>
          <w:szCs w:val="26"/>
        </w:rPr>
        <w:t>2022</w:t>
      </w:r>
      <w:r w:rsidRPr="00FA6DEA">
        <w:rPr>
          <w:rFonts w:asciiTheme="majorBidi" w:hAnsiTheme="majorBidi" w:cstheme="majorBidi"/>
          <w:b/>
          <w:bCs/>
          <w:sz w:val="26"/>
          <w:szCs w:val="26"/>
        </w:rPr>
        <w:t xml:space="preserve"> </w:t>
      </w:r>
      <w:r w:rsidR="00846417" w:rsidRPr="00FA6DEA">
        <w:rPr>
          <w:rFonts w:asciiTheme="majorBidi" w:hAnsiTheme="majorBidi" w:cstheme="majorBidi"/>
          <w:b/>
          <w:bCs/>
          <w:sz w:val="26"/>
          <w:szCs w:val="26"/>
        </w:rPr>
        <w:t xml:space="preserve">compared </w:t>
      </w:r>
      <w:r w:rsidR="004B0E14" w:rsidRPr="00FA6DEA">
        <w:rPr>
          <w:rFonts w:asciiTheme="majorBidi" w:hAnsiTheme="majorBidi" w:cstheme="majorBidi"/>
          <w:b/>
          <w:bCs/>
          <w:sz w:val="26"/>
          <w:szCs w:val="26"/>
        </w:rPr>
        <w:t xml:space="preserve">to </w:t>
      </w:r>
      <w:r w:rsidR="00846417" w:rsidRPr="00FA6DEA">
        <w:rPr>
          <w:rFonts w:asciiTheme="majorBidi" w:hAnsiTheme="majorBidi" w:cstheme="majorBidi"/>
          <w:b/>
          <w:bCs/>
          <w:sz w:val="26"/>
          <w:szCs w:val="26"/>
        </w:rPr>
        <w:t xml:space="preserve">the </w:t>
      </w:r>
      <w:r w:rsidR="004B0E14" w:rsidRPr="00FA6DEA">
        <w:rPr>
          <w:rFonts w:asciiTheme="majorBidi" w:hAnsiTheme="majorBidi" w:cstheme="majorBidi"/>
          <w:b/>
          <w:bCs/>
          <w:sz w:val="26"/>
          <w:szCs w:val="26"/>
        </w:rPr>
        <w:t>previous year</w:t>
      </w:r>
    </w:p>
    <w:p w14:paraId="5605E034" w14:textId="77777777" w:rsidR="005D3B42" w:rsidRPr="00FA6DEA" w:rsidRDefault="00406518" w:rsidP="00CB3B11">
      <w:pPr>
        <w:spacing w:after="0" w:line="240" w:lineRule="auto"/>
        <w:jc w:val="both"/>
        <w:rPr>
          <w:rFonts w:asciiTheme="majorBidi" w:hAnsiTheme="majorBidi" w:cstheme="majorBidi"/>
          <w:sz w:val="26"/>
          <w:szCs w:val="26"/>
          <w:rtl/>
        </w:rPr>
      </w:pPr>
      <w:r w:rsidRPr="00FA6DEA">
        <w:rPr>
          <w:rFonts w:asciiTheme="majorBidi" w:hAnsiTheme="majorBidi" w:cstheme="majorBidi"/>
          <w:sz w:val="26"/>
          <w:szCs w:val="26"/>
        </w:rPr>
        <w:t xml:space="preserve">There were </w:t>
      </w:r>
      <w:r w:rsidR="00243C6C" w:rsidRPr="00FA6DEA">
        <w:rPr>
          <w:rFonts w:asciiTheme="majorBidi" w:hAnsiTheme="majorBidi" w:cstheme="majorBidi"/>
          <w:sz w:val="26"/>
          <w:szCs w:val="26"/>
        </w:rPr>
        <w:t>17</w:t>
      </w:r>
      <w:r w:rsidRPr="00FA6DEA">
        <w:rPr>
          <w:rFonts w:asciiTheme="majorBidi" w:hAnsiTheme="majorBidi" w:cstheme="majorBidi"/>
          <w:sz w:val="26"/>
          <w:szCs w:val="26"/>
        </w:rPr>
        <w:t xml:space="preserve"> operating theatres in Palestine: </w:t>
      </w:r>
      <w:r w:rsidR="00243C6C" w:rsidRPr="00FA6DEA">
        <w:rPr>
          <w:rFonts w:asciiTheme="majorBidi" w:hAnsiTheme="majorBidi" w:cstheme="majorBidi"/>
          <w:sz w:val="26"/>
          <w:szCs w:val="26"/>
        </w:rPr>
        <w:t>14</w:t>
      </w:r>
      <w:r w:rsidRPr="00FA6DEA">
        <w:rPr>
          <w:rFonts w:asciiTheme="majorBidi" w:hAnsiTheme="majorBidi" w:cstheme="majorBidi"/>
          <w:sz w:val="26"/>
          <w:szCs w:val="26"/>
        </w:rPr>
        <w:t xml:space="preserve"> in the West Bank (</w:t>
      </w:r>
      <w:r w:rsidR="00F73A27" w:rsidRPr="00FA6DEA">
        <w:rPr>
          <w:rFonts w:asciiTheme="majorBidi" w:hAnsiTheme="majorBidi" w:cstheme="majorBidi"/>
          <w:sz w:val="26"/>
          <w:szCs w:val="26"/>
        </w:rPr>
        <w:t>two</w:t>
      </w:r>
      <w:r w:rsidRPr="00FA6DEA">
        <w:rPr>
          <w:rFonts w:asciiTheme="majorBidi" w:hAnsiTheme="majorBidi" w:cstheme="majorBidi"/>
          <w:sz w:val="26"/>
          <w:szCs w:val="26"/>
        </w:rPr>
        <w:t xml:space="preserve"> of them did not respond) and 3 in Gaza Strip</w:t>
      </w:r>
      <w:r w:rsidR="00F73A27" w:rsidRPr="00FA6DEA">
        <w:rPr>
          <w:rFonts w:asciiTheme="majorBidi" w:hAnsiTheme="majorBidi" w:cstheme="majorBidi"/>
          <w:sz w:val="26"/>
          <w:szCs w:val="26"/>
        </w:rPr>
        <w:t xml:space="preserve"> </w:t>
      </w:r>
      <w:r w:rsidR="00846417" w:rsidRPr="00FA6DEA">
        <w:rPr>
          <w:rFonts w:asciiTheme="majorBidi" w:hAnsiTheme="majorBidi" w:cstheme="majorBidi"/>
          <w:sz w:val="26"/>
          <w:szCs w:val="26"/>
        </w:rPr>
        <w:t xml:space="preserve">that </w:t>
      </w:r>
      <w:r w:rsidR="00F73A27" w:rsidRPr="00FA6DEA">
        <w:rPr>
          <w:rFonts w:asciiTheme="majorBidi" w:hAnsiTheme="majorBidi" w:cstheme="majorBidi"/>
          <w:sz w:val="26"/>
          <w:szCs w:val="26"/>
        </w:rPr>
        <w:t xml:space="preserve">did not </w:t>
      </w:r>
      <w:r w:rsidR="0022133B" w:rsidRPr="00FA6DEA">
        <w:rPr>
          <w:rFonts w:asciiTheme="majorBidi" w:hAnsiTheme="majorBidi" w:cstheme="majorBidi"/>
          <w:sz w:val="26"/>
          <w:szCs w:val="26"/>
        </w:rPr>
        <w:t>practice</w:t>
      </w:r>
      <w:r w:rsidR="00F73A27" w:rsidRPr="00FA6DEA">
        <w:rPr>
          <w:rFonts w:asciiTheme="majorBidi" w:hAnsiTheme="majorBidi" w:cstheme="majorBidi"/>
          <w:sz w:val="26"/>
          <w:szCs w:val="26"/>
        </w:rPr>
        <w:t xml:space="preserve"> activities through 2022</w:t>
      </w:r>
      <w:r w:rsidRPr="00FA6DEA">
        <w:rPr>
          <w:rFonts w:asciiTheme="majorBidi" w:hAnsiTheme="majorBidi" w:cstheme="majorBidi"/>
          <w:sz w:val="26"/>
          <w:szCs w:val="26"/>
        </w:rPr>
        <w:t xml:space="preserve">. </w:t>
      </w:r>
    </w:p>
    <w:p w14:paraId="3A770016" w14:textId="77777777" w:rsidR="00221383" w:rsidRPr="00FA6DEA" w:rsidRDefault="00221383" w:rsidP="0022133B">
      <w:pPr>
        <w:spacing w:after="0" w:line="240" w:lineRule="auto"/>
        <w:jc w:val="both"/>
        <w:rPr>
          <w:rFonts w:asciiTheme="majorBidi" w:hAnsiTheme="majorBidi" w:cstheme="majorBidi"/>
          <w:sz w:val="16"/>
          <w:szCs w:val="16"/>
          <w:lang w:val="en-US"/>
        </w:rPr>
      </w:pPr>
    </w:p>
    <w:p w14:paraId="024B13A1" w14:textId="76C5CA3E" w:rsidR="00406518" w:rsidRPr="00FA6DEA" w:rsidRDefault="003D6741" w:rsidP="00846417">
      <w:pPr>
        <w:spacing w:line="240" w:lineRule="auto"/>
        <w:jc w:val="both"/>
        <w:rPr>
          <w:rFonts w:asciiTheme="majorBidi" w:hAnsiTheme="majorBidi" w:cstheme="majorBidi"/>
          <w:b/>
          <w:bCs/>
          <w:color w:val="FF0000"/>
          <w:sz w:val="26"/>
          <w:szCs w:val="26"/>
        </w:rPr>
      </w:pPr>
      <w:r w:rsidRPr="00FA6DEA">
        <w:rPr>
          <w:rFonts w:asciiTheme="majorBidi" w:hAnsiTheme="majorBidi" w:cstheme="majorBidi"/>
          <w:sz w:val="26"/>
          <w:szCs w:val="26"/>
        </w:rPr>
        <w:t>346 plays were performed in the West bank</w:t>
      </w:r>
      <w:r w:rsidR="00406518" w:rsidRPr="00FA6DEA">
        <w:rPr>
          <w:rFonts w:asciiTheme="majorBidi" w:hAnsiTheme="majorBidi" w:cstheme="majorBidi"/>
          <w:sz w:val="26"/>
          <w:szCs w:val="26"/>
        </w:rPr>
        <w:t xml:space="preserve"> in </w:t>
      </w:r>
      <w:r w:rsidRPr="00FA6DEA">
        <w:rPr>
          <w:rFonts w:asciiTheme="majorBidi" w:hAnsiTheme="majorBidi" w:cstheme="majorBidi"/>
          <w:sz w:val="26"/>
          <w:szCs w:val="26"/>
        </w:rPr>
        <w:t>2022, while no plays were performed in theatres in Gaza Strip for the same year</w:t>
      </w:r>
      <w:r w:rsidR="00406518" w:rsidRPr="00FA6DEA">
        <w:rPr>
          <w:rFonts w:asciiTheme="majorBidi" w:hAnsiTheme="majorBidi" w:cstheme="majorBidi"/>
          <w:sz w:val="26"/>
          <w:szCs w:val="26"/>
        </w:rPr>
        <w:t xml:space="preserve">; out of which </w:t>
      </w:r>
      <w:r w:rsidRPr="00FA6DEA">
        <w:rPr>
          <w:rFonts w:asciiTheme="majorBidi" w:hAnsiTheme="majorBidi" w:cstheme="majorBidi"/>
          <w:sz w:val="26"/>
          <w:szCs w:val="26"/>
        </w:rPr>
        <w:t>201</w:t>
      </w:r>
      <w:r w:rsidR="00406518" w:rsidRPr="00FA6DEA">
        <w:rPr>
          <w:rFonts w:asciiTheme="majorBidi" w:hAnsiTheme="majorBidi" w:cstheme="majorBidi"/>
          <w:sz w:val="26"/>
          <w:szCs w:val="26"/>
        </w:rPr>
        <w:t xml:space="preserve"> plays were for children, </w:t>
      </w:r>
      <w:r w:rsidRPr="00FA6DEA">
        <w:rPr>
          <w:rFonts w:asciiTheme="majorBidi" w:hAnsiTheme="majorBidi" w:cstheme="majorBidi"/>
          <w:sz w:val="26"/>
          <w:szCs w:val="26"/>
        </w:rPr>
        <w:t>84</w:t>
      </w:r>
      <w:r w:rsidR="00406518" w:rsidRPr="00FA6DEA">
        <w:rPr>
          <w:rFonts w:asciiTheme="majorBidi" w:hAnsiTheme="majorBidi" w:cstheme="majorBidi"/>
          <w:sz w:val="26"/>
          <w:szCs w:val="26"/>
        </w:rPr>
        <w:t xml:space="preserve"> plays were for adults and </w:t>
      </w:r>
      <w:r w:rsidRPr="00FA6DEA">
        <w:rPr>
          <w:rFonts w:asciiTheme="majorBidi" w:hAnsiTheme="majorBidi" w:cstheme="majorBidi"/>
          <w:sz w:val="26"/>
          <w:szCs w:val="26"/>
        </w:rPr>
        <w:t>61</w:t>
      </w:r>
      <w:r w:rsidR="00406518" w:rsidRPr="00FA6DEA">
        <w:rPr>
          <w:rFonts w:asciiTheme="majorBidi" w:hAnsiTheme="majorBidi" w:cstheme="majorBidi"/>
          <w:sz w:val="26"/>
          <w:szCs w:val="26"/>
        </w:rPr>
        <w:t xml:space="preserve"> plays were for both children and adults.</w:t>
      </w:r>
      <w:r w:rsidR="00406518" w:rsidRPr="00FA6DEA">
        <w:rPr>
          <w:rFonts w:asciiTheme="majorBidi" w:hAnsiTheme="majorBidi" w:cstheme="majorBidi"/>
          <w:color w:val="FF0000"/>
          <w:sz w:val="26"/>
          <w:szCs w:val="26"/>
        </w:rPr>
        <w:t xml:space="preserve"> </w:t>
      </w:r>
      <w:r w:rsidR="00406518" w:rsidRPr="00FA6DEA">
        <w:rPr>
          <w:rFonts w:asciiTheme="majorBidi" w:hAnsiTheme="majorBidi" w:cstheme="majorBidi"/>
          <w:sz w:val="26"/>
          <w:szCs w:val="26"/>
        </w:rPr>
        <w:t xml:space="preserve">There were about </w:t>
      </w:r>
      <w:r w:rsidR="00105D14" w:rsidRPr="00FA6DEA">
        <w:rPr>
          <w:rFonts w:asciiTheme="majorBidi" w:hAnsiTheme="majorBidi" w:cstheme="majorBidi"/>
          <w:sz w:val="26"/>
          <w:szCs w:val="26"/>
        </w:rPr>
        <w:t>43</w:t>
      </w:r>
      <w:r w:rsidR="00406518" w:rsidRPr="00FA6DEA">
        <w:rPr>
          <w:rFonts w:asciiTheme="majorBidi" w:hAnsiTheme="majorBidi" w:cstheme="majorBidi"/>
          <w:sz w:val="26"/>
          <w:szCs w:val="26"/>
        </w:rPr>
        <w:t xml:space="preserve"> thousand theatre attendees; where the highest number was in </w:t>
      </w:r>
      <w:r w:rsidR="00F749B4" w:rsidRPr="00FA6DEA">
        <w:rPr>
          <w:rFonts w:asciiTheme="majorBidi" w:hAnsiTheme="majorBidi" w:cstheme="majorBidi"/>
          <w:sz w:val="26"/>
          <w:szCs w:val="26"/>
        </w:rPr>
        <w:t>August</w:t>
      </w:r>
      <w:r w:rsidR="00406518" w:rsidRPr="00FA6DEA">
        <w:rPr>
          <w:rFonts w:asciiTheme="majorBidi" w:hAnsiTheme="majorBidi" w:cstheme="majorBidi"/>
          <w:sz w:val="26"/>
          <w:szCs w:val="26"/>
        </w:rPr>
        <w:t xml:space="preserve"> with about </w:t>
      </w:r>
      <w:r w:rsidR="00105D14" w:rsidRPr="00FA6DEA">
        <w:rPr>
          <w:rFonts w:asciiTheme="majorBidi" w:hAnsiTheme="majorBidi" w:cstheme="majorBidi"/>
          <w:sz w:val="26"/>
          <w:szCs w:val="26"/>
        </w:rPr>
        <w:t>8</w:t>
      </w:r>
      <w:r w:rsidR="00406518" w:rsidRPr="00FA6DEA">
        <w:rPr>
          <w:rFonts w:asciiTheme="majorBidi" w:hAnsiTheme="majorBidi" w:cstheme="majorBidi"/>
          <w:sz w:val="26"/>
          <w:szCs w:val="26"/>
        </w:rPr>
        <w:t xml:space="preserve"> thousand attendees, </w:t>
      </w:r>
      <w:r w:rsidR="00846417" w:rsidRPr="00FA6DEA">
        <w:rPr>
          <w:rFonts w:asciiTheme="majorBidi" w:hAnsiTheme="majorBidi" w:cstheme="majorBidi"/>
          <w:sz w:val="26"/>
          <w:szCs w:val="26"/>
        </w:rPr>
        <w:t xml:space="preserve">and </w:t>
      </w:r>
      <w:r w:rsidR="00F749B4" w:rsidRPr="00FA6DEA">
        <w:rPr>
          <w:rFonts w:asciiTheme="majorBidi" w:hAnsiTheme="majorBidi" w:cstheme="majorBidi"/>
          <w:sz w:val="26"/>
          <w:szCs w:val="26"/>
        </w:rPr>
        <w:t xml:space="preserve">the lowest number was in </w:t>
      </w:r>
      <w:r w:rsidR="00105D14" w:rsidRPr="00FA6DEA">
        <w:rPr>
          <w:rFonts w:asciiTheme="majorBidi" w:hAnsiTheme="majorBidi" w:cstheme="majorBidi"/>
          <w:sz w:val="26"/>
          <w:szCs w:val="26"/>
        </w:rPr>
        <w:t>April</w:t>
      </w:r>
      <w:r w:rsidR="00F749B4" w:rsidRPr="00FA6DEA">
        <w:rPr>
          <w:rFonts w:asciiTheme="majorBidi" w:hAnsiTheme="majorBidi" w:cstheme="majorBidi"/>
          <w:sz w:val="26"/>
          <w:szCs w:val="26"/>
        </w:rPr>
        <w:t xml:space="preserve"> with about one thousand attendees</w:t>
      </w:r>
      <w:r w:rsidR="00406518" w:rsidRPr="00FA6DEA">
        <w:rPr>
          <w:rFonts w:asciiTheme="majorBidi" w:hAnsiTheme="majorBidi" w:cstheme="majorBidi"/>
          <w:sz w:val="26"/>
          <w:szCs w:val="26"/>
        </w:rPr>
        <w:t xml:space="preserve">. In </w:t>
      </w:r>
      <w:r w:rsidR="00105D14" w:rsidRPr="00FA6DEA">
        <w:rPr>
          <w:rFonts w:asciiTheme="majorBidi" w:hAnsiTheme="majorBidi" w:cstheme="majorBidi"/>
          <w:sz w:val="26"/>
          <w:szCs w:val="26"/>
        </w:rPr>
        <w:t>2021</w:t>
      </w:r>
      <w:r w:rsidR="00846417" w:rsidRPr="00FA6DEA">
        <w:rPr>
          <w:rFonts w:asciiTheme="majorBidi" w:hAnsiTheme="majorBidi" w:cstheme="majorBidi"/>
          <w:sz w:val="26"/>
          <w:szCs w:val="26"/>
        </w:rPr>
        <w:t xml:space="preserve">, </w:t>
      </w:r>
      <w:r w:rsidR="00406518" w:rsidRPr="00FA6DEA">
        <w:rPr>
          <w:rFonts w:asciiTheme="majorBidi" w:hAnsiTheme="majorBidi" w:cstheme="majorBidi"/>
          <w:sz w:val="26"/>
          <w:szCs w:val="26"/>
        </w:rPr>
        <w:t>the number of plays performed</w:t>
      </w:r>
      <w:r w:rsidR="00F749B4" w:rsidRPr="00FA6DEA">
        <w:rPr>
          <w:rFonts w:asciiTheme="majorBidi" w:hAnsiTheme="majorBidi" w:cstheme="majorBidi"/>
          <w:sz w:val="26"/>
          <w:szCs w:val="26"/>
        </w:rPr>
        <w:t xml:space="preserve"> </w:t>
      </w:r>
      <w:r w:rsidR="00105D14" w:rsidRPr="00FA6DEA">
        <w:rPr>
          <w:rFonts w:asciiTheme="majorBidi" w:hAnsiTheme="majorBidi" w:cstheme="majorBidi"/>
          <w:sz w:val="26"/>
          <w:szCs w:val="26"/>
        </w:rPr>
        <w:t xml:space="preserve">in Palestine </w:t>
      </w:r>
      <w:r w:rsidR="00406518" w:rsidRPr="00FA6DEA">
        <w:rPr>
          <w:rFonts w:asciiTheme="majorBidi" w:hAnsiTheme="majorBidi" w:cstheme="majorBidi"/>
          <w:sz w:val="26"/>
          <w:szCs w:val="26"/>
        </w:rPr>
        <w:t xml:space="preserve">was </w:t>
      </w:r>
      <w:r w:rsidR="00105D14" w:rsidRPr="00FA6DEA">
        <w:rPr>
          <w:rFonts w:asciiTheme="majorBidi" w:hAnsiTheme="majorBidi" w:cstheme="majorBidi"/>
          <w:sz w:val="26"/>
          <w:szCs w:val="26"/>
        </w:rPr>
        <w:t>370</w:t>
      </w:r>
      <w:r w:rsidR="00406518" w:rsidRPr="00FA6DEA">
        <w:rPr>
          <w:rFonts w:asciiTheme="majorBidi" w:hAnsiTheme="majorBidi" w:cstheme="majorBidi"/>
          <w:sz w:val="26"/>
          <w:szCs w:val="26"/>
        </w:rPr>
        <w:t xml:space="preserve"> plays and the number of theatre attendees was about </w:t>
      </w:r>
      <w:r w:rsidR="00105D14" w:rsidRPr="00FA6DEA">
        <w:rPr>
          <w:rFonts w:asciiTheme="majorBidi" w:hAnsiTheme="majorBidi" w:cstheme="majorBidi"/>
          <w:sz w:val="26"/>
          <w:szCs w:val="26"/>
        </w:rPr>
        <w:t>33</w:t>
      </w:r>
      <w:r w:rsidR="00406518" w:rsidRPr="00FA6DEA">
        <w:rPr>
          <w:rFonts w:asciiTheme="majorBidi" w:hAnsiTheme="majorBidi" w:cstheme="majorBidi"/>
          <w:sz w:val="26"/>
          <w:szCs w:val="26"/>
        </w:rPr>
        <w:t xml:space="preserve"> thousand.</w:t>
      </w:r>
      <w:r w:rsidR="00F749B4" w:rsidRPr="00FA6DEA">
        <w:rPr>
          <w:rFonts w:asciiTheme="majorBidi" w:hAnsiTheme="majorBidi" w:cstheme="majorBidi"/>
          <w:b/>
          <w:bCs/>
          <w:color w:val="FF0000"/>
          <w:sz w:val="26"/>
          <w:szCs w:val="26"/>
        </w:rPr>
        <w:t xml:space="preserve"> </w:t>
      </w:r>
    </w:p>
    <w:p w14:paraId="153CAD7B" w14:textId="77777777" w:rsidR="00406518" w:rsidRPr="00FA6DEA" w:rsidRDefault="00406518" w:rsidP="00CB3B11">
      <w:pPr>
        <w:spacing w:after="0" w:line="240" w:lineRule="auto"/>
        <w:jc w:val="both"/>
        <w:rPr>
          <w:rFonts w:asciiTheme="majorBidi" w:hAnsiTheme="majorBidi" w:cstheme="majorBidi"/>
          <w:b/>
          <w:bCs/>
          <w:sz w:val="26"/>
          <w:szCs w:val="26"/>
        </w:rPr>
      </w:pPr>
      <w:r w:rsidRPr="00FA6DEA">
        <w:rPr>
          <w:rFonts w:asciiTheme="majorBidi" w:hAnsiTheme="majorBidi" w:cstheme="majorBidi"/>
          <w:b/>
          <w:bCs/>
          <w:sz w:val="26"/>
          <w:szCs w:val="26"/>
        </w:rPr>
        <w:t xml:space="preserve">Contribution of Ministry of Culture in Supporting Cultural Activities in </w:t>
      </w:r>
      <w:r w:rsidR="0036510D" w:rsidRPr="00FA6DEA">
        <w:rPr>
          <w:rFonts w:asciiTheme="majorBidi" w:hAnsiTheme="majorBidi" w:cstheme="majorBidi"/>
          <w:b/>
          <w:bCs/>
          <w:sz w:val="26"/>
          <w:szCs w:val="26"/>
        </w:rPr>
        <w:t>2022</w:t>
      </w:r>
    </w:p>
    <w:p w14:paraId="3E5AEEFE" w14:textId="706E8CB8" w:rsidR="00BC30CC" w:rsidRPr="00FA6DEA" w:rsidRDefault="005B4DCE" w:rsidP="00BC30CC">
      <w:pPr>
        <w:spacing w:after="0" w:line="240" w:lineRule="auto"/>
        <w:jc w:val="both"/>
        <w:rPr>
          <w:rFonts w:asciiTheme="majorBidi" w:hAnsiTheme="majorBidi" w:cstheme="majorBidi"/>
          <w:sz w:val="26"/>
          <w:szCs w:val="26"/>
        </w:rPr>
      </w:pPr>
      <w:r w:rsidRPr="00FA6DEA">
        <w:rPr>
          <w:rFonts w:asciiTheme="majorBidi" w:hAnsiTheme="majorBidi" w:cstheme="majorBidi"/>
          <w:sz w:val="26"/>
          <w:szCs w:val="26"/>
        </w:rPr>
        <w:t>During 2022, the Ministry of Culture launched the "Wiki Palestine" program and the "Memory Code" to preserve and document the Palestinian narration, through digital content, and the "Memory Code" is</w:t>
      </w:r>
      <w:r w:rsidR="00846417" w:rsidRPr="00FA6DEA">
        <w:rPr>
          <w:rFonts w:asciiTheme="majorBidi" w:hAnsiTheme="majorBidi" w:cstheme="majorBidi"/>
          <w:sz w:val="26"/>
          <w:szCs w:val="26"/>
        </w:rPr>
        <w:t xml:space="preserve"> about </w:t>
      </w:r>
      <w:r w:rsidRPr="00FA6DEA">
        <w:rPr>
          <w:rFonts w:asciiTheme="majorBidi" w:hAnsiTheme="majorBidi" w:cstheme="majorBidi"/>
          <w:sz w:val="26"/>
          <w:szCs w:val="26"/>
        </w:rPr>
        <w:t>films carved on stone of Palestinian personalities and events. 25 editors were trained in this field.</w:t>
      </w:r>
    </w:p>
    <w:p w14:paraId="5C195724" w14:textId="77777777" w:rsidR="00BC30CC" w:rsidRPr="00FA6DEA" w:rsidRDefault="00BC30CC" w:rsidP="00BC30CC">
      <w:pPr>
        <w:spacing w:after="0" w:line="240" w:lineRule="auto"/>
        <w:jc w:val="both"/>
        <w:rPr>
          <w:rFonts w:asciiTheme="majorBidi" w:hAnsiTheme="majorBidi" w:cstheme="majorBidi"/>
          <w:sz w:val="16"/>
          <w:szCs w:val="16"/>
        </w:rPr>
      </w:pPr>
    </w:p>
    <w:p w14:paraId="2C8076A2" w14:textId="5B3FFF5A" w:rsidR="00BC30CC" w:rsidRPr="00FA6DEA" w:rsidRDefault="005B4DCE" w:rsidP="00BC30CC">
      <w:pPr>
        <w:spacing w:line="240" w:lineRule="auto"/>
        <w:jc w:val="both"/>
        <w:rPr>
          <w:rFonts w:asciiTheme="majorBidi" w:hAnsiTheme="majorBidi" w:cstheme="majorBidi"/>
          <w:sz w:val="26"/>
          <w:szCs w:val="26"/>
          <w:lang w:val="en-US"/>
        </w:rPr>
      </w:pPr>
      <w:r w:rsidRPr="00FA6DEA">
        <w:rPr>
          <w:rFonts w:asciiTheme="majorBidi" w:hAnsiTheme="majorBidi" w:cstheme="majorBidi"/>
          <w:sz w:val="26"/>
          <w:szCs w:val="26"/>
        </w:rPr>
        <w:t xml:space="preserve">In 2022, there was </w:t>
      </w:r>
      <w:r w:rsidRPr="00FA6DEA">
        <w:rPr>
          <w:rFonts w:asciiTheme="majorBidi" w:hAnsiTheme="majorBidi" w:cstheme="majorBidi"/>
          <w:sz w:val="26"/>
          <w:szCs w:val="26"/>
          <w:rtl/>
        </w:rPr>
        <w:t>8</w:t>
      </w:r>
      <w:r w:rsidRPr="00FA6DEA">
        <w:rPr>
          <w:rFonts w:asciiTheme="majorBidi" w:hAnsiTheme="majorBidi" w:cstheme="majorBidi"/>
          <w:sz w:val="26"/>
          <w:szCs w:val="26"/>
        </w:rPr>
        <w:t xml:space="preserve"> awards </w:t>
      </w:r>
      <w:r w:rsidR="00846417" w:rsidRPr="00FA6DEA">
        <w:rPr>
          <w:rFonts w:asciiTheme="majorBidi" w:hAnsiTheme="majorBidi" w:cstheme="majorBidi"/>
          <w:sz w:val="26"/>
          <w:szCs w:val="26"/>
        </w:rPr>
        <w:t xml:space="preserve">that were </w:t>
      </w:r>
      <w:r w:rsidRPr="00FA6DEA">
        <w:rPr>
          <w:rFonts w:asciiTheme="majorBidi" w:hAnsiTheme="majorBidi" w:cstheme="majorBidi"/>
          <w:sz w:val="26"/>
          <w:szCs w:val="26"/>
        </w:rPr>
        <w:t>awarded for Literature, Arts and Humanities</w:t>
      </w:r>
      <w:r w:rsidR="00846417" w:rsidRPr="00FA6DEA">
        <w:rPr>
          <w:rFonts w:asciiTheme="majorBidi" w:hAnsiTheme="majorBidi" w:cstheme="majorBidi"/>
          <w:sz w:val="26"/>
          <w:szCs w:val="26"/>
        </w:rPr>
        <w:t xml:space="preserve">, where the State of Palestine gives out as appreciation and gratitude for all </w:t>
      </w:r>
      <w:r w:rsidR="00C65B30" w:rsidRPr="00FA6DEA">
        <w:rPr>
          <w:rFonts w:asciiTheme="majorBidi" w:hAnsiTheme="majorBidi" w:cstheme="majorBidi"/>
          <w:sz w:val="26"/>
          <w:szCs w:val="26"/>
        </w:rPr>
        <w:t xml:space="preserve">creative </w:t>
      </w:r>
      <w:r w:rsidR="00846417" w:rsidRPr="00FA6DEA">
        <w:rPr>
          <w:rFonts w:asciiTheme="majorBidi" w:hAnsiTheme="majorBidi" w:cstheme="majorBidi"/>
          <w:sz w:val="26"/>
          <w:szCs w:val="26"/>
        </w:rPr>
        <w:t>Palestinian</w:t>
      </w:r>
      <w:r w:rsidR="00C65B30" w:rsidRPr="00FA6DEA">
        <w:rPr>
          <w:rFonts w:asciiTheme="majorBidi" w:hAnsiTheme="majorBidi" w:cstheme="majorBidi"/>
          <w:sz w:val="26"/>
          <w:szCs w:val="26"/>
        </w:rPr>
        <w:t>s</w:t>
      </w:r>
      <w:r w:rsidR="00846417" w:rsidRPr="00FA6DEA">
        <w:rPr>
          <w:rFonts w:asciiTheme="majorBidi" w:hAnsiTheme="majorBidi" w:cstheme="majorBidi"/>
          <w:sz w:val="26"/>
          <w:szCs w:val="26"/>
        </w:rPr>
        <w:t xml:space="preserve"> </w:t>
      </w:r>
    </w:p>
    <w:p w14:paraId="03A46EAB" w14:textId="77777777" w:rsidR="00FA6DEA" w:rsidRDefault="00FA6DEA" w:rsidP="0030186C">
      <w:pPr>
        <w:spacing w:line="240" w:lineRule="auto"/>
        <w:jc w:val="both"/>
        <w:rPr>
          <w:rFonts w:asciiTheme="majorBidi" w:hAnsiTheme="majorBidi" w:cstheme="majorBidi"/>
          <w:sz w:val="26"/>
          <w:szCs w:val="26"/>
        </w:rPr>
      </w:pPr>
    </w:p>
    <w:p w14:paraId="2284FC7D" w14:textId="77777777" w:rsidR="00FA6DEA" w:rsidRDefault="00FA6DEA" w:rsidP="0030186C">
      <w:pPr>
        <w:spacing w:line="240" w:lineRule="auto"/>
        <w:jc w:val="both"/>
        <w:rPr>
          <w:rFonts w:asciiTheme="majorBidi" w:hAnsiTheme="majorBidi" w:cstheme="majorBidi"/>
          <w:sz w:val="26"/>
          <w:szCs w:val="26"/>
        </w:rPr>
      </w:pPr>
    </w:p>
    <w:p w14:paraId="058FBA51" w14:textId="148B235D" w:rsidR="00FA6DEA" w:rsidRDefault="00FA6DEA" w:rsidP="0030186C">
      <w:pPr>
        <w:spacing w:line="240" w:lineRule="auto"/>
        <w:jc w:val="both"/>
        <w:rPr>
          <w:rFonts w:asciiTheme="majorBidi" w:hAnsiTheme="majorBidi" w:cstheme="majorBidi"/>
          <w:sz w:val="26"/>
          <w:szCs w:val="26"/>
        </w:rPr>
      </w:pPr>
    </w:p>
    <w:p w14:paraId="11CCEE3A" w14:textId="36701984" w:rsidR="005B4DCE" w:rsidRPr="00FA6DEA" w:rsidRDefault="00846417" w:rsidP="0030186C">
      <w:pPr>
        <w:spacing w:line="240" w:lineRule="auto"/>
        <w:jc w:val="both"/>
        <w:rPr>
          <w:rFonts w:asciiTheme="majorBidi" w:hAnsiTheme="majorBidi" w:cstheme="majorBidi"/>
          <w:sz w:val="26"/>
          <w:szCs w:val="26"/>
          <w:rtl/>
          <w:lang w:val="en-US"/>
        </w:rPr>
      </w:pPr>
      <w:r w:rsidRPr="00FA6DEA">
        <w:rPr>
          <w:rFonts w:asciiTheme="majorBidi" w:hAnsiTheme="majorBidi" w:cstheme="majorBidi"/>
          <w:sz w:val="26"/>
          <w:szCs w:val="26"/>
        </w:rPr>
        <w:t xml:space="preserve">Also, </w:t>
      </w:r>
      <w:proofErr w:type="spellStart"/>
      <w:r w:rsidRPr="00FA6DEA">
        <w:rPr>
          <w:rFonts w:asciiTheme="majorBidi" w:hAnsiTheme="majorBidi" w:cstheme="majorBidi"/>
          <w:sz w:val="26"/>
          <w:szCs w:val="26"/>
        </w:rPr>
        <w:t>MoC</w:t>
      </w:r>
      <w:proofErr w:type="spellEnd"/>
      <w:r w:rsidRPr="00FA6DEA">
        <w:rPr>
          <w:rFonts w:asciiTheme="majorBidi" w:hAnsiTheme="majorBidi" w:cstheme="majorBidi"/>
          <w:sz w:val="26"/>
          <w:szCs w:val="26"/>
        </w:rPr>
        <w:t xml:space="preserve"> s</w:t>
      </w:r>
      <w:r w:rsidR="005B4DCE" w:rsidRPr="00FA6DEA">
        <w:rPr>
          <w:rFonts w:asciiTheme="majorBidi" w:hAnsiTheme="majorBidi" w:cstheme="majorBidi"/>
          <w:sz w:val="26"/>
          <w:szCs w:val="26"/>
        </w:rPr>
        <w:t>upport</w:t>
      </w:r>
      <w:r w:rsidRPr="00FA6DEA">
        <w:rPr>
          <w:rFonts w:asciiTheme="majorBidi" w:hAnsiTheme="majorBidi" w:cstheme="majorBidi"/>
          <w:sz w:val="26"/>
          <w:szCs w:val="26"/>
        </w:rPr>
        <w:t>ed</w:t>
      </w:r>
      <w:r w:rsidR="005B4DCE" w:rsidRPr="00FA6DEA">
        <w:rPr>
          <w:rFonts w:asciiTheme="majorBidi" w:hAnsiTheme="majorBidi" w:cstheme="majorBidi"/>
          <w:sz w:val="26"/>
          <w:szCs w:val="26"/>
        </w:rPr>
        <w:t xml:space="preserve"> seventy cultural projects</w:t>
      </w:r>
      <w:r w:rsidRPr="00FA6DEA">
        <w:rPr>
          <w:rFonts w:asciiTheme="majorBidi" w:hAnsiTheme="majorBidi" w:cstheme="majorBidi"/>
          <w:sz w:val="26"/>
          <w:szCs w:val="26"/>
        </w:rPr>
        <w:t>, o</w:t>
      </w:r>
      <w:r w:rsidR="005B4DCE" w:rsidRPr="00FA6DEA">
        <w:rPr>
          <w:rFonts w:asciiTheme="majorBidi" w:hAnsiTheme="majorBidi" w:cstheme="majorBidi"/>
          <w:sz w:val="26"/>
          <w:szCs w:val="26"/>
        </w:rPr>
        <w:t>rganiz</w:t>
      </w:r>
      <w:r w:rsidRPr="00FA6DEA">
        <w:rPr>
          <w:rFonts w:asciiTheme="majorBidi" w:hAnsiTheme="majorBidi" w:cstheme="majorBidi"/>
          <w:sz w:val="26"/>
          <w:szCs w:val="26"/>
        </w:rPr>
        <w:t>ed</w:t>
      </w:r>
      <w:r w:rsidR="005B4DCE" w:rsidRPr="00FA6DEA">
        <w:rPr>
          <w:rFonts w:asciiTheme="majorBidi" w:hAnsiTheme="majorBidi" w:cstheme="majorBidi"/>
          <w:sz w:val="26"/>
          <w:szCs w:val="26"/>
        </w:rPr>
        <w:t xml:space="preserve"> 150 cultural events, including heritage seminars, </w:t>
      </w:r>
      <w:r w:rsidR="0030186C" w:rsidRPr="00FA6DEA">
        <w:rPr>
          <w:rFonts w:asciiTheme="majorBidi" w:hAnsiTheme="majorBidi" w:cstheme="majorBidi"/>
          <w:sz w:val="26"/>
          <w:szCs w:val="26"/>
        </w:rPr>
        <w:t xml:space="preserve">and launched </w:t>
      </w:r>
      <w:r w:rsidR="005B4DCE" w:rsidRPr="00FA6DEA">
        <w:rPr>
          <w:rFonts w:asciiTheme="majorBidi" w:hAnsiTheme="majorBidi" w:cstheme="majorBidi"/>
          <w:sz w:val="26"/>
          <w:szCs w:val="26"/>
        </w:rPr>
        <w:t xml:space="preserve">the National </w:t>
      </w:r>
      <w:r w:rsidR="00B774E5" w:rsidRPr="00FA6DEA">
        <w:rPr>
          <w:rFonts w:asciiTheme="majorBidi" w:hAnsiTheme="majorBidi" w:cstheme="majorBidi"/>
          <w:sz w:val="26"/>
          <w:szCs w:val="26"/>
        </w:rPr>
        <w:t>Theatre</w:t>
      </w:r>
      <w:r w:rsidR="005B4DCE" w:rsidRPr="00FA6DEA">
        <w:rPr>
          <w:rFonts w:asciiTheme="majorBidi" w:hAnsiTheme="majorBidi" w:cstheme="majorBidi"/>
          <w:sz w:val="26"/>
          <w:szCs w:val="26"/>
        </w:rPr>
        <w:t xml:space="preserve"> Festival, with the participation of 10 performance</w:t>
      </w:r>
      <w:r w:rsidR="0030186C" w:rsidRPr="00FA6DEA">
        <w:rPr>
          <w:rFonts w:asciiTheme="majorBidi" w:hAnsiTheme="majorBidi" w:cstheme="majorBidi"/>
          <w:sz w:val="26"/>
          <w:szCs w:val="26"/>
        </w:rPr>
        <w:t>s</w:t>
      </w:r>
      <w:r w:rsidR="005B4DCE" w:rsidRPr="00FA6DEA">
        <w:rPr>
          <w:rFonts w:asciiTheme="majorBidi" w:hAnsiTheme="majorBidi" w:cstheme="majorBidi"/>
          <w:sz w:val="26"/>
          <w:szCs w:val="26"/>
        </w:rPr>
        <w:t xml:space="preserve">, </w:t>
      </w:r>
      <w:r w:rsidR="0030186C" w:rsidRPr="00FA6DEA">
        <w:rPr>
          <w:rFonts w:asciiTheme="majorBidi" w:hAnsiTheme="majorBidi" w:cstheme="majorBidi"/>
          <w:sz w:val="26"/>
          <w:szCs w:val="26"/>
        </w:rPr>
        <w:t xml:space="preserve">as well as opening competition on </w:t>
      </w:r>
      <w:r w:rsidR="005B4DCE" w:rsidRPr="00FA6DEA">
        <w:rPr>
          <w:rFonts w:asciiTheme="majorBidi" w:hAnsiTheme="majorBidi" w:cstheme="majorBidi"/>
          <w:sz w:val="26"/>
          <w:szCs w:val="26"/>
        </w:rPr>
        <w:t>5 awards for the best director</w:t>
      </w:r>
      <w:r w:rsidR="0030186C" w:rsidRPr="00FA6DEA">
        <w:rPr>
          <w:rFonts w:asciiTheme="majorBidi" w:hAnsiTheme="majorBidi" w:cstheme="majorBidi"/>
          <w:sz w:val="26"/>
          <w:szCs w:val="26"/>
        </w:rPr>
        <w:t xml:space="preserve">, </w:t>
      </w:r>
      <w:r w:rsidR="00002994" w:rsidRPr="00FA6DEA">
        <w:rPr>
          <w:rFonts w:asciiTheme="majorBidi" w:hAnsiTheme="majorBidi" w:cstheme="majorBidi"/>
          <w:sz w:val="26"/>
          <w:szCs w:val="26"/>
        </w:rPr>
        <w:t xml:space="preserve">the </w:t>
      </w:r>
      <w:r w:rsidR="0030186C" w:rsidRPr="00FA6DEA">
        <w:rPr>
          <w:rFonts w:asciiTheme="majorBidi" w:hAnsiTheme="majorBidi" w:cstheme="majorBidi"/>
          <w:sz w:val="26"/>
          <w:szCs w:val="26"/>
        </w:rPr>
        <w:t xml:space="preserve">best </w:t>
      </w:r>
      <w:r w:rsidR="005B4DCE" w:rsidRPr="00FA6DEA">
        <w:rPr>
          <w:rFonts w:asciiTheme="majorBidi" w:hAnsiTheme="majorBidi" w:cstheme="majorBidi"/>
          <w:sz w:val="26"/>
          <w:szCs w:val="26"/>
        </w:rPr>
        <w:t>actor</w:t>
      </w:r>
      <w:r w:rsidR="0030186C" w:rsidRPr="00FA6DEA">
        <w:rPr>
          <w:rFonts w:asciiTheme="majorBidi" w:hAnsiTheme="majorBidi" w:cstheme="majorBidi"/>
          <w:sz w:val="26"/>
          <w:szCs w:val="26"/>
        </w:rPr>
        <w:t xml:space="preserve">, </w:t>
      </w:r>
      <w:r w:rsidR="00002994" w:rsidRPr="00FA6DEA">
        <w:rPr>
          <w:rFonts w:asciiTheme="majorBidi" w:hAnsiTheme="majorBidi" w:cstheme="majorBidi"/>
          <w:sz w:val="26"/>
          <w:szCs w:val="26"/>
        </w:rPr>
        <w:t xml:space="preserve">the </w:t>
      </w:r>
      <w:r w:rsidR="0030186C" w:rsidRPr="00FA6DEA">
        <w:rPr>
          <w:rFonts w:asciiTheme="majorBidi" w:hAnsiTheme="majorBidi" w:cstheme="majorBidi"/>
          <w:sz w:val="26"/>
          <w:szCs w:val="26"/>
        </w:rPr>
        <w:t xml:space="preserve">best theatrical performance and </w:t>
      </w:r>
      <w:r w:rsidR="00002994" w:rsidRPr="00FA6DEA">
        <w:rPr>
          <w:rFonts w:asciiTheme="majorBidi" w:hAnsiTheme="majorBidi" w:cstheme="majorBidi"/>
          <w:sz w:val="26"/>
          <w:szCs w:val="26"/>
        </w:rPr>
        <w:t xml:space="preserve">the </w:t>
      </w:r>
      <w:r w:rsidR="0030186C" w:rsidRPr="00FA6DEA">
        <w:rPr>
          <w:rFonts w:asciiTheme="majorBidi" w:hAnsiTheme="majorBidi" w:cstheme="majorBidi"/>
          <w:sz w:val="26"/>
          <w:szCs w:val="26"/>
        </w:rPr>
        <w:t>best playwright</w:t>
      </w:r>
      <w:r w:rsidR="00B774E5" w:rsidRPr="00FA6DEA">
        <w:rPr>
          <w:rFonts w:asciiTheme="majorBidi" w:hAnsiTheme="majorBidi" w:cstheme="majorBidi"/>
          <w:sz w:val="26"/>
          <w:szCs w:val="26"/>
        </w:rPr>
        <w:t>.</w:t>
      </w:r>
    </w:p>
    <w:p w14:paraId="7DDBE15C" w14:textId="1A330A0C" w:rsidR="005B4DCE" w:rsidRPr="00FA6DEA" w:rsidRDefault="0030186C" w:rsidP="00002994">
      <w:pPr>
        <w:spacing w:line="240" w:lineRule="auto"/>
        <w:jc w:val="both"/>
        <w:rPr>
          <w:rFonts w:asciiTheme="majorBidi" w:hAnsiTheme="majorBidi" w:cstheme="majorBidi"/>
          <w:sz w:val="26"/>
          <w:szCs w:val="26"/>
          <w:lang w:val="en-US"/>
        </w:rPr>
      </w:pPr>
      <w:r w:rsidRPr="00FA6DEA">
        <w:rPr>
          <w:rFonts w:asciiTheme="majorBidi" w:hAnsiTheme="majorBidi" w:cstheme="majorBidi"/>
          <w:sz w:val="26"/>
          <w:szCs w:val="26"/>
        </w:rPr>
        <w:t>On the commemoration of the martyrdom of th</w:t>
      </w:r>
      <w:r w:rsidR="00002994" w:rsidRPr="00FA6DEA">
        <w:rPr>
          <w:rFonts w:asciiTheme="majorBidi" w:hAnsiTheme="majorBidi" w:cstheme="majorBidi"/>
          <w:sz w:val="26"/>
          <w:szCs w:val="26"/>
        </w:rPr>
        <w:t>e</w:t>
      </w:r>
      <w:r w:rsidRPr="00FA6DEA">
        <w:rPr>
          <w:rFonts w:asciiTheme="majorBidi" w:hAnsiTheme="majorBidi" w:cstheme="majorBidi"/>
          <w:sz w:val="26"/>
          <w:szCs w:val="26"/>
        </w:rPr>
        <w:t xml:space="preserve"> Palestinian novelist Ghassan </w:t>
      </w:r>
      <w:proofErr w:type="spellStart"/>
      <w:r w:rsidRPr="00FA6DEA">
        <w:rPr>
          <w:rFonts w:asciiTheme="majorBidi" w:hAnsiTheme="majorBidi" w:cstheme="majorBidi"/>
          <w:sz w:val="26"/>
          <w:szCs w:val="26"/>
        </w:rPr>
        <w:t>Kanafani</w:t>
      </w:r>
      <w:proofErr w:type="spellEnd"/>
      <w:r w:rsidRPr="00FA6DEA">
        <w:rPr>
          <w:rFonts w:asciiTheme="majorBidi" w:hAnsiTheme="majorBidi" w:cstheme="majorBidi"/>
          <w:sz w:val="26"/>
          <w:szCs w:val="26"/>
        </w:rPr>
        <w:t xml:space="preserve">, </w:t>
      </w:r>
      <w:proofErr w:type="spellStart"/>
      <w:r w:rsidRPr="00FA6DEA">
        <w:rPr>
          <w:rFonts w:asciiTheme="majorBidi" w:hAnsiTheme="majorBidi" w:cstheme="majorBidi"/>
          <w:sz w:val="26"/>
          <w:szCs w:val="26"/>
        </w:rPr>
        <w:t>MoC</w:t>
      </w:r>
      <w:proofErr w:type="spellEnd"/>
      <w:r w:rsidRPr="00FA6DEA">
        <w:rPr>
          <w:rFonts w:asciiTheme="majorBidi" w:hAnsiTheme="majorBidi" w:cstheme="majorBidi"/>
          <w:sz w:val="26"/>
          <w:szCs w:val="26"/>
        </w:rPr>
        <w:t xml:space="preserve"> launched the Ghassan </w:t>
      </w:r>
      <w:proofErr w:type="spellStart"/>
      <w:r w:rsidRPr="00FA6DEA">
        <w:rPr>
          <w:rFonts w:asciiTheme="majorBidi" w:hAnsiTheme="majorBidi" w:cstheme="majorBidi"/>
          <w:sz w:val="26"/>
          <w:szCs w:val="26"/>
        </w:rPr>
        <w:t>Kanfani</w:t>
      </w:r>
      <w:proofErr w:type="spellEnd"/>
      <w:r w:rsidRPr="00FA6DEA">
        <w:rPr>
          <w:rFonts w:asciiTheme="majorBidi" w:hAnsiTheme="majorBidi" w:cstheme="majorBidi"/>
          <w:sz w:val="26"/>
          <w:szCs w:val="26"/>
        </w:rPr>
        <w:t xml:space="preserve"> Award, wh</w:t>
      </w:r>
      <w:r w:rsidR="005B4DCE" w:rsidRPr="00FA6DEA">
        <w:rPr>
          <w:rFonts w:asciiTheme="majorBidi" w:hAnsiTheme="majorBidi" w:cstheme="majorBidi"/>
          <w:sz w:val="26"/>
          <w:szCs w:val="26"/>
        </w:rPr>
        <w:t xml:space="preserve">ere four awards were awarded to </w:t>
      </w:r>
      <w:r w:rsidRPr="00FA6DEA">
        <w:rPr>
          <w:rFonts w:asciiTheme="majorBidi" w:hAnsiTheme="majorBidi" w:cstheme="majorBidi"/>
          <w:sz w:val="26"/>
          <w:szCs w:val="26"/>
        </w:rPr>
        <w:t xml:space="preserve">novelists and </w:t>
      </w:r>
      <w:r w:rsidR="005B4DCE" w:rsidRPr="00FA6DEA">
        <w:rPr>
          <w:rFonts w:asciiTheme="majorBidi" w:hAnsiTheme="majorBidi" w:cstheme="majorBidi"/>
          <w:sz w:val="26"/>
          <w:szCs w:val="26"/>
        </w:rPr>
        <w:t xml:space="preserve">writers from Arab countries, </w:t>
      </w:r>
      <w:r w:rsidRPr="00FA6DEA">
        <w:rPr>
          <w:rFonts w:asciiTheme="majorBidi" w:hAnsiTheme="majorBidi" w:cstheme="majorBidi"/>
          <w:sz w:val="26"/>
          <w:szCs w:val="26"/>
          <w:lang w:val="en-US"/>
        </w:rPr>
        <w:t xml:space="preserve">as well as </w:t>
      </w:r>
      <w:r w:rsidR="005B4DCE" w:rsidRPr="00FA6DEA">
        <w:rPr>
          <w:rFonts w:asciiTheme="majorBidi" w:hAnsiTheme="majorBidi" w:cstheme="majorBidi"/>
          <w:sz w:val="26"/>
          <w:szCs w:val="26"/>
        </w:rPr>
        <w:t xml:space="preserve">organizing the Palestine Forum for the Palestinian </w:t>
      </w:r>
      <w:r w:rsidRPr="00FA6DEA">
        <w:rPr>
          <w:rFonts w:asciiTheme="majorBidi" w:hAnsiTheme="majorBidi" w:cstheme="majorBidi"/>
          <w:sz w:val="26"/>
          <w:szCs w:val="26"/>
        </w:rPr>
        <w:t>Narration</w:t>
      </w:r>
      <w:r w:rsidR="005B4DCE" w:rsidRPr="00FA6DEA">
        <w:rPr>
          <w:rFonts w:asciiTheme="majorBidi" w:hAnsiTheme="majorBidi" w:cstheme="majorBidi"/>
          <w:sz w:val="26"/>
          <w:szCs w:val="26"/>
        </w:rPr>
        <w:t xml:space="preserve"> with the participation of 13 novelists from Arab countries,</w:t>
      </w:r>
      <w:r w:rsidRPr="00FA6DEA">
        <w:rPr>
          <w:rFonts w:asciiTheme="majorBidi" w:hAnsiTheme="majorBidi" w:cstheme="majorBidi"/>
          <w:sz w:val="26"/>
          <w:szCs w:val="26"/>
        </w:rPr>
        <w:t xml:space="preserve"> </w:t>
      </w:r>
      <w:r w:rsidR="00002994" w:rsidRPr="00FA6DEA">
        <w:rPr>
          <w:rFonts w:asciiTheme="majorBidi" w:hAnsiTheme="majorBidi" w:cstheme="majorBidi"/>
          <w:sz w:val="26"/>
          <w:szCs w:val="26"/>
        </w:rPr>
        <w:t xml:space="preserve">Festival of </w:t>
      </w:r>
      <w:r w:rsidRPr="00FA6DEA">
        <w:rPr>
          <w:rFonts w:asciiTheme="majorBidi" w:hAnsiTheme="majorBidi" w:cstheme="majorBidi"/>
          <w:sz w:val="26"/>
          <w:szCs w:val="26"/>
        </w:rPr>
        <w:t xml:space="preserve">Ghassan </w:t>
      </w:r>
      <w:proofErr w:type="spellStart"/>
      <w:r w:rsidRPr="00FA6DEA">
        <w:rPr>
          <w:rFonts w:asciiTheme="majorBidi" w:hAnsiTheme="majorBidi" w:cstheme="majorBidi"/>
          <w:sz w:val="26"/>
          <w:szCs w:val="26"/>
        </w:rPr>
        <w:t>Kanafani</w:t>
      </w:r>
      <w:proofErr w:type="spellEnd"/>
      <w:r w:rsidR="00C322D5" w:rsidRPr="00FA6DEA">
        <w:rPr>
          <w:rFonts w:asciiTheme="majorBidi" w:hAnsiTheme="majorBidi" w:cstheme="majorBidi"/>
          <w:sz w:val="26"/>
          <w:szCs w:val="26"/>
        </w:rPr>
        <w:t xml:space="preserve"> Theatre,</w:t>
      </w:r>
      <w:r w:rsidR="005B4DCE" w:rsidRPr="00FA6DEA">
        <w:rPr>
          <w:rFonts w:asciiTheme="majorBidi" w:hAnsiTheme="majorBidi" w:cstheme="majorBidi"/>
          <w:sz w:val="26"/>
          <w:szCs w:val="26"/>
        </w:rPr>
        <w:t xml:space="preserve"> 3 scientific, literary and critical conferences, </w:t>
      </w:r>
      <w:r w:rsidR="00C322D5" w:rsidRPr="00FA6DEA">
        <w:rPr>
          <w:rFonts w:asciiTheme="majorBidi" w:hAnsiTheme="majorBidi" w:cstheme="majorBidi"/>
          <w:sz w:val="26"/>
          <w:szCs w:val="26"/>
        </w:rPr>
        <w:t xml:space="preserve">art gallery with the participation of </w:t>
      </w:r>
      <w:r w:rsidR="005B4DCE" w:rsidRPr="00FA6DEA">
        <w:rPr>
          <w:rFonts w:asciiTheme="majorBidi" w:hAnsiTheme="majorBidi" w:cstheme="majorBidi"/>
          <w:sz w:val="26"/>
          <w:szCs w:val="26"/>
        </w:rPr>
        <w:t>15 artists</w:t>
      </w:r>
      <w:r w:rsidR="003B66D6" w:rsidRPr="00FA6DEA">
        <w:rPr>
          <w:rFonts w:asciiTheme="majorBidi" w:hAnsiTheme="majorBidi" w:cstheme="majorBidi"/>
          <w:sz w:val="26"/>
          <w:szCs w:val="26"/>
        </w:rPr>
        <w:t xml:space="preserve"> from Palestine and Diaspora</w:t>
      </w:r>
      <w:r w:rsidR="005B4DCE" w:rsidRPr="00FA6DEA">
        <w:rPr>
          <w:rFonts w:asciiTheme="majorBidi" w:hAnsiTheme="majorBidi" w:cstheme="majorBidi"/>
          <w:sz w:val="26"/>
          <w:szCs w:val="26"/>
        </w:rPr>
        <w:t xml:space="preserve"> in this event. Organizing </w:t>
      </w:r>
      <w:r w:rsidR="00C322D5" w:rsidRPr="00FA6DEA">
        <w:rPr>
          <w:rFonts w:asciiTheme="majorBidi" w:hAnsiTheme="majorBidi" w:cstheme="majorBidi"/>
          <w:sz w:val="26"/>
          <w:szCs w:val="26"/>
        </w:rPr>
        <w:t xml:space="preserve">a </w:t>
      </w:r>
      <w:r w:rsidR="005B4DCE" w:rsidRPr="00FA6DEA">
        <w:rPr>
          <w:rFonts w:asciiTheme="majorBidi" w:hAnsiTheme="majorBidi" w:cstheme="majorBidi"/>
          <w:sz w:val="26"/>
          <w:szCs w:val="26"/>
        </w:rPr>
        <w:t xml:space="preserve">forum </w:t>
      </w:r>
      <w:r w:rsidR="00C322D5" w:rsidRPr="00FA6DEA">
        <w:rPr>
          <w:rFonts w:asciiTheme="majorBidi" w:hAnsiTheme="majorBidi" w:cstheme="majorBidi"/>
          <w:sz w:val="26"/>
          <w:szCs w:val="26"/>
        </w:rPr>
        <w:t xml:space="preserve">in the name of </w:t>
      </w:r>
      <w:r w:rsidR="005B4DCE" w:rsidRPr="00FA6DEA">
        <w:rPr>
          <w:rFonts w:asciiTheme="majorBidi" w:hAnsiTheme="majorBidi" w:cstheme="majorBidi"/>
          <w:sz w:val="26"/>
          <w:szCs w:val="26"/>
        </w:rPr>
        <w:t xml:space="preserve">Majid Abu </w:t>
      </w:r>
      <w:proofErr w:type="spellStart"/>
      <w:r w:rsidR="005B4DCE" w:rsidRPr="00FA6DEA">
        <w:rPr>
          <w:rFonts w:asciiTheme="majorBidi" w:hAnsiTheme="majorBidi" w:cstheme="majorBidi"/>
          <w:sz w:val="26"/>
          <w:szCs w:val="26"/>
        </w:rPr>
        <w:t>Sharar</w:t>
      </w:r>
      <w:proofErr w:type="spellEnd"/>
      <w:r w:rsidR="00C322D5" w:rsidRPr="00FA6DEA">
        <w:rPr>
          <w:rFonts w:asciiTheme="majorBidi" w:hAnsiTheme="majorBidi" w:cstheme="majorBidi"/>
          <w:sz w:val="26"/>
          <w:szCs w:val="26"/>
        </w:rPr>
        <w:t>, in the commemoration of his martyrdom,</w:t>
      </w:r>
      <w:r w:rsidR="005B4DCE" w:rsidRPr="00FA6DEA">
        <w:rPr>
          <w:rFonts w:asciiTheme="majorBidi" w:hAnsiTheme="majorBidi" w:cstheme="majorBidi"/>
          <w:sz w:val="26"/>
          <w:szCs w:val="26"/>
        </w:rPr>
        <w:t xml:space="preserve"> for the Arab story,</w:t>
      </w:r>
      <w:r w:rsidR="00C322D5" w:rsidRPr="00FA6DEA">
        <w:rPr>
          <w:rFonts w:asciiTheme="majorBidi" w:hAnsiTheme="majorBidi" w:cstheme="majorBidi"/>
          <w:sz w:val="26"/>
          <w:szCs w:val="26"/>
        </w:rPr>
        <w:t xml:space="preserve"> with the participation of</w:t>
      </w:r>
      <w:r w:rsidR="005B4DCE" w:rsidRPr="00FA6DEA">
        <w:rPr>
          <w:rFonts w:asciiTheme="majorBidi" w:hAnsiTheme="majorBidi" w:cstheme="majorBidi"/>
          <w:sz w:val="26"/>
          <w:szCs w:val="26"/>
        </w:rPr>
        <w:t xml:space="preserve"> 35 novelists and writers from Palestine and Arab countries.</w:t>
      </w:r>
    </w:p>
    <w:p w14:paraId="776192C2" w14:textId="6116E69A" w:rsidR="005B4DCE" w:rsidRPr="00FA6DEA" w:rsidRDefault="00C322D5" w:rsidP="0000588C">
      <w:pPr>
        <w:spacing w:line="240" w:lineRule="auto"/>
        <w:jc w:val="both"/>
        <w:rPr>
          <w:rFonts w:asciiTheme="majorBidi" w:hAnsiTheme="majorBidi" w:cstheme="majorBidi"/>
          <w:sz w:val="26"/>
          <w:szCs w:val="26"/>
        </w:rPr>
      </w:pPr>
      <w:r w:rsidRPr="00FA6DEA">
        <w:rPr>
          <w:rFonts w:asciiTheme="majorBidi" w:hAnsiTheme="majorBidi" w:cstheme="majorBidi"/>
          <w:sz w:val="26"/>
          <w:szCs w:val="26"/>
          <w:lang w:val="en-US"/>
        </w:rPr>
        <w:t xml:space="preserve">Moreover, MoC </w:t>
      </w:r>
      <w:r w:rsidRPr="00FA6DEA">
        <w:rPr>
          <w:rFonts w:asciiTheme="majorBidi" w:hAnsiTheme="majorBidi" w:cstheme="majorBidi"/>
          <w:sz w:val="26"/>
          <w:szCs w:val="26"/>
        </w:rPr>
        <w:t xml:space="preserve">organized three </w:t>
      </w:r>
      <w:r w:rsidR="005B4DCE" w:rsidRPr="00FA6DEA">
        <w:rPr>
          <w:rFonts w:asciiTheme="majorBidi" w:hAnsiTheme="majorBidi" w:cstheme="majorBidi"/>
          <w:sz w:val="26"/>
          <w:szCs w:val="26"/>
        </w:rPr>
        <w:t xml:space="preserve">literary forums </w:t>
      </w:r>
      <w:r w:rsidRPr="00FA6DEA">
        <w:rPr>
          <w:rFonts w:asciiTheme="majorBidi" w:hAnsiTheme="majorBidi" w:cstheme="majorBidi"/>
          <w:sz w:val="26"/>
          <w:szCs w:val="26"/>
        </w:rPr>
        <w:t>and</w:t>
      </w:r>
      <w:r w:rsidR="005B4DCE" w:rsidRPr="00FA6DEA">
        <w:rPr>
          <w:rFonts w:asciiTheme="majorBidi" w:hAnsiTheme="majorBidi" w:cstheme="majorBidi"/>
          <w:sz w:val="26"/>
          <w:szCs w:val="26"/>
        </w:rPr>
        <w:t xml:space="preserve"> </w:t>
      </w:r>
      <w:r w:rsidR="005B4DCE" w:rsidRPr="00FA6DEA">
        <w:rPr>
          <w:rFonts w:asciiTheme="majorBidi" w:hAnsiTheme="majorBidi" w:cstheme="majorBidi"/>
          <w:sz w:val="26"/>
          <w:szCs w:val="26"/>
          <w:rtl/>
        </w:rPr>
        <w:t>20</w:t>
      </w:r>
      <w:r w:rsidR="005B4DCE" w:rsidRPr="00FA6DEA">
        <w:rPr>
          <w:rFonts w:asciiTheme="majorBidi" w:hAnsiTheme="majorBidi" w:cstheme="majorBidi"/>
          <w:sz w:val="26"/>
          <w:szCs w:val="26"/>
        </w:rPr>
        <w:t xml:space="preserve"> activities in </w:t>
      </w:r>
      <w:r w:rsidRPr="00FA6DEA">
        <w:rPr>
          <w:rFonts w:asciiTheme="majorBidi" w:hAnsiTheme="majorBidi" w:cstheme="majorBidi"/>
          <w:sz w:val="26"/>
          <w:szCs w:val="26"/>
        </w:rPr>
        <w:t xml:space="preserve">diaspora </w:t>
      </w:r>
      <w:r w:rsidR="005B4DCE" w:rsidRPr="00FA6DEA">
        <w:rPr>
          <w:rFonts w:asciiTheme="majorBidi" w:hAnsiTheme="majorBidi" w:cstheme="majorBidi"/>
          <w:sz w:val="26"/>
          <w:szCs w:val="26"/>
        </w:rPr>
        <w:t xml:space="preserve">camps and </w:t>
      </w:r>
      <w:r w:rsidR="003B66D6" w:rsidRPr="00FA6DEA">
        <w:rPr>
          <w:rFonts w:asciiTheme="majorBidi" w:hAnsiTheme="majorBidi" w:cstheme="majorBidi"/>
          <w:sz w:val="26"/>
          <w:szCs w:val="26"/>
        </w:rPr>
        <w:t xml:space="preserve">in the </w:t>
      </w:r>
      <w:r w:rsidR="0000588C" w:rsidRPr="00FA6DEA">
        <w:rPr>
          <w:rFonts w:asciiTheme="majorBidi" w:hAnsiTheme="majorBidi" w:cstheme="majorBidi"/>
          <w:sz w:val="26"/>
          <w:szCs w:val="26"/>
        </w:rPr>
        <w:t xml:space="preserve">occupied </w:t>
      </w:r>
      <w:r w:rsidR="003B66D6" w:rsidRPr="00FA6DEA">
        <w:rPr>
          <w:rFonts w:asciiTheme="majorBidi" w:hAnsiTheme="majorBidi" w:cstheme="majorBidi"/>
          <w:sz w:val="26"/>
          <w:szCs w:val="26"/>
        </w:rPr>
        <w:t>Palestinian Territory in 1948</w:t>
      </w:r>
      <w:r w:rsidRPr="00FA6DEA">
        <w:rPr>
          <w:rFonts w:asciiTheme="majorBidi" w:hAnsiTheme="majorBidi" w:cstheme="majorBidi"/>
          <w:sz w:val="26"/>
          <w:szCs w:val="26"/>
        </w:rPr>
        <w:t xml:space="preserve"> to strengthen the national narrative in Palestine</w:t>
      </w:r>
      <w:r w:rsidR="005B4DCE" w:rsidRPr="00FA6DEA">
        <w:rPr>
          <w:rFonts w:asciiTheme="majorBidi" w:hAnsiTheme="majorBidi" w:cstheme="majorBidi"/>
          <w:sz w:val="26"/>
          <w:szCs w:val="26"/>
        </w:rPr>
        <w:t>.</w:t>
      </w:r>
    </w:p>
    <w:p w14:paraId="59DFE1F6" w14:textId="3D6E22A9" w:rsidR="00BC30CC" w:rsidRPr="00FA6DEA" w:rsidRDefault="00C322D5" w:rsidP="00BC30CC">
      <w:pPr>
        <w:spacing w:line="240" w:lineRule="auto"/>
        <w:jc w:val="both"/>
        <w:rPr>
          <w:rFonts w:asciiTheme="majorBidi" w:hAnsiTheme="majorBidi" w:cstheme="majorBidi"/>
          <w:sz w:val="26"/>
          <w:szCs w:val="26"/>
        </w:rPr>
      </w:pPr>
      <w:r w:rsidRPr="00FA6DEA">
        <w:rPr>
          <w:rFonts w:asciiTheme="majorBidi" w:hAnsiTheme="majorBidi" w:cstheme="majorBidi"/>
          <w:sz w:val="26"/>
          <w:szCs w:val="26"/>
        </w:rPr>
        <w:t>Furthermore, t</w:t>
      </w:r>
      <w:r w:rsidR="003B66D6" w:rsidRPr="00FA6DEA">
        <w:rPr>
          <w:rFonts w:asciiTheme="majorBidi" w:hAnsiTheme="majorBidi" w:cstheme="majorBidi"/>
          <w:sz w:val="26"/>
          <w:szCs w:val="26"/>
        </w:rPr>
        <w:t xml:space="preserve">he Ministry </w:t>
      </w:r>
      <w:r w:rsidRPr="00FA6DEA">
        <w:rPr>
          <w:rFonts w:asciiTheme="majorBidi" w:hAnsiTheme="majorBidi" w:cstheme="majorBidi"/>
          <w:sz w:val="26"/>
          <w:szCs w:val="26"/>
        </w:rPr>
        <w:t xml:space="preserve">of Culture </w:t>
      </w:r>
      <w:r w:rsidR="003B66D6" w:rsidRPr="00FA6DEA">
        <w:rPr>
          <w:rFonts w:asciiTheme="majorBidi" w:hAnsiTheme="majorBidi" w:cstheme="majorBidi"/>
          <w:sz w:val="26"/>
          <w:szCs w:val="26"/>
        </w:rPr>
        <w:t xml:space="preserve">organized the Palestine International Book Fair 2022, </w:t>
      </w:r>
      <w:r w:rsidRPr="00FA6DEA">
        <w:rPr>
          <w:rFonts w:asciiTheme="majorBidi" w:hAnsiTheme="majorBidi" w:cstheme="majorBidi"/>
          <w:sz w:val="26"/>
          <w:szCs w:val="26"/>
        </w:rPr>
        <w:t xml:space="preserve">where </w:t>
      </w:r>
      <w:r w:rsidR="005B4DCE" w:rsidRPr="00FA6DEA">
        <w:rPr>
          <w:rFonts w:asciiTheme="majorBidi" w:hAnsiTheme="majorBidi" w:cstheme="majorBidi"/>
          <w:sz w:val="26"/>
          <w:szCs w:val="26"/>
        </w:rPr>
        <w:t xml:space="preserve">450 Arabic and local publishing </w:t>
      </w:r>
      <w:r w:rsidRPr="00FA6DEA">
        <w:rPr>
          <w:rFonts w:asciiTheme="majorBidi" w:hAnsiTheme="majorBidi" w:cstheme="majorBidi"/>
          <w:sz w:val="26"/>
          <w:szCs w:val="26"/>
        </w:rPr>
        <w:t xml:space="preserve">houses and 150 Arab writers </w:t>
      </w:r>
      <w:proofErr w:type="gramStart"/>
      <w:r w:rsidR="005B4DCE" w:rsidRPr="00FA6DEA">
        <w:rPr>
          <w:rFonts w:asciiTheme="majorBidi" w:hAnsiTheme="majorBidi" w:cstheme="majorBidi"/>
          <w:sz w:val="26"/>
          <w:szCs w:val="26"/>
        </w:rPr>
        <w:t>participated .</w:t>
      </w:r>
      <w:proofErr w:type="gramEnd"/>
      <w:r w:rsidR="005B4DCE" w:rsidRPr="00FA6DEA">
        <w:rPr>
          <w:rFonts w:asciiTheme="majorBidi" w:hAnsiTheme="majorBidi" w:cstheme="majorBidi"/>
          <w:sz w:val="26"/>
          <w:szCs w:val="26"/>
        </w:rPr>
        <w:t xml:space="preserve"> </w:t>
      </w:r>
      <w:r w:rsidRPr="00FA6DEA">
        <w:rPr>
          <w:rFonts w:asciiTheme="majorBidi" w:hAnsiTheme="majorBidi" w:cstheme="majorBidi"/>
          <w:sz w:val="26"/>
          <w:szCs w:val="26"/>
        </w:rPr>
        <w:t xml:space="preserve">In addition, </w:t>
      </w:r>
      <w:proofErr w:type="spellStart"/>
      <w:r w:rsidRPr="00FA6DEA">
        <w:rPr>
          <w:rFonts w:asciiTheme="majorBidi" w:hAnsiTheme="majorBidi" w:cstheme="majorBidi"/>
          <w:sz w:val="26"/>
          <w:szCs w:val="26"/>
        </w:rPr>
        <w:t>MoC</w:t>
      </w:r>
      <w:proofErr w:type="spellEnd"/>
      <w:r w:rsidRPr="00FA6DEA">
        <w:rPr>
          <w:rFonts w:asciiTheme="majorBidi" w:hAnsiTheme="majorBidi" w:cstheme="majorBidi"/>
          <w:sz w:val="26"/>
          <w:szCs w:val="26"/>
        </w:rPr>
        <w:t xml:space="preserve"> published </w:t>
      </w:r>
      <w:r w:rsidR="005B4DCE" w:rsidRPr="00FA6DEA">
        <w:rPr>
          <w:rFonts w:asciiTheme="majorBidi" w:hAnsiTheme="majorBidi" w:cstheme="majorBidi"/>
          <w:sz w:val="26"/>
          <w:szCs w:val="26"/>
        </w:rPr>
        <w:t>100 books before Al-Nakba, and around 250 thousand books</w:t>
      </w:r>
      <w:r w:rsidRPr="00FA6DEA">
        <w:rPr>
          <w:rFonts w:asciiTheme="majorBidi" w:hAnsiTheme="majorBidi" w:cstheme="majorBidi"/>
          <w:sz w:val="26"/>
          <w:szCs w:val="26"/>
        </w:rPr>
        <w:t>,</w:t>
      </w:r>
      <w:r w:rsidR="005B4DCE" w:rsidRPr="00FA6DEA">
        <w:rPr>
          <w:rFonts w:asciiTheme="majorBidi" w:hAnsiTheme="majorBidi" w:cstheme="majorBidi"/>
          <w:sz w:val="26"/>
          <w:szCs w:val="26"/>
        </w:rPr>
        <w:t xml:space="preserve"> </w:t>
      </w:r>
      <w:r w:rsidRPr="00FA6DEA">
        <w:rPr>
          <w:rFonts w:asciiTheme="majorBidi" w:hAnsiTheme="majorBidi" w:cstheme="majorBidi"/>
          <w:sz w:val="26"/>
          <w:szCs w:val="26"/>
        </w:rPr>
        <w:t xml:space="preserve">published </w:t>
      </w:r>
      <w:r w:rsidR="005B4DCE" w:rsidRPr="00FA6DEA">
        <w:rPr>
          <w:rFonts w:asciiTheme="majorBidi" w:hAnsiTheme="majorBidi" w:cstheme="majorBidi"/>
          <w:sz w:val="26"/>
          <w:szCs w:val="26"/>
        </w:rPr>
        <w:t>by the Ministry of culture</w:t>
      </w:r>
      <w:r w:rsidRPr="00FA6DEA">
        <w:rPr>
          <w:rFonts w:asciiTheme="majorBidi" w:hAnsiTheme="majorBidi" w:cstheme="majorBidi"/>
          <w:sz w:val="26"/>
          <w:szCs w:val="26"/>
        </w:rPr>
        <w:t>,</w:t>
      </w:r>
      <w:r w:rsidR="005B4DCE" w:rsidRPr="00FA6DEA">
        <w:rPr>
          <w:rFonts w:asciiTheme="majorBidi" w:hAnsiTheme="majorBidi" w:cstheme="majorBidi"/>
          <w:sz w:val="26"/>
          <w:szCs w:val="26"/>
        </w:rPr>
        <w:t xml:space="preserve"> were distributed to </w:t>
      </w:r>
      <w:r w:rsidRPr="00FA6DEA">
        <w:rPr>
          <w:rFonts w:asciiTheme="majorBidi" w:hAnsiTheme="majorBidi" w:cstheme="majorBidi"/>
          <w:sz w:val="26"/>
          <w:szCs w:val="26"/>
        </w:rPr>
        <w:t xml:space="preserve">schools </w:t>
      </w:r>
      <w:r w:rsidR="005B4DCE" w:rsidRPr="00FA6DEA">
        <w:rPr>
          <w:rFonts w:asciiTheme="majorBidi" w:hAnsiTheme="majorBidi" w:cstheme="majorBidi"/>
          <w:sz w:val="26"/>
          <w:szCs w:val="26"/>
        </w:rPr>
        <w:t>librar</w:t>
      </w:r>
      <w:r w:rsidRPr="00FA6DEA">
        <w:rPr>
          <w:rFonts w:asciiTheme="majorBidi" w:hAnsiTheme="majorBidi" w:cstheme="majorBidi"/>
          <w:sz w:val="26"/>
          <w:szCs w:val="26"/>
        </w:rPr>
        <w:t>ies</w:t>
      </w:r>
      <w:r w:rsidR="005B4DCE" w:rsidRPr="00FA6DEA">
        <w:rPr>
          <w:rFonts w:asciiTheme="majorBidi" w:hAnsiTheme="majorBidi" w:cstheme="majorBidi"/>
          <w:sz w:val="26"/>
          <w:szCs w:val="26"/>
        </w:rPr>
        <w:t xml:space="preserve">, cultural </w:t>
      </w:r>
      <w:proofErr w:type="spellStart"/>
      <w:r w:rsidR="005B4DCE" w:rsidRPr="00FA6DEA">
        <w:rPr>
          <w:rFonts w:asciiTheme="majorBidi" w:hAnsiTheme="majorBidi" w:cstheme="majorBidi"/>
          <w:sz w:val="26"/>
          <w:szCs w:val="26"/>
        </w:rPr>
        <w:t>centers</w:t>
      </w:r>
      <w:proofErr w:type="spellEnd"/>
      <w:r w:rsidR="005B4DCE" w:rsidRPr="00FA6DEA">
        <w:rPr>
          <w:rFonts w:asciiTheme="majorBidi" w:hAnsiTheme="majorBidi" w:cstheme="majorBidi"/>
          <w:sz w:val="26"/>
          <w:szCs w:val="26"/>
        </w:rPr>
        <w:t xml:space="preserve"> and institutions.</w:t>
      </w:r>
      <w:r w:rsidRPr="00FA6DEA">
        <w:rPr>
          <w:rFonts w:asciiTheme="majorBidi" w:hAnsiTheme="majorBidi" w:cstheme="majorBidi"/>
          <w:sz w:val="26"/>
          <w:szCs w:val="26"/>
        </w:rPr>
        <w:t xml:space="preserve"> </w:t>
      </w:r>
      <w:proofErr w:type="spellStart"/>
      <w:r w:rsidR="00E63139" w:rsidRPr="00FA6DEA">
        <w:rPr>
          <w:rFonts w:asciiTheme="majorBidi" w:hAnsiTheme="majorBidi" w:cstheme="majorBidi"/>
          <w:sz w:val="26"/>
          <w:szCs w:val="26"/>
        </w:rPr>
        <w:t>MoC</w:t>
      </w:r>
      <w:proofErr w:type="spellEnd"/>
      <w:r w:rsidR="00E63139" w:rsidRPr="00FA6DEA">
        <w:rPr>
          <w:rFonts w:asciiTheme="majorBidi" w:hAnsiTheme="majorBidi" w:cstheme="majorBidi"/>
          <w:sz w:val="26"/>
          <w:szCs w:val="26"/>
        </w:rPr>
        <w:t xml:space="preserve"> also</w:t>
      </w:r>
      <w:r w:rsidR="005B4DCE" w:rsidRPr="00FA6DEA">
        <w:rPr>
          <w:rFonts w:asciiTheme="majorBidi" w:hAnsiTheme="majorBidi" w:cstheme="majorBidi"/>
          <w:sz w:val="26"/>
          <w:szCs w:val="26"/>
        </w:rPr>
        <w:t xml:space="preserve"> </w:t>
      </w:r>
      <w:r w:rsidRPr="00FA6DEA">
        <w:rPr>
          <w:rFonts w:asciiTheme="majorBidi" w:hAnsiTheme="majorBidi" w:cstheme="majorBidi"/>
          <w:sz w:val="26"/>
          <w:szCs w:val="26"/>
        </w:rPr>
        <w:t xml:space="preserve">supported </w:t>
      </w:r>
      <w:r w:rsidR="005B4DCE" w:rsidRPr="00FA6DEA">
        <w:rPr>
          <w:rFonts w:asciiTheme="majorBidi" w:hAnsiTheme="majorBidi" w:cstheme="majorBidi"/>
          <w:sz w:val="26"/>
          <w:szCs w:val="26"/>
        </w:rPr>
        <w:t xml:space="preserve">about 100 </w:t>
      </w:r>
      <w:r w:rsidRPr="00FA6DEA">
        <w:rPr>
          <w:rFonts w:asciiTheme="majorBidi" w:hAnsiTheme="majorBidi" w:cstheme="majorBidi"/>
          <w:sz w:val="26"/>
          <w:szCs w:val="26"/>
        </w:rPr>
        <w:t xml:space="preserve">schools and public/municipalities </w:t>
      </w:r>
      <w:r w:rsidR="005B4DCE" w:rsidRPr="00FA6DEA">
        <w:rPr>
          <w:rFonts w:asciiTheme="majorBidi" w:hAnsiTheme="majorBidi" w:cstheme="majorBidi"/>
          <w:sz w:val="26"/>
          <w:szCs w:val="26"/>
        </w:rPr>
        <w:t xml:space="preserve">libraries </w:t>
      </w:r>
      <w:r w:rsidRPr="00FA6DEA">
        <w:rPr>
          <w:rFonts w:asciiTheme="majorBidi" w:hAnsiTheme="majorBidi" w:cstheme="majorBidi"/>
          <w:sz w:val="26"/>
          <w:szCs w:val="26"/>
        </w:rPr>
        <w:t xml:space="preserve">by publications of </w:t>
      </w:r>
      <w:r w:rsidR="005B4DCE" w:rsidRPr="00FA6DEA">
        <w:rPr>
          <w:rFonts w:asciiTheme="majorBidi" w:hAnsiTheme="majorBidi" w:cstheme="majorBidi"/>
          <w:sz w:val="26"/>
          <w:szCs w:val="26"/>
        </w:rPr>
        <w:t>the Ministry,</w:t>
      </w:r>
      <w:r w:rsidRPr="00FA6DEA">
        <w:rPr>
          <w:rFonts w:asciiTheme="majorBidi" w:hAnsiTheme="majorBidi" w:cstheme="majorBidi"/>
          <w:sz w:val="26"/>
          <w:szCs w:val="26"/>
        </w:rPr>
        <w:t xml:space="preserve"> as well as</w:t>
      </w:r>
      <w:r w:rsidR="005B4DCE" w:rsidRPr="00FA6DEA">
        <w:rPr>
          <w:rFonts w:asciiTheme="majorBidi" w:hAnsiTheme="majorBidi" w:cstheme="majorBidi"/>
          <w:sz w:val="26"/>
          <w:szCs w:val="26"/>
        </w:rPr>
        <w:t xml:space="preserve"> supporting 150 events and activities within the National Culture Day.</w:t>
      </w:r>
    </w:p>
    <w:p w14:paraId="6BBD42BB" w14:textId="6E94B490" w:rsidR="005B4DCE" w:rsidRPr="00FA6DEA" w:rsidRDefault="00744829" w:rsidP="00E63139">
      <w:pPr>
        <w:spacing w:line="240" w:lineRule="auto"/>
        <w:jc w:val="both"/>
        <w:rPr>
          <w:rFonts w:asciiTheme="majorBidi" w:hAnsiTheme="majorBidi" w:cstheme="majorBidi"/>
          <w:sz w:val="26"/>
          <w:szCs w:val="26"/>
        </w:rPr>
      </w:pPr>
      <w:r w:rsidRPr="00FA6DEA">
        <w:rPr>
          <w:rFonts w:asciiTheme="majorBidi" w:hAnsiTheme="majorBidi" w:cstheme="majorBidi"/>
          <w:sz w:val="26"/>
          <w:szCs w:val="26"/>
        </w:rPr>
        <w:t xml:space="preserve">Additionally, </w:t>
      </w:r>
      <w:proofErr w:type="spellStart"/>
      <w:r w:rsidRPr="00FA6DEA">
        <w:rPr>
          <w:rFonts w:asciiTheme="majorBidi" w:hAnsiTheme="majorBidi" w:cstheme="majorBidi"/>
          <w:sz w:val="26"/>
          <w:szCs w:val="26"/>
        </w:rPr>
        <w:t>MoC</w:t>
      </w:r>
      <w:proofErr w:type="spellEnd"/>
      <w:r w:rsidRPr="00FA6DEA">
        <w:rPr>
          <w:rFonts w:asciiTheme="majorBidi" w:hAnsiTheme="majorBidi" w:cstheme="majorBidi"/>
          <w:sz w:val="26"/>
          <w:szCs w:val="26"/>
        </w:rPr>
        <w:t xml:space="preserve"> organized t</w:t>
      </w:r>
      <w:r w:rsidR="005B4DCE" w:rsidRPr="00FA6DEA">
        <w:rPr>
          <w:rFonts w:asciiTheme="majorBidi" w:hAnsiTheme="majorBidi" w:cstheme="majorBidi"/>
          <w:sz w:val="26"/>
          <w:szCs w:val="26"/>
        </w:rPr>
        <w:t xml:space="preserve">he </w:t>
      </w:r>
      <w:proofErr w:type="spellStart"/>
      <w:r w:rsidR="005B4DCE" w:rsidRPr="00FA6DEA">
        <w:rPr>
          <w:rFonts w:asciiTheme="majorBidi" w:hAnsiTheme="majorBidi" w:cstheme="majorBidi"/>
          <w:sz w:val="26"/>
          <w:szCs w:val="26"/>
        </w:rPr>
        <w:t>Dabkeh</w:t>
      </w:r>
      <w:proofErr w:type="spellEnd"/>
      <w:r w:rsidR="005B4DCE" w:rsidRPr="00FA6DEA">
        <w:rPr>
          <w:rFonts w:asciiTheme="majorBidi" w:hAnsiTheme="majorBidi" w:cstheme="majorBidi"/>
          <w:sz w:val="26"/>
          <w:szCs w:val="26"/>
        </w:rPr>
        <w:t xml:space="preserve"> Folk Festival on the occasion of the 74</w:t>
      </w:r>
      <w:r w:rsidR="005B4DCE" w:rsidRPr="00FA6DEA">
        <w:rPr>
          <w:rFonts w:asciiTheme="majorBidi" w:hAnsiTheme="majorBidi" w:cstheme="majorBidi"/>
          <w:sz w:val="26"/>
          <w:szCs w:val="26"/>
          <w:vertAlign w:val="superscript"/>
        </w:rPr>
        <w:t xml:space="preserve">th </w:t>
      </w:r>
      <w:r w:rsidR="005B4DCE" w:rsidRPr="00FA6DEA">
        <w:rPr>
          <w:rFonts w:asciiTheme="majorBidi" w:hAnsiTheme="majorBidi" w:cstheme="majorBidi"/>
          <w:sz w:val="26"/>
          <w:szCs w:val="26"/>
        </w:rPr>
        <w:t>anniversary of the Nakba, with</w:t>
      </w:r>
      <w:r w:rsidRPr="00FA6DEA">
        <w:rPr>
          <w:rFonts w:asciiTheme="majorBidi" w:hAnsiTheme="majorBidi" w:cstheme="majorBidi"/>
          <w:sz w:val="26"/>
          <w:szCs w:val="26"/>
        </w:rPr>
        <w:t xml:space="preserve"> the participation of</w:t>
      </w:r>
      <w:r w:rsidR="005B4DCE" w:rsidRPr="00FA6DEA">
        <w:rPr>
          <w:rFonts w:asciiTheme="majorBidi" w:hAnsiTheme="majorBidi" w:cstheme="majorBidi"/>
          <w:sz w:val="26"/>
          <w:szCs w:val="26"/>
        </w:rPr>
        <w:t xml:space="preserve"> 30 </w:t>
      </w:r>
      <w:proofErr w:type="spellStart"/>
      <w:r w:rsidR="003B66D6" w:rsidRPr="00FA6DEA">
        <w:rPr>
          <w:rFonts w:asciiTheme="majorBidi" w:hAnsiTheme="majorBidi" w:cstheme="majorBidi"/>
          <w:sz w:val="26"/>
          <w:szCs w:val="26"/>
        </w:rPr>
        <w:t>Dabke</w:t>
      </w:r>
      <w:r w:rsidRPr="00FA6DEA">
        <w:rPr>
          <w:rFonts w:asciiTheme="majorBidi" w:hAnsiTheme="majorBidi" w:cstheme="majorBidi"/>
          <w:sz w:val="26"/>
          <w:szCs w:val="26"/>
        </w:rPr>
        <w:t>h</w:t>
      </w:r>
      <w:proofErr w:type="spellEnd"/>
      <w:r w:rsidR="003B66D6" w:rsidRPr="00FA6DEA">
        <w:rPr>
          <w:rFonts w:asciiTheme="majorBidi" w:hAnsiTheme="majorBidi" w:cstheme="majorBidi"/>
          <w:sz w:val="26"/>
          <w:szCs w:val="26"/>
        </w:rPr>
        <w:t xml:space="preserve"> band</w:t>
      </w:r>
      <w:r w:rsidRPr="00FA6DEA">
        <w:rPr>
          <w:rFonts w:asciiTheme="majorBidi" w:hAnsiTheme="majorBidi" w:cstheme="majorBidi"/>
          <w:sz w:val="26"/>
          <w:szCs w:val="26"/>
        </w:rPr>
        <w:t xml:space="preserve">s, in order to have this cultural activity enlisted among the representative items of the </w:t>
      </w:r>
      <w:r w:rsidR="00E63139" w:rsidRPr="00FA6DEA">
        <w:rPr>
          <w:rFonts w:asciiTheme="majorBidi" w:hAnsiTheme="majorBidi" w:cstheme="majorBidi"/>
          <w:sz w:val="26"/>
          <w:szCs w:val="26"/>
        </w:rPr>
        <w:t>intangible</w:t>
      </w:r>
      <w:r w:rsidRPr="00FA6DEA">
        <w:rPr>
          <w:rFonts w:asciiTheme="majorBidi" w:hAnsiTheme="majorBidi" w:cstheme="majorBidi"/>
          <w:sz w:val="26"/>
          <w:szCs w:val="26"/>
        </w:rPr>
        <w:t xml:space="preserve"> cultural heritage at the UNESCO</w:t>
      </w:r>
      <w:r w:rsidR="008A17AA" w:rsidRPr="00FA6DEA">
        <w:rPr>
          <w:rFonts w:asciiTheme="majorBidi" w:hAnsiTheme="majorBidi" w:cstheme="majorBidi"/>
          <w:sz w:val="26"/>
          <w:szCs w:val="26"/>
        </w:rPr>
        <w:t>.</w:t>
      </w:r>
      <w:r w:rsidRPr="00FA6DEA">
        <w:rPr>
          <w:rFonts w:asciiTheme="majorBidi" w:hAnsiTheme="majorBidi" w:cstheme="majorBidi"/>
          <w:sz w:val="26"/>
          <w:szCs w:val="26"/>
        </w:rPr>
        <w:t xml:space="preserve"> </w:t>
      </w:r>
    </w:p>
    <w:p w14:paraId="56B5E769" w14:textId="072AB2E0" w:rsidR="005B4DCE" w:rsidRPr="00FA6DEA" w:rsidRDefault="00744829" w:rsidP="00744829">
      <w:pPr>
        <w:spacing w:line="240" w:lineRule="auto"/>
        <w:jc w:val="both"/>
        <w:rPr>
          <w:rFonts w:asciiTheme="majorBidi" w:hAnsiTheme="majorBidi" w:cstheme="majorBidi"/>
          <w:sz w:val="26"/>
          <w:szCs w:val="26"/>
        </w:rPr>
      </w:pPr>
      <w:r w:rsidRPr="00FA6DEA">
        <w:rPr>
          <w:rFonts w:asciiTheme="majorBidi" w:hAnsiTheme="majorBidi" w:cstheme="majorBidi"/>
          <w:sz w:val="26"/>
          <w:szCs w:val="26"/>
        </w:rPr>
        <w:t xml:space="preserve">Lastly, </w:t>
      </w:r>
      <w:proofErr w:type="spellStart"/>
      <w:r w:rsidRPr="00FA6DEA">
        <w:rPr>
          <w:rFonts w:asciiTheme="majorBidi" w:hAnsiTheme="majorBidi" w:cstheme="majorBidi"/>
          <w:sz w:val="26"/>
          <w:szCs w:val="26"/>
        </w:rPr>
        <w:t>MoC</w:t>
      </w:r>
      <w:proofErr w:type="spellEnd"/>
      <w:r w:rsidRPr="00FA6DEA">
        <w:rPr>
          <w:rFonts w:asciiTheme="majorBidi" w:hAnsiTheme="majorBidi" w:cstheme="majorBidi"/>
          <w:sz w:val="26"/>
          <w:szCs w:val="26"/>
        </w:rPr>
        <w:t xml:space="preserve"> organized </w:t>
      </w:r>
      <w:r w:rsidR="005B4DCE" w:rsidRPr="00FA6DEA">
        <w:rPr>
          <w:rFonts w:asciiTheme="majorBidi" w:hAnsiTheme="majorBidi" w:cstheme="majorBidi"/>
          <w:sz w:val="26"/>
          <w:szCs w:val="26"/>
        </w:rPr>
        <w:t xml:space="preserve">30 training courses in the field of traditional industries and held 4 </w:t>
      </w:r>
      <w:r w:rsidRPr="00FA6DEA">
        <w:rPr>
          <w:rFonts w:asciiTheme="majorBidi" w:hAnsiTheme="majorBidi" w:cstheme="majorBidi"/>
          <w:sz w:val="26"/>
          <w:szCs w:val="26"/>
        </w:rPr>
        <w:t xml:space="preserve">exhibitions </w:t>
      </w:r>
      <w:r w:rsidR="005B4DCE" w:rsidRPr="00FA6DEA">
        <w:rPr>
          <w:rFonts w:asciiTheme="majorBidi" w:hAnsiTheme="majorBidi" w:cstheme="majorBidi"/>
          <w:sz w:val="26"/>
          <w:szCs w:val="26"/>
        </w:rPr>
        <w:t xml:space="preserve">to promote traditional industries. </w:t>
      </w:r>
    </w:p>
    <w:p w14:paraId="0F1968AB" w14:textId="77777777" w:rsidR="00BC30CC" w:rsidRDefault="00BC30CC" w:rsidP="00406518">
      <w:pPr>
        <w:spacing w:after="0" w:line="240" w:lineRule="auto"/>
        <w:ind w:hanging="142"/>
        <w:jc w:val="both"/>
        <w:rPr>
          <w:rFonts w:asciiTheme="majorBidi" w:hAnsiTheme="majorBidi" w:cstheme="majorBidi"/>
          <w:b/>
          <w:bCs/>
        </w:rPr>
      </w:pPr>
    </w:p>
    <w:p w14:paraId="1B7B7B24" w14:textId="227E2E23" w:rsidR="00406518" w:rsidRPr="00FA6DEA" w:rsidRDefault="00FA6DEA" w:rsidP="00406518">
      <w:pPr>
        <w:spacing w:after="0" w:line="240" w:lineRule="auto"/>
        <w:ind w:hanging="142"/>
        <w:jc w:val="both"/>
        <w:rPr>
          <w:rFonts w:asciiTheme="majorBidi" w:hAnsiTheme="majorBidi" w:cstheme="majorBidi"/>
          <w:b/>
          <w:bCs/>
          <w:sz w:val="24"/>
          <w:szCs w:val="24"/>
        </w:rPr>
      </w:pPr>
      <w:r w:rsidRPr="00FA6DEA">
        <w:rPr>
          <w:rFonts w:asciiTheme="majorBidi" w:hAnsiTheme="majorBidi" w:cstheme="majorBidi"/>
          <w:b/>
          <w:bCs/>
          <w:sz w:val="24"/>
          <w:szCs w:val="24"/>
        </w:rPr>
        <w:t xml:space="preserve">   </w:t>
      </w:r>
      <w:r w:rsidR="00406518" w:rsidRPr="00FA6DEA">
        <w:rPr>
          <w:rFonts w:asciiTheme="majorBidi" w:hAnsiTheme="majorBidi" w:cstheme="majorBidi"/>
          <w:b/>
          <w:bCs/>
          <w:sz w:val="24"/>
          <w:szCs w:val="24"/>
        </w:rPr>
        <w:t>Sources:</w:t>
      </w:r>
    </w:p>
    <w:p w14:paraId="6B2FDF4E" w14:textId="38E515E4" w:rsidR="00406518" w:rsidRDefault="00406518" w:rsidP="00A6279F">
      <w:pPr>
        <w:pStyle w:val="ListParagraph"/>
        <w:numPr>
          <w:ilvl w:val="0"/>
          <w:numId w:val="3"/>
        </w:numPr>
        <w:spacing w:after="0" w:line="240" w:lineRule="auto"/>
        <w:ind w:left="284" w:hanging="291"/>
        <w:jc w:val="both"/>
        <w:rPr>
          <w:rFonts w:asciiTheme="majorBidi" w:hAnsiTheme="majorBidi" w:cstheme="majorBidi"/>
          <w:b/>
          <w:bCs/>
          <w:sz w:val="24"/>
          <w:szCs w:val="24"/>
        </w:rPr>
      </w:pPr>
      <w:r w:rsidRPr="00FA6DEA">
        <w:rPr>
          <w:rFonts w:asciiTheme="majorBidi" w:hAnsiTheme="majorBidi" w:cstheme="majorBidi"/>
          <w:b/>
          <w:bCs/>
          <w:sz w:val="24"/>
          <w:szCs w:val="24"/>
        </w:rPr>
        <w:t xml:space="preserve">Palestinian Central Bureau of Statistics, </w:t>
      </w:r>
      <w:r w:rsidR="00A6279F" w:rsidRPr="00FA6DEA">
        <w:rPr>
          <w:rFonts w:asciiTheme="majorBidi" w:hAnsiTheme="majorBidi" w:cstheme="majorBidi"/>
          <w:b/>
          <w:bCs/>
          <w:sz w:val="24"/>
          <w:szCs w:val="24"/>
        </w:rPr>
        <w:t>2023</w:t>
      </w:r>
      <w:r w:rsidRPr="00FA6DEA">
        <w:rPr>
          <w:rFonts w:asciiTheme="majorBidi" w:hAnsiTheme="majorBidi" w:cstheme="majorBidi"/>
          <w:b/>
          <w:bCs/>
          <w:sz w:val="24"/>
          <w:szCs w:val="24"/>
        </w:rPr>
        <w:t>.</w:t>
      </w:r>
      <w:r w:rsidRPr="00FA6DEA">
        <w:rPr>
          <w:rFonts w:asciiTheme="majorBidi" w:hAnsiTheme="majorBidi" w:cstheme="majorBidi"/>
          <w:sz w:val="24"/>
          <w:szCs w:val="24"/>
        </w:rPr>
        <w:t xml:space="preserve"> Database </w:t>
      </w:r>
      <w:r w:rsidR="005D3B42" w:rsidRPr="00FA6DEA">
        <w:rPr>
          <w:rFonts w:asciiTheme="majorBidi" w:hAnsiTheme="majorBidi" w:cstheme="majorBidi"/>
          <w:sz w:val="24"/>
          <w:szCs w:val="24"/>
        </w:rPr>
        <w:t>of Comprehensive</w:t>
      </w:r>
      <w:r w:rsidRPr="00FA6DEA">
        <w:rPr>
          <w:rFonts w:asciiTheme="majorBidi" w:hAnsiTheme="majorBidi" w:cstheme="majorBidi"/>
          <w:sz w:val="24"/>
          <w:szCs w:val="24"/>
        </w:rPr>
        <w:t xml:space="preserve"> Survey on Cultural </w:t>
      </w:r>
      <w:r w:rsidR="005D3B42" w:rsidRPr="00FA6DEA">
        <w:rPr>
          <w:rFonts w:asciiTheme="majorBidi" w:hAnsiTheme="majorBidi" w:cstheme="majorBidi"/>
          <w:sz w:val="24"/>
          <w:szCs w:val="24"/>
        </w:rPr>
        <w:t>Centres, Museums</w:t>
      </w:r>
      <w:r w:rsidRPr="00FA6DEA">
        <w:rPr>
          <w:rFonts w:asciiTheme="majorBidi" w:hAnsiTheme="majorBidi" w:cstheme="majorBidi"/>
          <w:sz w:val="24"/>
          <w:szCs w:val="24"/>
        </w:rPr>
        <w:t xml:space="preserve"> and Theatres, </w:t>
      </w:r>
      <w:r w:rsidR="00A6279F" w:rsidRPr="00FA6DEA">
        <w:rPr>
          <w:rFonts w:asciiTheme="majorBidi" w:hAnsiTheme="majorBidi" w:cstheme="majorBidi"/>
          <w:sz w:val="24"/>
          <w:szCs w:val="24"/>
        </w:rPr>
        <w:t>2022</w:t>
      </w:r>
      <w:r w:rsidRPr="00FA6DEA">
        <w:rPr>
          <w:rFonts w:asciiTheme="majorBidi" w:hAnsiTheme="majorBidi" w:cstheme="majorBidi"/>
          <w:sz w:val="24"/>
          <w:szCs w:val="24"/>
        </w:rPr>
        <w:t>. Ramallah-Palestine</w:t>
      </w:r>
      <w:r w:rsidRPr="00FA6DEA">
        <w:rPr>
          <w:rFonts w:asciiTheme="majorBidi" w:hAnsiTheme="majorBidi" w:cstheme="majorBidi"/>
          <w:b/>
          <w:bCs/>
          <w:sz w:val="24"/>
          <w:szCs w:val="24"/>
        </w:rPr>
        <w:t>.</w:t>
      </w:r>
    </w:p>
    <w:p w14:paraId="4785A9AD" w14:textId="77777777" w:rsidR="00FA6DEA" w:rsidRPr="00FA6DEA" w:rsidRDefault="00FA6DEA" w:rsidP="00FA6DEA">
      <w:pPr>
        <w:pStyle w:val="ListParagraph"/>
        <w:spacing w:after="0" w:line="240" w:lineRule="auto"/>
        <w:ind w:left="284"/>
        <w:jc w:val="both"/>
        <w:rPr>
          <w:rFonts w:asciiTheme="majorBidi" w:hAnsiTheme="majorBidi" w:cstheme="majorBidi"/>
          <w:b/>
          <w:bCs/>
          <w:sz w:val="24"/>
          <w:szCs w:val="24"/>
        </w:rPr>
      </w:pPr>
    </w:p>
    <w:p w14:paraId="26969B43" w14:textId="529A982F" w:rsidR="00406518" w:rsidRPr="00FA6DEA" w:rsidRDefault="00406518" w:rsidP="00A6279F">
      <w:pPr>
        <w:pStyle w:val="ListParagraph"/>
        <w:numPr>
          <w:ilvl w:val="0"/>
          <w:numId w:val="3"/>
        </w:numPr>
        <w:spacing w:after="0" w:line="240" w:lineRule="auto"/>
        <w:ind w:left="284" w:hanging="291"/>
        <w:jc w:val="both"/>
        <w:rPr>
          <w:rFonts w:asciiTheme="majorBidi" w:hAnsiTheme="majorBidi" w:cstheme="majorBidi"/>
          <w:sz w:val="24"/>
          <w:szCs w:val="24"/>
        </w:rPr>
      </w:pPr>
      <w:r w:rsidRPr="00FA6DEA">
        <w:rPr>
          <w:rFonts w:asciiTheme="majorBidi" w:hAnsiTheme="majorBidi" w:cstheme="majorBidi"/>
          <w:b/>
          <w:bCs/>
          <w:sz w:val="24"/>
          <w:szCs w:val="24"/>
        </w:rPr>
        <w:t xml:space="preserve">Ministry of Culture </w:t>
      </w:r>
      <w:r w:rsidR="00A6279F" w:rsidRPr="00FA6DEA">
        <w:rPr>
          <w:rFonts w:asciiTheme="majorBidi" w:hAnsiTheme="majorBidi" w:cstheme="majorBidi"/>
          <w:b/>
          <w:bCs/>
          <w:sz w:val="24"/>
          <w:szCs w:val="24"/>
        </w:rPr>
        <w:t>2023</w:t>
      </w:r>
      <w:r w:rsidRPr="00FA6DEA">
        <w:rPr>
          <w:rFonts w:asciiTheme="majorBidi" w:hAnsiTheme="majorBidi" w:cstheme="majorBidi"/>
          <w:b/>
          <w:bCs/>
          <w:sz w:val="24"/>
          <w:szCs w:val="24"/>
        </w:rPr>
        <w:t>. </w:t>
      </w:r>
      <w:r w:rsidRPr="00FA6DEA">
        <w:rPr>
          <w:rFonts w:asciiTheme="majorBidi" w:hAnsiTheme="majorBidi" w:cstheme="majorBidi"/>
          <w:sz w:val="24"/>
          <w:szCs w:val="24"/>
        </w:rPr>
        <w:t xml:space="preserve">Directorate of Planning &amp; Project Management. Database of Administrative Records, </w:t>
      </w:r>
      <w:r w:rsidR="00A6279F" w:rsidRPr="00FA6DEA">
        <w:rPr>
          <w:rFonts w:asciiTheme="majorBidi" w:hAnsiTheme="majorBidi" w:cstheme="majorBidi"/>
          <w:sz w:val="24"/>
          <w:szCs w:val="24"/>
        </w:rPr>
        <w:t>2022</w:t>
      </w:r>
      <w:r w:rsidRPr="00FA6DEA">
        <w:rPr>
          <w:rFonts w:asciiTheme="majorBidi" w:hAnsiTheme="majorBidi" w:cstheme="majorBidi"/>
          <w:sz w:val="24"/>
          <w:szCs w:val="24"/>
        </w:rPr>
        <w:t>. Ramallah – Palestine.</w:t>
      </w:r>
    </w:p>
    <w:p w14:paraId="0FCD2B61" w14:textId="0416F425" w:rsidR="00BC30CC" w:rsidRPr="00FA6DEA" w:rsidRDefault="00BC30CC" w:rsidP="00BC30CC">
      <w:pPr>
        <w:spacing w:after="0" w:line="240" w:lineRule="auto"/>
        <w:jc w:val="both"/>
        <w:rPr>
          <w:rFonts w:asciiTheme="majorBidi" w:hAnsiTheme="majorBidi" w:cstheme="majorBidi"/>
          <w:sz w:val="24"/>
          <w:szCs w:val="24"/>
        </w:rPr>
      </w:pPr>
    </w:p>
    <w:p w14:paraId="7ACF30C7" w14:textId="77777777" w:rsidR="00406518" w:rsidRPr="00CB3B11" w:rsidRDefault="00406518" w:rsidP="00406518">
      <w:pPr>
        <w:spacing w:after="0" w:line="240" w:lineRule="auto"/>
        <w:jc w:val="both"/>
        <w:rPr>
          <w:rFonts w:asciiTheme="majorBidi" w:hAnsiTheme="majorBidi" w:cstheme="majorBidi"/>
          <w:color w:val="FF0000"/>
          <w:sz w:val="20"/>
          <w:szCs w:val="20"/>
        </w:rPr>
      </w:pPr>
    </w:p>
    <w:p w14:paraId="5D1DCDC6" w14:textId="77777777" w:rsidR="0044226D" w:rsidRPr="00CB3B11" w:rsidRDefault="0044226D" w:rsidP="00406518">
      <w:pPr>
        <w:rPr>
          <w:rFonts w:asciiTheme="majorBidi" w:hAnsiTheme="majorBidi" w:cstheme="majorBidi"/>
          <w:color w:val="FF0000"/>
          <w:szCs w:val="20"/>
        </w:rPr>
      </w:pPr>
    </w:p>
    <w:sectPr w:rsidR="0044226D" w:rsidRPr="00CB3B11" w:rsidSect="00FA6DEA">
      <w:footerReference w:type="default" r:id="rId9"/>
      <w:type w:val="continuous"/>
      <w:pgSz w:w="12240" w:h="15840"/>
      <w:pgMar w:top="386" w:right="680" w:bottom="624" w:left="680" w:header="142"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ADAD83" w14:textId="77777777" w:rsidR="005E2CC3" w:rsidRDefault="005E2CC3" w:rsidP="00803C11">
      <w:pPr>
        <w:spacing w:after="0" w:line="240" w:lineRule="auto"/>
      </w:pPr>
      <w:r>
        <w:separator/>
      </w:r>
    </w:p>
  </w:endnote>
  <w:endnote w:type="continuationSeparator" w:id="0">
    <w:p w14:paraId="39735D7A" w14:textId="77777777" w:rsidR="005E2CC3" w:rsidRDefault="005E2CC3" w:rsidP="00803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plified Arabic">
    <w:altName w:val="Times New Roman"/>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0457972"/>
      <w:docPartObj>
        <w:docPartGallery w:val="Page Numbers (Bottom of Page)"/>
        <w:docPartUnique/>
      </w:docPartObj>
    </w:sdtPr>
    <w:sdtEndPr/>
    <w:sdtContent>
      <w:p w14:paraId="41B18332" w14:textId="2411F8B4" w:rsidR="00CB3B11" w:rsidRDefault="00CB3B11">
        <w:pPr>
          <w:pStyle w:val="Footer"/>
          <w:jc w:val="center"/>
        </w:pPr>
        <w:r>
          <w:fldChar w:fldCharType="begin"/>
        </w:r>
        <w:r>
          <w:instrText xml:space="preserve"> PAGE   \* MERGEFORMAT </w:instrText>
        </w:r>
        <w:r>
          <w:fldChar w:fldCharType="separate"/>
        </w:r>
        <w:r w:rsidR="00FA6DEA">
          <w:rPr>
            <w:noProof/>
          </w:rPr>
          <w:t>1</w:t>
        </w:r>
        <w:r>
          <w:rPr>
            <w:noProof/>
          </w:rPr>
          <w:fldChar w:fldCharType="end"/>
        </w:r>
      </w:p>
    </w:sdtContent>
  </w:sdt>
  <w:p w14:paraId="285B0637" w14:textId="77777777" w:rsidR="00CB3B11" w:rsidRDefault="00CB3B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0F0D4F" w14:textId="77777777" w:rsidR="005E2CC3" w:rsidRDefault="005E2CC3" w:rsidP="00803C11">
      <w:pPr>
        <w:spacing w:after="0" w:line="240" w:lineRule="auto"/>
      </w:pPr>
      <w:r>
        <w:separator/>
      </w:r>
    </w:p>
  </w:footnote>
  <w:footnote w:type="continuationSeparator" w:id="0">
    <w:p w14:paraId="6F52235D" w14:textId="77777777" w:rsidR="005E2CC3" w:rsidRDefault="005E2CC3" w:rsidP="00803C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D7C03"/>
    <w:multiLevelType w:val="hybridMultilevel"/>
    <w:tmpl w:val="EBA26B9E"/>
    <w:lvl w:ilvl="0" w:tplc="2200D422">
      <w:start w:val="1"/>
      <w:numFmt w:val="decimal"/>
      <w:lvlText w:val="%1."/>
      <w:lvlJc w:val="left"/>
      <w:pPr>
        <w:ind w:left="353" w:hanging="360"/>
      </w:pPr>
      <w:rPr>
        <w:rFonts w:ascii="Times New Roman" w:hAnsi="Times New Roman" w:cs="Times New Roman" w:hint="default"/>
        <w:b w:val="0"/>
        <w:bCs w:val="0"/>
      </w:rPr>
    </w:lvl>
    <w:lvl w:ilvl="1" w:tplc="04090019" w:tentative="1">
      <w:start w:val="1"/>
      <w:numFmt w:val="lowerLetter"/>
      <w:lvlText w:val="%2."/>
      <w:lvlJc w:val="left"/>
      <w:pPr>
        <w:ind w:left="1073" w:hanging="360"/>
      </w:pPr>
    </w:lvl>
    <w:lvl w:ilvl="2" w:tplc="0409001B" w:tentative="1">
      <w:start w:val="1"/>
      <w:numFmt w:val="lowerRoman"/>
      <w:lvlText w:val="%3."/>
      <w:lvlJc w:val="right"/>
      <w:pPr>
        <w:ind w:left="1793" w:hanging="180"/>
      </w:pPr>
    </w:lvl>
    <w:lvl w:ilvl="3" w:tplc="0409000F" w:tentative="1">
      <w:start w:val="1"/>
      <w:numFmt w:val="decimal"/>
      <w:lvlText w:val="%4."/>
      <w:lvlJc w:val="left"/>
      <w:pPr>
        <w:ind w:left="2513" w:hanging="360"/>
      </w:pPr>
    </w:lvl>
    <w:lvl w:ilvl="4" w:tplc="04090019" w:tentative="1">
      <w:start w:val="1"/>
      <w:numFmt w:val="lowerLetter"/>
      <w:lvlText w:val="%5."/>
      <w:lvlJc w:val="left"/>
      <w:pPr>
        <w:ind w:left="3233" w:hanging="360"/>
      </w:pPr>
    </w:lvl>
    <w:lvl w:ilvl="5" w:tplc="0409001B" w:tentative="1">
      <w:start w:val="1"/>
      <w:numFmt w:val="lowerRoman"/>
      <w:lvlText w:val="%6."/>
      <w:lvlJc w:val="right"/>
      <w:pPr>
        <w:ind w:left="3953" w:hanging="180"/>
      </w:pPr>
    </w:lvl>
    <w:lvl w:ilvl="6" w:tplc="0409000F" w:tentative="1">
      <w:start w:val="1"/>
      <w:numFmt w:val="decimal"/>
      <w:lvlText w:val="%7."/>
      <w:lvlJc w:val="left"/>
      <w:pPr>
        <w:ind w:left="4673" w:hanging="360"/>
      </w:pPr>
    </w:lvl>
    <w:lvl w:ilvl="7" w:tplc="04090019" w:tentative="1">
      <w:start w:val="1"/>
      <w:numFmt w:val="lowerLetter"/>
      <w:lvlText w:val="%8."/>
      <w:lvlJc w:val="left"/>
      <w:pPr>
        <w:ind w:left="5393" w:hanging="360"/>
      </w:pPr>
    </w:lvl>
    <w:lvl w:ilvl="8" w:tplc="0409001B" w:tentative="1">
      <w:start w:val="1"/>
      <w:numFmt w:val="lowerRoman"/>
      <w:lvlText w:val="%9."/>
      <w:lvlJc w:val="right"/>
      <w:pPr>
        <w:ind w:left="6113" w:hanging="180"/>
      </w:pPr>
    </w:lvl>
  </w:abstractNum>
  <w:abstractNum w:abstractNumId="1" w15:restartNumberingAfterBreak="0">
    <w:nsid w:val="26E4448F"/>
    <w:multiLevelType w:val="hybridMultilevel"/>
    <w:tmpl w:val="AEC2BB1E"/>
    <w:lvl w:ilvl="0" w:tplc="ED64BC8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C447EC"/>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doNotTrackFormatting/>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6B8"/>
    <w:rsid w:val="000002D9"/>
    <w:rsid w:val="00001492"/>
    <w:rsid w:val="00002994"/>
    <w:rsid w:val="0000501C"/>
    <w:rsid w:val="000055E0"/>
    <w:rsid w:val="0000567A"/>
    <w:rsid w:val="0000588C"/>
    <w:rsid w:val="00006C08"/>
    <w:rsid w:val="000075E0"/>
    <w:rsid w:val="00007ADC"/>
    <w:rsid w:val="00015860"/>
    <w:rsid w:val="000201C8"/>
    <w:rsid w:val="00022087"/>
    <w:rsid w:val="00024951"/>
    <w:rsid w:val="00030CF9"/>
    <w:rsid w:val="00031C90"/>
    <w:rsid w:val="00035F1C"/>
    <w:rsid w:val="0004435C"/>
    <w:rsid w:val="000447C4"/>
    <w:rsid w:val="00045EE0"/>
    <w:rsid w:val="00046CDE"/>
    <w:rsid w:val="0005107E"/>
    <w:rsid w:val="00055EE0"/>
    <w:rsid w:val="000631A6"/>
    <w:rsid w:val="00063238"/>
    <w:rsid w:val="000641B3"/>
    <w:rsid w:val="00065BF8"/>
    <w:rsid w:val="000702A2"/>
    <w:rsid w:val="000827E9"/>
    <w:rsid w:val="00083158"/>
    <w:rsid w:val="00086393"/>
    <w:rsid w:val="000925E4"/>
    <w:rsid w:val="000A06B8"/>
    <w:rsid w:val="000A4237"/>
    <w:rsid w:val="000A491C"/>
    <w:rsid w:val="000A66C0"/>
    <w:rsid w:val="000A6AB2"/>
    <w:rsid w:val="000A7587"/>
    <w:rsid w:val="000A759B"/>
    <w:rsid w:val="000B153D"/>
    <w:rsid w:val="000B507E"/>
    <w:rsid w:val="000B6E7B"/>
    <w:rsid w:val="000C620C"/>
    <w:rsid w:val="000C6B94"/>
    <w:rsid w:val="000D00C7"/>
    <w:rsid w:val="000D1265"/>
    <w:rsid w:val="000D74EF"/>
    <w:rsid w:val="000D7D40"/>
    <w:rsid w:val="000E368D"/>
    <w:rsid w:val="000E4ADA"/>
    <w:rsid w:val="000F102B"/>
    <w:rsid w:val="000F3BA8"/>
    <w:rsid w:val="000F4EEE"/>
    <w:rsid w:val="00100187"/>
    <w:rsid w:val="00103CCE"/>
    <w:rsid w:val="00105D14"/>
    <w:rsid w:val="0010627D"/>
    <w:rsid w:val="00111440"/>
    <w:rsid w:val="0011474C"/>
    <w:rsid w:val="00115380"/>
    <w:rsid w:val="00120F7E"/>
    <w:rsid w:val="0012136A"/>
    <w:rsid w:val="00123634"/>
    <w:rsid w:val="00124ACC"/>
    <w:rsid w:val="0012521F"/>
    <w:rsid w:val="001264F2"/>
    <w:rsid w:val="001335C5"/>
    <w:rsid w:val="0013548E"/>
    <w:rsid w:val="00136B32"/>
    <w:rsid w:val="00137576"/>
    <w:rsid w:val="00146BEA"/>
    <w:rsid w:val="0015301E"/>
    <w:rsid w:val="00154D1C"/>
    <w:rsid w:val="00157089"/>
    <w:rsid w:val="001600B2"/>
    <w:rsid w:val="00163A44"/>
    <w:rsid w:val="00170DB9"/>
    <w:rsid w:val="00177825"/>
    <w:rsid w:val="001805AB"/>
    <w:rsid w:val="001815F3"/>
    <w:rsid w:val="001820ED"/>
    <w:rsid w:val="0018296C"/>
    <w:rsid w:val="00183950"/>
    <w:rsid w:val="0019389E"/>
    <w:rsid w:val="00197060"/>
    <w:rsid w:val="00197DCA"/>
    <w:rsid w:val="001A3BA7"/>
    <w:rsid w:val="001A3E61"/>
    <w:rsid w:val="001A6DC1"/>
    <w:rsid w:val="001A7A49"/>
    <w:rsid w:val="001B29D6"/>
    <w:rsid w:val="001B332A"/>
    <w:rsid w:val="001B4D84"/>
    <w:rsid w:val="001B5022"/>
    <w:rsid w:val="001D36CE"/>
    <w:rsid w:val="001D42E3"/>
    <w:rsid w:val="001E0685"/>
    <w:rsid w:val="001E0E13"/>
    <w:rsid w:val="001E5848"/>
    <w:rsid w:val="001E6F67"/>
    <w:rsid w:val="001F1310"/>
    <w:rsid w:val="001F5063"/>
    <w:rsid w:val="001F78CF"/>
    <w:rsid w:val="00202893"/>
    <w:rsid w:val="00206332"/>
    <w:rsid w:val="002105AF"/>
    <w:rsid w:val="00211AD7"/>
    <w:rsid w:val="00213D33"/>
    <w:rsid w:val="00214E9B"/>
    <w:rsid w:val="002176CA"/>
    <w:rsid w:val="0022133B"/>
    <w:rsid w:val="00221383"/>
    <w:rsid w:val="002229E9"/>
    <w:rsid w:val="0023292C"/>
    <w:rsid w:val="00235B89"/>
    <w:rsid w:val="00235D1D"/>
    <w:rsid w:val="00236D07"/>
    <w:rsid w:val="00236D25"/>
    <w:rsid w:val="002408F5"/>
    <w:rsid w:val="00243C6C"/>
    <w:rsid w:val="00244181"/>
    <w:rsid w:val="00245A64"/>
    <w:rsid w:val="0024746C"/>
    <w:rsid w:val="002534F9"/>
    <w:rsid w:val="00253FBF"/>
    <w:rsid w:val="002601C8"/>
    <w:rsid w:val="00265712"/>
    <w:rsid w:val="0027533E"/>
    <w:rsid w:val="00277759"/>
    <w:rsid w:val="00280553"/>
    <w:rsid w:val="0028412A"/>
    <w:rsid w:val="002844A9"/>
    <w:rsid w:val="00290ED4"/>
    <w:rsid w:val="002932A5"/>
    <w:rsid w:val="00293FB6"/>
    <w:rsid w:val="002A111C"/>
    <w:rsid w:val="002A1C21"/>
    <w:rsid w:val="002A2B5F"/>
    <w:rsid w:val="002A4DCD"/>
    <w:rsid w:val="002A4F42"/>
    <w:rsid w:val="002B42A0"/>
    <w:rsid w:val="002C036D"/>
    <w:rsid w:val="002C35D1"/>
    <w:rsid w:val="002C5312"/>
    <w:rsid w:val="002D0825"/>
    <w:rsid w:val="002D0E11"/>
    <w:rsid w:val="002D1EA4"/>
    <w:rsid w:val="002D2F14"/>
    <w:rsid w:val="002D4060"/>
    <w:rsid w:val="002D5904"/>
    <w:rsid w:val="002D6B10"/>
    <w:rsid w:val="002D6CA9"/>
    <w:rsid w:val="002E1AF3"/>
    <w:rsid w:val="002E3F29"/>
    <w:rsid w:val="002E7C82"/>
    <w:rsid w:val="0030186C"/>
    <w:rsid w:val="00303DE0"/>
    <w:rsid w:val="00304D54"/>
    <w:rsid w:val="00305E26"/>
    <w:rsid w:val="00307617"/>
    <w:rsid w:val="00314884"/>
    <w:rsid w:val="0032194F"/>
    <w:rsid w:val="003233BB"/>
    <w:rsid w:val="00323957"/>
    <w:rsid w:val="0033073F"/>
    <w:rsid w:val="00354168"/>
    <w:rsid w:val="003567E3"/>
    <w:rsid w:val="00360831"/>
    <w:rsid w:val="00362021"/>
    <w:rsid w:val="0036510D"/>
    <w:rsid w:val="00370C67"/>
    <w:rsid w:val="003749A3"/>
    <w:rsid w:val="00376A51"/>
    <w:rsid w:val="003771E3"/>
    <w:rsid w:val="00380AF3"/>
    <w:rsid w:val="00390CF0"/>
    <w:rsid w:val="00394458"/>
    <w:rsid w:val="00396B40"/>
    <w:rsid w:val="003A3550"/>
    <w:rsid w:val="003A3AF6"/>
    <w:rsid w:val="003B0589"/>
    <w:rsid w:val="003B2598"/>
    <w:rsid w:val="003B66D6"/>
    <w:rsid w:val="003C250B"/>
    <w:rsid w:val="003D5565"/>
    <w:rsid w:val="003D6741"/>
    <w:rsid w:val="003E3363"/>
    <w:rsid w:val="003E3BD0"/>
    <w:rsid w:val="003E45CE"/>
    <w:rsid w:val="003E7695"/>
    <w:rsid w:val="003E770A"/>
    <w:rsid w:val="003F4234"/>
    <w:rsid w:val="00400C7E"/>
    <w:rsid w:val="00401BDE"/>
    <w:rsid w:val="004026AA"/>
    <w:rsid w:val="0040305D"/>
    <w:rsid w:val="00403282"/>
    <w:rsid w:val="00403947"/>
    <w:rsid w:val="00403DE4"/>
    <w:rsid w:val="00404F06"/>
    <w:rsid w:val="004051E5"/>
    <w:rsid w:val="00406518"/>
    <w:rsid w:val="00407B0F"/>
    <w:rsid w:val="004125BB"/>
    <w:rsid w:val="004136F5"/>
    <w:rsid w:val="00414250"/>
    <w:rsid w:val="00416522"/>
    <w:rsid w:val="00417583"/>
    <w:rsid w:val="00417B16"/>
    <w:rsid w:val="00417E33"/>
    <w:rsid w:val="00417FEF"/>
    <w:rsid w:val="0042571D"/>
    <w:rsid w:val="00426818"/>
    <w:rsid w:val="00430C6E"/>
    <w:rsid w:val="00431417"/>
    <w:rsid w:val="00434476"/>
    <w:rsid w:val="00434EE4"/>
    <w:rsid w:val="0043715F"/>
    <w:rsid w:val="004375D0"/>
    <w:rsid w:val="004378C2"/>
    <w:rsid w:val="00441EFC"/>
    <w:rsid w:val="0044226D"/>
    <w:rsid w:val="00444D18"/>
    <w:rsid w:val="004576B8"/>
    <w:rsid w:val="00464A54"/>
    <w:rsid w:val="00464F34"/>
    <w:rsid w:val="00473B08"/>
    <w:rsid w:val="004822B2"/>
    <w:rsid w:val="00482BAA"/>
    <w:rsid w:val="00482FD2"/>
    <w:rsid w:val="00487514"/>
    <w:rsid w:val="00492893"/>
    <w:rsid w:val="00496C15"/>
    <w:rsid w:val="00496E8B"/>
    <w:rsid w:val="00496F66"/>
    <w:rsid w:val="004A05DF"/>
    <w:rsid w:val="004A1846"/>
    <w:rsid w:val="004A2A66"/>
    <w:rsid w:val="004A36EF"/>
    <w:rsid w:val="004A43D5"/>
    <w:rsid w:val="004A4B04"/>
    <w:rsid w:val="004B097A"/>
    <w:rsid w:val="004B0E14"/>
    <w:rsid w:val="004B60DD"/>
    <w:rsid w:val="004C09E4"/>
    <w:rsid w:val="004C5CB6"/>
    <w:rsid w:val="004D66A8"/>
    <w:rsid w:val="004D7496"/>
    <w:rsid w:val="004E2C5F"/>
    <w:rsid w:val="004E6A65"/>
    <w:rsid w:val="004F06F1"/>
    <w:rsid w:val="004F1E95"/>
    <w:rsid w:val="004F4D58"/>
    <w:rsid w:val="004F5C1E"/>
    <w:rsid w:val="00504227"/>
    <w:rsid w:val="00505C94"/>
    <w:rsid w:val="00511602"/>
    <w:rsid w:val="005136F5"/>
    <w:rsid w:val="00513831"/>
    <w:rsid w:val="00514CFF"/>
    <w:rsid w:val="00521532"/>
    <w:rsid w:val="005260B8"/>
    <w:rsid w:val="00532D03"/>
    <w:rsid w:val="00533286"/>
    <w:rsid w:val="00535E8E"/>
    <w:rsid w:val="005368C4"/>
    <w:rsid w:val="00541CFD"/>
    <w:rsid w:val="00546646"/>
    <w:rsid w:val="005506B9"/>
    <w:rsid w:val="00552312"/>
    <w:rsid w:val="0055536F"/>
    <w:rsid w:val="00557C74"/>
    <w:rsid w:val="0056057B"/>
    <w:rsid w:val="005613F4"/>
    <w:rsid w:val="00562A94"/>
    <w:rsid w:val="005638B0"/>
    <w:rsid w:val="00566D51"/>
    <w:rsid w:val="0057263C"/>
    <w:rsid w:val="005726B8"/>
    <w:rsid w:val="00572CCF"/>
    <w:rsid w:val="00575289"/>
    <w:rsid w:val="00575AC4"/>
    <w:rsid w:val="00581606"/>
    <w:rsid w:val="0058189D"/>
    <w:rsid w:val="0058353D"/>
    <w:rsid w:val="005836C3"/>
    <w:rsid w:val="005912E5"/>
    <w:rsid w:val="00595FC6"/>
    <w:rsid w:val="005A26D7"/>
    <w:rsid w:val="005A4389"/>
    <w:rsid w:val="005A4788"/>
    <w:rsid w:val="005B17E7"/>
    <w:rsid w:val="005B4DCE"/>
    <w:rsid w:val="005D2EF6"/>
    <w:rsid w:val="005D3B42"/>
    <w:rsid w:val="005D61B4"/>
    <w:rsid w:val="005D6523"/>
    <w:rsid w:val="005E237B"/>
    <w:rsid w:val="005E2CC3"/>
    <w:rsid w:val="005E7595"/>
    <w:rsid w:val="005F5426"/>
    <w:rsid w:val="005F5963"/>
    <w:rsid w:val="006001BF"/>
    <w:rsid w:val="006019DD"/>
    <w:rsid w:val="00610296"/>
    <w:rsid w:val="0061168B"/>
    <w:rsid w:val="00612347"/>
    <w:rsid w:val="00612C01"/>
    <w:rsid w:val="00612C74"/>
    <w:rsid w:val="00613891"/>
    <w:rsid w:val="00614942"/>
    <w:rsid w:val="006165E6"/>
    <w:rsid w:val="00620E3C"/>
    <w:rsid w:val="0062537B"/>
    <w:rsid w:val="0063321C"/>
    <w:rsid w:val="0063322B"/>
    <w:rsid w:val="00635B42"/>
    <w:rsid w:val="00641B67"/>
    <w:rsid w:val="00642339"/>
    <w:rsid w:val="00642F6F"/>
    <w:rsid w:val="00650172"/>
    <w:rsid w:val="00651F06"/>
    <w:rsid w:val="00652C22"/>
    <w:rsid w:val="006538CD"/>
    <w:rsid w:val="00656C68"/>
    <w:rsid w:val="00662802"/>
    <w:rsid w:val="00677870"/>
    <w:rsid w:val="006819B8"/>
    <w:rsid w:val="00686227"/>
    <w:rsid w:val="00692609"/>
    <w:rsid w:val="006A0CB1"/>
    <w:rsid w:val="006A0F93"/>
    <w:rsid w:val="006A3CCC"/>
    <w:rsid w:val="006A4A68"/>
    <w:rsid w:val="006A5D85"/>
    <w:rsid w:val="006A78E8"/>
    <w:rsid w:val="006B0B2C"/>
    <w:rsid w:val="006B2FD9"/>
    <w:rsid w:val="006B3018"/>
    <w:rsid w:val="006B4A30"/>
    <w:rsid w:val="006B5A40"/>
    <w:rsid w:val="006B68F0"/>
    <w:rsid w:val="006C3FE5"/>
    <w:rsid w:val="006C4C51"/>
    <w:rsid w:val="006D0F83"/>
    <w:rsid w:val="006E303F"/>
    <w:rsid w:val="006E5EDC"/>
    <w:rsid w:val="006F2D60"/>
    <w:rsid w:val="006F60FE"/>
    <w:rsid w:val="006F7C45"/>
    <w:rsid w:val="00703C02"/>
    <w:rsid w:val="00707283"/>
    <w:rsid w:val="0071328F"/>
    <w:rsid w:val="00722909"/>
    <w:rsid w:val="00735120"/>
    <w:rsid w:val="00736D99"/>
    <w:rsid w:val="00744829"/>
    <w:rsid w:val="00744FC8"/>
    <w:rsid w:val="00745E55"/>
    <w:rsid w:val="0074666D"/>
    <w:rsid w:val="007472F3"/>
    <w:rsid w:val="00756D93"/>
    <w:rsid w:val="00760817"/>
    <w:rsid w:val="00760AB5"/>
    <w:rsid w:val="007619CB"/>
    <w:rsid w:val="007637BC"/>
    <w:rsid w:val="00764003"/>
    <w:rsid w:val="0077071F"/>
    <w:rsid w:val="00773ACF"/>
    <w:rsid w:val="00775DE5"/>
    <w:rsid w:val="00776ADE"/>
    <w:rsid w:val="0077701D"/>
    <w:rsid w:val="007821FC"/>
    <w:rsid w:val="00783C11"/>
    <w:rsid w:val="007844DD"/>
    <w:rsid w:val="00786401"/>
    <w:rsid w:val="0079237B"/>
    <w:rsid w:val="00797ED7"/>
    <w:rsid w:val="007A23A0"/>
    <w:rsid w:val="007A2661"/>
    <w:rsid w:val="007A5B73"/>
    <w:rsid w:val="007A6681"/>
    <w:rsid w:val="007A72E5"/>
    <w:rsid w:val="007B2697"/>
    <w:rsid w:val="007B68D1"/>
    <w:rsid w:val="007C1CD7"/>
    <w:rsid w:val="007C58A6"/>
    <w:rsid w:val="007C6D1F"/>
    <w:rsid w:val="007D3D19"/>
    <w:rsid w:val="007D7F26"/>
    <w:rsid w:val="007E130F"/>
    <w:rsid w:val="007E3B6B"/>
    <w:rsid w:val="007F1C35"/>
    <w:rsid w:val="007F32FA"/>
    <w:rsid w:val="00803727"/>
    <w:rsid w:val="00803C11"/>
    <w:rsid w:val="00811AB9"/>
    <w:rsid w:val="00815477"/>
    <w:rsid w:val="008176A6"/>
    <w:rsid w:val="00820838"/>
    <w:rsid w:val="008210EF"/>
    <w:rsid w:val="00822B5A"/>
    <w:rsid w:val="00824651"/>
    <w:rsid w:val="00824B3B"/>
    <w:rsid w:val="00832905"/>
    <w:rsid w:val="0083345B"/>
    <w:rsid w:val="00834FC0"/>
    <w:rsid w:val="00843556"/>
    <w:rsid w:val="008463C5"/>
    <w:rsid w:val="00846417"/>
    <w:rsid w:val="00850548"/>
    <w:rsid w:val="00850C2A"/>
    <w:rsid w:val="00851093"/>
    <w:rsid w:val="00854135"/>
    <w:rsid w:val="00856B1F"/>
    <w:rsid w:val="00857AC1"/>
    <w:rsid w:val="00857BF8"/>
    <w:rsid w:val="00863478"/>
    <w:rsid w:val="0086417C"/>
    <w:rsid w:val="00864F12"/>
    <w:rsid w:val="00865361"/>
    <w:rsid w:val="008653D4"/>
    <w:rsid w:val="00870156"/>
    <w:rsid w:val="00872141"/>
    <w:rsid w:val="00873134"/>
    <w:rsid w:val="00883F92"/>
    <w:rsid w:val="00886127"/>
    <w:rsid w:val="008A17AA"/>
    <w:rsid w:val="008A5FC8"/>
    <w:rsid w:val="008A7196"/>
    <w:rsid w:val="008A7A9F"/>
    <w:rsid w:val="008B2E90"/>
    <w:rsid w:val="008B5C7E"/>
    <w:rsid w:val="008C19F5"/>
    <w:rsid w:val="008E3111"/>
    <w:rsid w:val="008F3B64"/>
    <w:rsid w:val="009013CD"/>
    <w:rsid w:val="00905505"/>
    <w:rsid w:val="00907CB4"/>
    <w:rsid w:val="00911426"/>
    <w:rsid w:val="00913B8C"/>
    <w:rsid w:val="00917732"/>
    <w:rsid w:val="00922EC3"/>
    <w:rsid w:val="0092634E"/>
    <w:rsid w:val="00931D73"/>
    <w:rsid w:val="00935127"/>
    <w:rsid w:val="0093619E"/>
    <w:rsid w:val="0094413B"/>
    <w:rsid w:val="00946F12"/>
    <w:rsid w:val="00950900"/>
    <w:rsid w:val="009516D4"/>
    <w:rsid w:val="00954CE7"/>
    <w:rsid w:val="00957F16"/>
    <w:rsid w:val="0096257E"/>
    <w:rsid w:val="009628A2"/>
    <w:rsid w:val="00964242"/>
    <w:rsid w:val="009669FE"/>
    <w:rsid w:val="009729A1"/>
    <w:rsid w:val="0097789F"/>
    <w:rsid w:val="00977BF9"/>
    <w:rsid w:val="009801A3"/>
    <w:rsid w:val="00981219"/>
    <w:rsid w:val="0098509F"/>
    <w:rsid w:val="009863FA"/>
    <w:rsid w:val="0098697F"/>
    <w:rsid w:val="009912DE"/>
    <w:rsid w:val="0099164C"/>
    <w:rsid w:val="00991A5D"/>
    <w:rsid w:val="00992801"/>
    <w:rsid w:val="00996891"/>
    <w:rsid w:val="00997F97"/>
    <w:rsid w:val="009A202C"/>
    <w:rsid w:val="009A2472"/>
    <w:rsid w:val="009A35B6"/>
    <w:rsid w:val="009B76DF"/>
    <w:rsid w:val="009C26E8"/>
    <w:rsid w:val="009C58A7"/>
    <w:rsid w:val="009C6246"/>
    <w:rsid w:val="009D3783"/>
    <w:rsid w:val="009D5352"/>
    <w:rsid w:val="009D79E7"/>
    <w:rsid w:val="009E3FFA"/>
    <w:rsid w:val="009E74FA"/>
    <w:rsid w:val="009F02DA"/>
    <w:rsid w:val="009F08E0"/>
    <w:rsid w:val="009F1969"/>
    <w:rsid w:val="00A02D24"/>
    <w:rsid w:val="00A11D9E"/>
    <w:rsid w:val="00A12DCE"/>
    <w:rsid w:val="00A167F1"/>
    <w:rsid w:val="00A172FD"/>
    <w:rsid w:val="00A25C75"/>
    <w:rsid w:val="00A27397"/>
    <w:rsid w:val="00A31A5D"/>
    <w:rsid w:val="00A40957"/>
    <w:rsid w:val="00A410B4"/>
    <w:rsid w:val="00A430E7"/>
    <w:rsid w:val="00A43547"/>
    <w:rsid w:val="00A44714"/>
    <w:rsid w:val="00A463F1"/>
    <w:rsid w:val="00A46E12"/>
    <w:rsid w:val="00A5564F"/>
    <w:rsid w:val="00A56221"/>
    <w:rsid w:val="00A60C71"/>
    <w:rsid w:val="00A6279F"/>
    <w:rsid w:val="00A66A16"/>
    <w:rsid w:val="00A744C5"/>
    <w:rsid w:val="00A74C7E"/>
    <w:rsid w:val="00A74E82"/>
    <w:rsid w:val="00A7524F"/>
    <w:rsid w:val="00A7543E"/>
    <w:rsid w:val="00A75B29"/>
    <w:rsid w:val="00A774AF"/>
    <w:rsid w:val="00A7761D"/>
    <w:rsid w:val="00A84E0B"/>
    <w:rsid w:val="00A94EFC"/>
    <w:rsid w:val="00A97815"/>
    <w:rsid w:val="00AA1E62"/>
    <w:rsid w:val="00AA6E03"/>
    <w:rsid w:val="00AA6EFB"/>
    <w:rsid w:val="00AA75B6"/>
    <w:rsid w:val="00AB7A4B"/>
    <w:rsid w:val="00AC6BC5"/>
    <w:rsid w:val="00AD2053"/>
    <w:rsid w:val="00AD2202"/>
    <w:rsid w:val="00AD3848"/>
    <w:rsid w:val="00AD3884"/>
    <w:rsid w:val="00AE786A"/>
    <w:rsid w:val="00AE7FBF"/>
    <w:rsid w:val="00AF7EB7"/>
    <w:rsid w:val="00B02349"/>
    <w:rsid w:val="00B11B0D"/>
    <w:rsid w:val="00B11C5F"/>
    <w:rsid w:val="00B15547"/>
    <w:rsid w:val="00B17D1E"/>
    <w:rsid w:val="00B211F5"/>
    <w:rsid w:val="00B27975"/>
    <w:rsid w:val="00B32211"/>
    <w:rsid w:val="00B34F57"/>
    <w:rsid w:val="00B36FE2"/>
    <w:rsid w:val="00B40981"/>
    <w:rsid w:val="00B43EA7"/>
    <w:rsid w:val="00B46004"/>
    <w:rsid w:val="00B46954"/>
    <w:rsid w:val="00B51F49"/>
    <w:rsid w:val="00B52FAB"/>
    <w:rsid w:val="00B61D4E"/>
    <w:rsid w:val="00B61EF6"/>
    <w:rsid w:val="00B62AC3"/>
    <w:rsid w:val="00B6389C"/>
    <w:rsid w:val="00B64244"/>
    <w:rsid w:val="00B6457A"/>
    <w:rsid w:val="00B64EFF"/>
    <w:rsid w:val="00B707B3"/>
    <w:rsid w:val="00B745CB"/>
    <w:rsid w:val="00B76BC1"/>
    <w:rsid w:val="00B774E5"/>
    <w:rsid w:val="00B82BEB"/>
    <w:rsid w:val="00B8486A"/>
    <w:rsid w:val="00B927FB"/>
    <w:rsid w:val="00B95DB6"/>
    <w:rsid w:val="00BA0B5F"/>
    <w:rsid w:val="00BA43F4"/>
    <w:rsid w:val="00BA6308"/>
    <w:rsid w:val="00BA7124"/>
    <w:rsid w:val="00BB5BF3"/>
    <w:rsid w:val="00BB5FD6"/>
    <w:rsid w:val="00BB7D98"/>
    <w:rsid w:val="00BC1C03"/>
    <w:rsid w:val="00BC29BB"/>
    <w:rsid w:val="00BC30CC"/>
    <w:rsid w:val="00BC7E30"/>
    <w:rsid w:val="00BD22FA"/>
    <w:rsid w:val="00BD4319"/>
    <w:rsid w:val="00BD5D29"/>
    <w:rsid w:val="00BD6615"/>
    <w:rsid w:val="00BD6FD9"/>
    <w:rsid w:val="00BD7212"/>
    <w:rsid w:val="00BE05FA"/>
    <w:rsid w:val="00BE1040"/>
    <w:rsid w:val="00BE651E"/>
    <w:rsid w:val="00BE7D81"/>
    <w:rsid w:val="00BF74F5"/>
    <w:rsid w:val="00C01AD2"/>
    <w:rsid w:val="00C02002"/>
    <w:rsid w:val="00C11560"/>
    <w:rsid w:val="00C23142"/>
    <w:rsid w:val="00C2464F"/>
    <w:rsid w:val="00C26876"/>
    <w:rsid w:val="00C27199"/>
    <w:rsid w:val="00C27F02"/>
    <w:rsid w:val="00C30C4C"/>
    <w:rsid w:val="00C322D5"/>
    <w:rsid w:val="00C3655E"/>
    <w:rsid w:val="00C373DB"/>
    <w:rsid w:val="00C406A4"/>
    <w:rsid w:val="00C40D18"/>
    <w:rsid w:val="00C4110A"/>
    <w:rsid w:val="00C41B65"/>
    <w:rsid w:val="00C456BB"/>
    <w:rsid w:val="00C47BDA"/>
    <w:rsid w:val="00C53E74"/>
    <w:rsid w:val="00C55A30"/>
    <w:rsid w:val="00C57EDE"/>
    <w:rsid w:val="00C610BA"/>
    <w:rsid w:val="00C61449"/>
    <w:rsid w:val="00C65B30"/>
    <w:rsid w:val="00C666EE"/>
    <w:rsid w:val="00C704C8"/>
    <w:rsid w:val="00C70772"/>
    <w:rsid w:val="00C83E71"/>
    <w:rsid w:val="00C86240"/>
    <w:rsid w:val="00C86B20"/>
    <w:rsid w:val="00C92348"/>
    <w:rsid w:val="00C9638D"/>
    <w:rsid w:val="00CA1477"/>
    <w:rsid w:val="00CA19C6"/>
    <w:rsid w:val="00CA6AB2"/>
    <w:rsid w:val="00CA7F4D"/>
    <w:rsid w:val="00CB3B11"/>
    <w:rsid w:val="00CB5FD1"/>
    <w:rsid w:val="00CC1AE4"/>
    <w:rsid w:val="00CC7E40"/>
    <w:rsid w:val="00CD07BA"/>
    <w:rsid w:val="00CD59FA"/>
    <w:rsid w:val="00CD6A10"/>
    <w:rsid w:val="00CE2B60"/>
    <w:rsid w:val="00CE5C63"/>
    <w:rsid w:val="00CF66F1"/>
    <w:rsid w:val="00CF6E5E"/>
    <w:rsid w:val="00CF6F99"/>
    <w:rsid w:val="00CF773F"/>
    <w:rsid w:val="00D045EF"/>
    <w:rsid w:val="00D049BF"/>
    <w:rsid w:val="00D10930"/>
    <w:rsid w:val="00D12E9A"/>
    <w:rsid w:val="00D220A6"/>
    <w:rsid w:val="00D229E4"/>
    <w:rsid w:val="00D2378F"/>
    <w:rsid w:val="00D240FE"/>
    <w:rsid w:val="00D2736D"/>
    <w:rsid w:val="00D31693"/>
    <w:rsid w:val="00D3206F"/>
    <w:rsid w:val="00D33C41"/>
    <w:rsid w:val="00D403DF"/>
    <w:rsid w:val="00D53C24"/>
    <w:rsid w:val="00D54DEB"/>
    <w:rsid w:val="00D57CE0"/>
    <w:rsid w:val="00D622F2"/>
    <w:rsid w:val="00D62E65"/>
    <w:rsid w:val="00D65C25"/>
    <w:rsid w:val="00D65EB1"/>
    <w:rsid w:val="00D66205"/>
    <w:rsid w:val="00D723E5"/>
    <w:rsid w:val="00D73894"/>
    <w:rsid w:val="00D82DDD"/>
    <w:rsid w:val="00D97FF2"/>
    <w:rsid w:val="00DA0C38"/>
    <w:rsid w:val="00DA2015"/>
    <w:rsid w:val="00DA21B2"/>
    <w:rsid w:val="00DB3C3D"/>
    <w:rsid w:val="00DB4111"/>
    <w:rsid w:val="00DB6CDB"/>
    <w:rsid w:val="00DB6F82"/>
    <w:rsid w:val="00DC2711"/>
    <w:rsid w:val="00DC2CCB"/>
    <w:rsid w:val="00DD1C65"/>
    <w:rsid w:val="00DD734D"/>
    <w:rsid w:val="00DE4488"/>
    <w:rsid w:val="00DE7F74"/>
    <w:rsid w:val="00DF043D"/>
    <w:rsid w:val="00DF07E3"/>
    <w:rsid w:val="00DF21F9"/>
    <w:rsid w:val="00DF3CED"/>
    <w:rsid w:val="00E0130A"/>
    <w:rsid w:val="00E02FC6"/>
    <w:rsid w:val="00E04A99"/>
    <w:rsid w:val="00E132DD"/>
    <w:rsid w:val="00E140AC"/>
    <w:rsid w:val="00E179D3"/>
    <w:rsid w:val="00E206AC"/>
    <w:rsid w:val="00E21470"/>
    <w:rsid w:val="00E22529"/>
    <w:rsid w:val="00E230ED"/>
    <w:rsid w:val="00E3283D"/>
    <w:rsid w:val="00E328C6"/>
    <w:rsid w:val="00E4713E"/>
    <w:rsid w:val="00E54B1A"/>
    <w:rsid w:val="00E6070E"/>
    <w:rsid w:val="00E627EE"/>
    <w:rsid w:val="00E63139"/>
    <w:rsid w:val="00E638E2"/>
    <w:rsid w:val="00E63F70"/>
    <w:rsid w:val="00E66623"/>
    <w:rsid w:val="00E667AE"/>
    <w:rsid w:val="00E67413"/>
    <w:rsid w:val="00E70641"/>
    <w:rsid w:val="00E73A8D"/>
    <w:rsid w:val="00E74D93"/>
    <w:rsid w:val="00E77D01"/>
    <w:rsid w:val="00E808EF"/>
    <w:rsid w:val="00E8100C"/>
    <w:rsid w:val="00E8170B"/>
    <w:rsid w:val="00E823F9"/>
    <w:rsid w:val="00E82FC3"/>
    <w:rsid w:val="00E83C01"/>
    <w:rsid w:val="00E83DE1"/>
    <w:rsid w:val="00E856C8"/>
    <w:rsid w:val="00E9175D"/>
    <w:rsid w:val="00E928B4"/>
    <w:rsid w:val="00E95814"/>
    <w:rsid w:val="00E96AC1"/>
    <w:rsid w:val="00E97B50"/>
    <w:rsid w:val="00EA34CA"/>
    <w:rsid w:val="00EB3B00"/>
    <w:rsid w:val="00EC3839"/>
    <w:rsid w:val="00ED28B3"/>
    <w:rsid w:val="00ED7D03"/>
    <w:rsid w:val="00EE13BB"/>
    <w:rsid w:val="00EE2358"/>
    <w:rsid w:val="00EE52E4"/>
    <w:rsid w:val="00EE5D5C"/>
    <w:rsid w:val="00EF4CEB"/>
    <w:rsid w:val="00F02544"/>
    <w:rsid w:val="00F046B7"/>
    <w:rsid w:val="00F108F6"/>
    <w:rsid w:val="00F117D8"/>
    <w:rsid w:val="00F14077"/>
    <w:rsid w:val="00F152C3"/>
    <w:rsid w:val="00F21D40"/>
    <w:rsid w:val="00F22C85"/>
    <w:rsid w:val="00F2430B"/>
    <w:rsid w:val="00F27DD3"/>
    <w:rsid w:val="00F32CE3"/>
    <w:rsid w:val="00F33238"/>
    <w:rsid w:val="00F3545C"/>
    <w:rsid w:val="00F35A9B"/>
    <w:rsid w:val="00F36D03"/>
    <w:rsid w:val="00F36FB0"/>
    <w:rsid w:val="00F37444"/>
    <w:rsid w:val="00F3780B"/>
    <w:rsid w:val="00F406E8"/>
    <w:rsid w:val="00F40EDA"/>
    <w:rsid w:val="00F42AA6"/>
    <w:rsid w:val="00F47DC5"/>
    <w:rsid w:val="00F51D82"/>
    <w:rsid w:val="00F53C47"/>
    <w:rsid w:val="00F550DB"/>
    <w:rsid w:val="00F6129E"/>
    <w:rsid w:val="00F62C05"/>
    <w:rsid w:val="00F62EF7"/>
    <w:rsid w:val="00F62FD1"/>
    <w:rsid w:val="00F63ABD"/>
    <w:rsid w:val="00F642BC"/>
    <w:rsid w:val="00F643E0"/>
    <w:rsid w:val="00F64C98"/>
    <w:rsid w:val="00F6677D"/>
    <w:rsid w:val="00F67AC1"/>
    <w:rsid w:val="00F70B78"/>
    <w:rsid w:val="00F73A27"/>
    <w:rsid w:val="00F749B4"/>
    <w:rsid w:val="00F77602"/>
    <w:rsid w:val="00F82AAF"/>
    <w:rsid w:val="00F83DA7"/>
    <w:rsid w:val="00F84BDF"/>
    <w:rsid w:val="00F863EC"/>
    <w:rsid w:val="00F91E77"/>
    <w:rsid w:val="00F927A3"/>
    <w:rsid w:val="00F95A75"/>
    <w:rsid w:val="00F96CBD"/>
    <w:rsid w:val="00FA3CAA"/>
    <w:rsid w:val="00FA3FED"/>
    <w:rsid w:val="00FA5BE5"/>
    <w:rsid w:val="00FA6DEA"/>
    <w:rsid w:val="00FA7734"/>
    <w:rsid w:val="00FB1008"/>
    <w:rsid w:val="00FB439F"/>
    <w:rsid w:val="00FB447C"/>
    <w:rsid w:val="00FB6EF9"/>
    <w:rsid w:val="00FC1AAD"/>
    <w:rsid w:val="00FC1C73"/>
    <w:rsid w:val="00FC3AE0"/>
    <w:rsid w:val="00FC7B8A"/>
    <w:rsid w:val="00FC7E35"/>
    <w:rsid w:val="00FD1B9C"/>
    <w:rsid w:val="00FD27AB"/>
    <w:rsid w:val="00FD5C5D"/>
    <w:rsid w:val="00FD6AF4"/>
    <w:rsid w:val="00FE4142"/>
    <w:rsid w:val="00FE5828"/>
    <w:rsid w:val="00FF28BE"/>
    <w:rsid w:val="00FF4815"/>
    <w:rsid w:val="00FF51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CF8978"/>
  <w15:docId w15:val="{80431A97-5274-4401-89EE-BFE70E92A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63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03C11"/>
    <w:pPr>
      <w:tabs>
        <w:tab w:val="center" w:pos="4153"/>
        <w:tab w:val="right" w:pos="8306"/>
      </w:tabs>
      <w:spacing w:after="0" w:line="240" w:lineRule="auto"/>
    </w:pPr>
  </w:style>
  <w:style w:type="character" w:customStyle="1" w:styleId="HeaderChar">
    <w:name w:val="Header Char"/>
    <w:basedOn w:val="DefaultParagraphFont"/>
    <w:link w:val="Header"/>
    <w:rsid w:val="00803C11"/>
  </w:style>
  <w:style w:type="paragraph" w:styleId="Footer">
    <w:name w:val="footer"/>
    <w:basedOn w:val="Normal"/>
    <w:link w:val="FooterChar"/>
    <w:uiPriority w:val="99"/>
    <w:unhideWhenUsed/>
    <w:rsid w:val="00803C11"/>
    <w:pPr>
      <w:tabs>
        <w:tab w:val="center" w:pos="4153"/>
        <w:tab w:val="right" w:pos="8306"/>
      </w:tabs>
      <w:spacing w:after="0" w:line="240" w:lineRule="auto"/>
    </w:pPr>
  </w:style>
  <w:style w:type="character" w:customStyle="1" w:styleId="FooterChar">
    <w:name w:val="Footer Char"/>
    <w:basedOn w:val="DefaultParagraphFont"/>
    <w:link w:val="Footer"/>
    <w:uiPriority w:val="99"/>
    <w:rsid w:val="00803C11"/>
  </w:style>
  <w:style w:type="paragraph" w:styleId="BalloonText">
    <w:name w:val="Balloon Text"/>
    <w:basedOn w:val="Normal"/>
    <w:link w:val="BalloonTextChar"/>
    <w:uiPriority w:val="99"/>
    <w:semiHidden/>
    <w:unhideWhenUsed/>
    <w:rsid w:val="00803C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3C11"/>
    <w:rPr>
      <w:rFonts w:ascii="Tahoma" w:hAnsi="Tahoma" w:cs="Tahoma"/>
      <w:sz w:val="16"/>
      <w:szCs w:val="16"/>
    </w:rPr>
  </w:style>
  <w:style w:type="character" w:styleId="Hyperlink">
    <w:name w:val="Hyperlink"/>
    <w:basedOn w:val="DefaultParagraphFont"/>
    <w:uiPriority w:val="99"/>
    <w:unhideWhenUsed/>
    <w:rsid w:val="009669FE"/>
    <w:rPr>
      <w:color w:val="0000FF" w:themeColor="hyperlink"/>
      <w:u w:val="single"/>
    </w:rPr>
  </w:style>
  <w:style w:type="character" w:styleId="CommentReference">
    <w:name w:val="annotation reference"/>
    <w:basedOn w:val="DefaultParagraphFont"/>
    <w:uiPriority w:val="99"/>
    <w:semiHidden/>
    <w:unhideWhenUsed/>
    <w:rsid w:val="00235D1D"/>
    <w:rPr>
      <w:sz w:val="16"/>
      <w:szCs w:val="16"/>
    </w:rPr>
  </w:style>
  <w:style w:type="paragraph" w:styleId="CommentText">
    <w:name w:val="annotation text"/>
    <w:basedOn w:val="Normal"/>
    <w:link w:val="CommentTextChar"/>
    <w:uiPriority w:val="99"/>
    <w:semiHidden/>
    <w:unhideWhenUsed/>
    <w:rsid w:val="00235D1D"/>
    <w:pPr>
      <w:spacing w:line="240" w:lineRule="auto"/>
    </w:pPr>
    <w:rPr>
      <w:sz w:val="20"/>
      <w:szCs w:val="20"/>
    </w:rPr>
  </w:style>
  <w:style w:type="character" w:customStyle="1" w:styleId="CommentTextChar">
    <w:name w:val="Comment Text Char"/>
    <w:basedOn w:val="DefaultParagraphFont"/>
    <w:link w:val="CommentText"/>
    <w:uiPriority w:val="99"/>
    <w:semiHidden/>
    <w:rsid w:val="00235D1D"/>
    <w:rPr>
      <w:sz w:val="20"/>
      <w:szCs w:val="20"/>
    </w:rPr>
  </w:style>
  <w:style w:type="paragraph" w:styleId="CommentSubject">
    <w:name w:val="annotation subject"/>
    <w:basedOn w:val="CommentText"/>
    <w:next w:val="CommentText"/>
    <w:link w:val="CommentSubjectChar"/>
    <w:uiPriority w:val="99"/>
    <w:semiHidden/>
    <w:unhideWhenUsed/>
    <w:rsid w:val="00235D1D"/>
    <w:rPr>
      <w:b/>
      <w:bCs/>
    </w:rPr>
  </w:style>
  <w:style w:type="character" w:customStyle="1" w:styleId="CommentSubjectChar">
    <w:name w:val="Comment Subject Char"/>
    <w:basedOn w:val="CommentTextChar"/>
    <w:link w:val="CommentSubject"/>
    <w:uiPriority w:val="99"/>
    <w:semiHidden/>
    <w:rsid w:val="00235D1D"/>
    <w:rPr>
      <w:b/>
      <w:bCs/>
      <w:sz w:val="20"/>
      <w:szCs w:val="20"/>
    </w:rPr>
  </w:style>
  <w:style w:type="paragraph" w:styleId="Revision">
    <w:name w:val="Revision"/>
    <w:hidden/>
    <w:uiPriority w:val="99"/>
    <w:semiHidden/>
    <w:rsid w:val="009F1969"/>
    <w:pPr>
      <w:spacing w:after="0" w:line="240" w:lineRule="auto"/>
    </w:pPr>
  </w:style>
  <w:style w:type="paragraph" w:styleId="NoSpacing">
    <w:name w:val="No Spacing"/>
    <w:uiPriority w:val="1"/>
    <w:qFormat/>
    <w:rsid w:val="00305E26"/>
    <w:pPr>
      <w:spacing w:after="0" w:line="240" w:lineRule="auto"/>
    </w:pPr>
  </w:style>
  <w:style w:type="paragraph" w:styleId="HTMLPreformatted">
    <w:name w:val="HTML Preformatted"/>
    <w:basedOn w:val="Normal"/>
    <w:link w:val="HTMLPreformattedChar"/>
    <w:uiPriority w:val="99"/>
    <w:unhideWhenUsed/>
    <w:rsid w:val="00044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0447C4"/>
    <w:rPr>
      <w:rFonts w:ascii="Courier New" w:eastAsia="Times New Roman" w:hAnsi="Courier New" w:cs="Courier New"/>
      <w:sz w:val="20"/>
      <w:szCs w:val="20"/>
      <w:lang w:val="en-US" w:eastAsia="en-US"/>
    </w:rPr>
  </w:style>
  <w:style w:type="character" w:customStyle="1" w:styleId="tlid-translation">
    <w:name w:val="tlid-translation"/>
    <w:basedOn w:val="DefaultParagraphFont"/>
    <w:rsid w:val="00BD4319"/>
  </w:style>
  <w:style w:type="paragraph" w:styleId="ListParagraph">
    <w:name w:val="List Paragraph"/>
    <w:basedOn w:val="Normal"/>
    <w:uiPriority w:val="34"/>
    <w:qFormat/>
    <w:rsid w:val="0074666D"/>
    <w:pPr>
      <w:ind w:left="720"/>
      <w:contextualSpacing/>
    </w:pPr>
  </w:style>
  <w:style w:type="paragraph" w:styleId="BodyText">
    <w:name w:val="Body Text"/>
    <w:basedOn w:val="Normal"/>
    <w:link w:val="BodyTextChar"/>
    <w:semiHidden/>
    <w:rsid w:val="002E3F29"/>
    <w:pPr>
      <w:overflowPunct w:val="0"/>
      <w:autoSpaceDE w:val="0"/>
      <w:autoSpaceDN w:val="0"/>
      <w:bidi/>
      <w:adjustRightInd w:val="0"/>
      <w:spacing w:after="0" w:line="240" w:lineRule="auto"/>
      <w:jc w:val="center"/>
      <w:textAlignment w:val="baseline"/>
    </w:pPr>
    <w:rPr>
      <w:rFonts w:ascii="Times New Roman" w:eastAsia="Times New Roman" w:hAnsi="Times New Roman" w:cs="Simplified Arabic"/>
      <w:b/>
      <w:bCs/>
      <w:sz w:val="36"/>
      <w:szCs w:val="36"/>
      <w:lang w:val="en-US" w:eastAsia="en-US"/>
    </w:rPr>
  </w:style>
  <w:style w:type="character" w:customStyle="1" w:styleId="BodyTextChar">
    <w:name w:val="Body Text Char"/>
    <w:basedOn w:val="DefaultParagraphFont"/>
    <w:link w:val="BodyText"/>
    <w:semiHidden/>
    <w:rsid w:val="002E3F29"/>
    <w:rPr>
      <w:rFonts w:ascii="Times New Roman" w:eastAsia="Times New Roman" w:hAnsi="Times New Roman" w:cs="Simplified Arabic"/>
      <w:b/>
      <w:bCs/>
      <w:sz w:val="36"/>
      <w:szCs w:val="36"/>
      <w:lang w:val="en-US" w:eastAsia="en-US"/>
    </w:rPr>
  </w:style>
  <w:style w:type="table" w:styleId="TableGrid">
    <w:name w:val="Table Grid"/>
    <w:basedOn w:val="TableNormal"/>
    <w:uiPriority w:val="59"/>
    <w:rsid w:val="002A111C"/>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233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2339"/>
    <w:rPr>
      <w:sz w:val="20"/>
      <w:szCs w:val="20"/>
    </w:rPr>
  </w:style>
  <w:style w:type="character" w:styleId="FootnoteReference">
    <w:name w:val="footnote reference"/>
    <w:basedOn w:val="DefaultParagraphFont"/>
    <w:uiPriority w:val="99"/>
    <w:semiHidden/>
    <w:unhideWhenUsed/>
    <w:rsid w:val="0064233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602939">
      <w:bodyDiv w:val="1"/>
      <w:marLeft w:val="0"/>
      <w:marRight w:val="0"/>
      <w:marTop w:val="0"/>
      <w:marBottom w:val="0"/>
      <w:divBdr>
        <w:top w:val="none" w:sz="0" w:space="0" w:color="auto"/>
        <w:left w:val="none" w:sz="0" w:space="0" w:color="auto"/>
        <w:bottom w:val="none" w:sz="0" w:space="0" w:color="auto"/>
        <w:right w:val="none" w:sz="0" w:space="0" w:color="auto"/>
      </w:divBdr>
    </w:div>
    <w:div w:id="455492263">
      <w:bodyDiv w:val="1"/>
      <w:marLeft w:val="0"/>
      <w:marRight w:val="0"/>
      <w:marTop w:val="0"/>
      <w:marBottom w:val="0"/>
      <w:divBdr>
        <w:top w:val="none" w:sz="0" w:space="0" w:color="auto"/>
        <w:left w:val="none" w:sz="0" w:space="0" w:color="auto"/>
        <w:bottom w:val="none" w:sz="0" w:space="0" w:color="auto"/>
        <w:right w:val="none" w:sz="0" w:space="0" w:color="auto"/>
      </w:divBdr>
    </w:div>
    <w:div w:id="1163008368">
      <w:bodyDiv w:val="1"/>
      <w:marLeft w:val="0"/>
      <w:marRight w:val="0"/>
      <w:marTop w:val="0"/>
      <w:marBottom w:val="0"/>
      <w:divBdr>
        <w:top w:val="none" w:sz="0" w:space="0" w:color="auto"/>
        <w:left w:val="none" w:sz="0" w:space="0" w:color="auto"/>
        <w:bottom w:val="none" w:sz="0" w:space="0" w:color="auto"/>
        <w:right w:val="none" w:sz="0" w:space="0" w:color="auto"/>
      </w:divBdr>
    </w:div>
    <w:div w:id="1707947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894246914787944"/>
          <c:y val="0.11353652563764466"/>
          <c:w val="0.47683767789895998"/>
          <c:h val="0.73464943676299299"/>
        </c:manualLayout>
      </c:layout>
      <c:pieChart>
        <c:varyColors val="1"/>
        <c:ser>
          <c:idx val="0"/>
          <c:order val="0"/>
          <c:tx>
            <c:strRef>
              <c:f>Sheet1!$B$1</c:f>
              <c:strCache>
                <c:ptCount val="1"/>
                <c:pt idx="0">
                  <c:v>Series 1</c:v>
                </c:pt>
              </c:strCache>
            </c:strRef>
          </c:tx>
          <c:explosion val="9"/>
          <c:dPt>
            <c:idx val="0"/>
            <c:bubble3D val="0"/>
            <c:spPr>
              <a:solidFill>
                <a:schemeClr val="lt1"/>
              </a:solidFill>
              <a:ln w="25400" cap="flat" cmpd="sng" algn="ctr">
                <a:solidFill>
                  <a:schemeClr val="accent3"/>
                </a:solidFill>
                <a:prstDash val="solid"/>
              </a:ln>
              <a:effectLst/>
            </c:spPr>
            <c:extLst>
              <c:ext xmlns:c16="http://schemas.microsoft.com/office/drawing/2014/chart" uri="{C3380CC4-5D6E-409C-BE32-E72D297353CC}">
                <c16:uniqueId val="{00000000-7A04-46CE-887C-F6C3127C399B}"/>
              </c:ext>
            </c:extLst>
          </c:dPt>
          <c:dPt>
            <c:idx val="1"/>
            <c:bubble3D val="0"/>
            <c:spPr>
              <a:solidFill>
                <a:schemeClr val="accent2"/>
              </a:solidFill>
              <a:ln w="25400" cap="flat" cmpd="sng" algn="ctr">
                <a:solidFill>
                  <a:schemeClr val="accent2">
                    <a:shade val="50000"/>
                  </a:schemeClr>
                </a:solidFill>
                <a:prstDash val="solid"/>
              </a:ln>
              <a:effectLst/>
            </c:spPr>
            <c:extLst>
              <c:ext xmlns:c16="http://schemas.microsoft.com/office/drawing/2014/chart" uri="{C3380CC4-5D6E-409C-BE32-E72D297353CC}">
                <c16:uniqueId val="{00000001-7A04-46CE-887C-F6C3127C399B}"/>
              </c:ext>
            </c:extLst>
          </c:dPt>
          <c:dLbls>
            <c:dLbl>
              <c:idx val="0"/>
              <c:layout>
                <c:manualLayout>
                  <c:x val="4.1365807534927704E-2"/>
                  <c:y val="-0.20838940586972113"/>
                </c:manualLayout>
              </c:layout>
              <c:tx>
                <c:rich>
                  <a:bodyPr/>
                  <a:lstStyle/>
                  <a:p>
                    <a:r>
                      <a:rPr lang="en-US"/>
                      <a:t>256,720;</a:t>
                    </a:r>
                  </a:p>
                  <a:p>
                    <a:r>
                      <a:rPr lang="en-US"/>
                      <a:t>44%</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A04-46CE-887C-F6C3127C399B}"/>
                </c:ext>
              </c:extLst>
            </c:dLbl>
            <c:dLbl>
              <c:idx val="1"/>
              <c:layout>
                <c:manualLayout>
                  <c:x val="5.2754275280807363E-3"/>
                  <c:y val="-0.30864283112936297"/>
                </c:manualLayout>
              </c:layout>
              <c:tx>
                <c:rich>
                  <a:bodyPr/>
                  <a:lstStyle/>
                  <a:p>
                    <a:r>
                      <a:rPr lang="en-US"/>
                      <a:t>331,357;</a:t>
                    </a:r>
                  </a:p>
                  <a:p>
                    <a:r>
                      <a:rPr lang="en-US"/>
                      <a:t>56%</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A04-46CE-887C-F6C3127C399B}"/>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extLst>
          </c:dLbls>
          <c:cat>
            <c:strRef>
              <c:f>Sheet1!$A$2:$A$3</c:f>
              <c:strCache>
                <c:ptCount val="2"/>
                <c:pt idx="0">
                  <c:v>Online</c:v>
                </c:pt>
                <c:pt idx="1">
                  <c:v>Face to face</c:v>
                </c:pt>
              </c:strCache>
            </c:strRef>
          </c:cat>
          <c:val>
            <c:numRef>
              <c:f>Sheet1!$B$2:$B$3</c:f>
              <c:numCache>
                <c:formatCode>General</c:formatCode>
                <c:ptCount val="2"/>
                <c:pt idx="0">
                  <c:v>256720</c:v>
                </c:pt>
                <c:pt idx="1">
                  <c:v>331357</c:v>
                </c:pt>
              </c:numCache>
            </c:numRef>
          </c:val>
          <c:extLst>
            <c:ext xmlns:c16="http://schemas.microsoft.com/office/drawing/2014/chart" uri="{C3380CC4-5D6E-409C-BE32-E72D297353CC}">
              <c16:uniqueId val="{00000002-7A04-46CE-887C-F6C3127C399B}"/>
            </c:ext>
          </c:extLst>
        </c:ser>
        <c:ser>
          <c:idx val="1"/>
          <c:order val="1"/>
          <c:tx>
            <c:strRef>
              <c:f>Sheet1!$C$1</c:f>
              <c:strCache>
                <c:ptCount val="1"/>
                <c:pt idx="0">
                  <c:v>Series 12</c:v>
                </c:pt>
              </c:strCache>
            </c:strRef>
          </c:tx>
          <c:cat>
            <c:strRef>
              <c:f>Sheet1!$A$2:$A$3</c:f>
              <c:strCache>
                <c:ptCount val="2"/>
                <c:pt idx="0">
                  <c:v>Online</c:v>
                </c:pt>
                <c:pt idx="1">
                  <c:v>Face to face</c:v>
                </c:pt>
              </c:strCache>
            </c:strRef>
          </c:cat>
          <c:val>
            <c:numRef>
              <c:f>Sheet1!$C$2:$C$3</c:f>
              <c:numCache>
                <c:formatCode>General</c:formatCode>
                <c:ptCount val="2"/>
                <c:pt idx="0">
                  <c:v>48</c:v>
                </c:pt>
                <c:pt idx="1">
                  <c:v>52</c:v>
                </c:pt>
              </c:numCache>
            </c:numRef>
          </c:val>
          <c:extLst>
            <c:ext xmlns:c16="http://schemas.microsoft.com/office/drawing/2014/chart" uri="{C3380CC4-5D6E-409C-BE32-E72D297353CC}">
              <c16:uniqueId val="{00000003-7A04-46CE-887C-F6C3127C399B}"/>
            </c:ext>
          </c:extLst>
        </c:ser>
        <c:dLbls>
          <c:showLegendKey val="0"/>
          <c:showVal val="0"/>
          <c:showCatName val="0"/>
          <c:showSerName val="0"/>
          <c:showPercent val="0"/>
          <c:showBubbleSize val="0"/>
          <c:showLeaderLines val="0"/>
        </c:dLbls>
        <c:firstSliceAng val="0"/>
      </c:pieChart>
    </c:plotArea>
    <c:legend>
      <c:legendPos val="r"/>
      <c:layout>
        <c:manualLayout>
          <c:xMode val="edge"/>
          <c:yMode val="edge"/>
          <c:x val="0.72768327872059724"/>
          <c:y val="0.38463825993042738"/>
          <c:w val="0.2723167212794087"/>
          <c:h val="0.23072297780959197"/>
        </c:manualLayout>
      </c:layout>
      <c:overlay val="0"/>
    </c:legend>
    <c:plotVisOnly val="1"/>
    <c:dispBlanksAs val="zero"/>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54B31DC6-E68F-4E57-A7A0-3AD371E4D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1050</Words>
  <Characters>5988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sabeq</dc:creator>
  <cp:lastModifiedBy>Hadeel Badran</cp:lastModifiedBy>
  <cp:revision>4</cp:revision>
  <cp:lastPrinted>2023-03-12T11:26:00Z</cp:lastPrinted>
  <dcterms:created xsi:type="dcterms:W3CDTF">2023-03-12T10:50:00Z</dcterms:created>
  <dcterms:modified xsi:type="dcterms:W3CDTF">2023-03-12T11:35:00Z</dcterms:modified>
</cp:coreProperties>
</file>