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46" w:rsidRDefault="00B82F46" w:rsidP="00B82F46">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B82F46" w:rsidRPr="00B82F46" w:rsidRDefault="00B82F46" w:rsidP="00636553">
      <w:pPr>
        <w:spacing w:line="276" w:lineRule="auto"/>
        <w:jc w:val="center"/>
        <w:outlineLvl w:val="0"/>
        <w:rPr>
          <w:b/>
          <w:bCs/>
          <w:sz w:val="28"/>
          <w:szCs w:val="28"/>
          <w:rtl/>
        </w:rPr>
      </w:pPr>
    </w:p>
    <w:p w:rsidR="00636553" w:rsidRPr="00B82F46" w:rsidRDefault="00636553" w:rsidP="00B82F46">
      <w:pPr>
        <w:spacing w:line="276" w:lineRule="auto"/>
        <w:jc w:val="center"/>
        <w:outlineLvl w:val="0"/>
        <w:rPr>
          <w:b/>
          <w:bCs/>
          <w:kern w:val="36"/>
          <w:sz w:val="28"/>
          <w:szCs w:val="28"/>
        </w:rPr>
      </w:pPr>
      <w:r w:rsidRPr="00B82F46">
        <w:rPr>
          <w:b/>
          <w:bCs/>
          <w:sz w:val="28"/>
          <w:szCs w:val="28"/>
        </w:rPr>
        <w:t>Palestinian</w:t>
      </w:r>
      <w:r w:rsidRPr="00B82F46">
        <w:rPr>
          <w:b/>
          <w:bCs/>
          <w:kern w:val="36"/>
          <w:sz w:val="28"/>
          <w:szCs w:val="28"/>
        </w:rPr>
        <w:t xml:space="preserve"> </w:t>
      </w:r>
      <w:r w:rsidRPr="00B82F46">
        <w:rPr>
          <w:b/>
          <w:bCs/>
          <w:sz w:val="28"/>
          <w:szCs w:val="28"/>
        </w:rPr>
        <w:t>Producer Price Index</w:t>
      </w:r>
      <w:r w:rsidR="00B82F46" w:rsidRPr="00B82F46">
        <w:rPr>
          <w:b/>
          <w:bCs/>
          <w:sz w:val="28"/>
          <w:szCs w:val="28"/>
        </w:rPr>
        <w:t>, November, 11/2025</w:t>
      </w:r>
    </w:p>
    <w:p w:rsidR="007E2637" w:rsidRDefault="007E2637" w:rsidP="00B108C0">
      <w:pPr>
        <w:bidi w:val="0"/>
        <w:jc w:val="both"/>
        <w:outlineLvl w:val="1"/>
        <w:rPr>
          <w:b/>
          <w:bCs/>
        </w:rPr>
      </w:pPr>
    </w:p>
    <w:p w:rsidR="000B4AFF" w:rsidRDefault="005A57E0" w:rsidP="005A57E0">
      <w:pPr>
        <w:bidi w:val="0"/>
        <w:jc w:val="both"/>
        <w:outlineLvl w:val="1"/>
        <w:rPr>
          <w:b/>
          <w:bCs/>
        </w:rPr>
      </w:pPr>
      <w:r>
        <w:rPr>
          <w:b/>
          <w:bCs/>
        </w:rPr>
        <w:t xml:space="preserve">Sharp </w:t>
      </w:r>
      <w:r w:rsidR="00B108C0">
        <w:rPr>
          <w:b/>
          <w:bCs/>
        </w:rPr>
        <w:t>De</w:t>
      </w:r>
      <w:r w:rsidR="00072132" w:rsidRPr="003C5FBA">
        <w:rPr>
          <w:b/>
          <w:bCs/>
        </w:rPr>
        <w:t>crease in the Producer</w:t>
      </w:r>
      <w:r w:rsidR="000B4AFF" w:rsidRPr="0053589B">
        <w:rPr>
          <w:b/>
          <w:bCs/>
        </w:rPr>
        <w:t xml:space="preserve"> Price</w:t>
      </w:r>
      <w:r w:rsidR="000B4AFF">
        <w:rPr>
          <w:rStyle w:val="FootnoteReference"/>
          <w:b/>
          <w:bCs/>
        </w:rPr>
        <w:footnoteReference w:id="1"/>
      </w:r>
      <w:r w:rsidR="000B4AFF" w:rsidRPr="0053589B">
        <w:rPr>
          <w:b/>
          <w:bCs/>
        </w:rPr>
        <w:t xml:space="preserve"> </w:t>
      </w:r>
      <w:r w:rsidR="00072132" w:rsidRPr="003C5FBA">
        <w:rPr>
          <w:b/>
          <w:bCs/>
        </w:rPr>
        <w:t xml:space="preserve">Index (PPI) during </w:t>
      </w:r>
      <w:r>
        <w:rPr>
          <w:b/>
          <w:bCs/>
        </w:rPr>
        <w:t>November</w:t>
      </w:r>
      <w:r w:rsidR="00072132" w:rsidRPr="003C5FBA">
        <w:rPr>
          <w:b/>
          <w:bCs/>
        </w:rPr>
        <w:t xml:space="preserve"> </w:t>
      </w:r>
      <w:r w:rsidR="00E03AC2">
        <w:rPr>
          <w:b/>
          <w:bCs/>
        </w:rPr>
        <w:t>2025</w:t>
      </w:r>
    </w:p>
    <w:p w:rsidR="007E3F35" w:rsidRPr="00B82F46" w:rsidRDefault="007E3F35" w:rsidP="00F92447">
      <w:pPr>
        <w:bidi w:val="0"/>
        <w:jc w:val="both"/>
        <w:outlineLvl w:val="1"/>
        <w:rPr>
          <w:b/>
          <w:bCs/>
          <w:sz w:val="10"/>
          <w:szCs w:val="10"/>
        </w:rPr>
      </w:pPr>
    </w:p>
    <w:p w:rsidR="00EA74CA" w:rsidRDefault="00EA74CA" w:rsidP="005A57E0">
      <w:pPr>
        <w:pStyle w:val="BodyText2"/>
        <w:bidi w:val="0"/>
        <w:spacing w:after="0" w:line="240" w:lineRule="auto"/>
        <w:jc w:val="both"/>
      </w:pPr>
      <w:r w:rsidRPr="003C5FBA">
        <w:t xml:space="preserve">The overall Producer Price Index (PPI) for Palestine with its base year (2019 = 100) reached </w:t>
      </w:r>
      <w:r w:rsidR="005A57E0">
        <w:t>181</w:t>
      </w:r>
      <w:r w:rsidR="004547F6" w:rsidRPr="003C5FBA">
        <w:t>.</w:t>
      </w:r>
      <w:r w:rsidR="005A57E0">
        <w:t>52</w:t>
      </w:r>
      <w:r w:rsidRPr="003C5FBA">
        <w:t xml:space="preserve"> in </w:t>
      </w:r>
      <w:r w:rsidR="005A57E0">
        <w:t>November</w:t>
      </w:r>
      <w:r w:rsidRPr="003C5FBA">
        <w:t xml:space="preserve"> </w:t>
      </w:r>
      <w:r w:rsidR="00E03AC2">
        <w:t>2025</w:t>
      </w:r>
      <w:r w:rsidRPr="003C5FBA">
        <w:t xml:space="preserve">, as it </w:t>
      </w:r>
      <w:r w:rsidR="005A57E0">
        <w:t xml:space="preserve">sharply </w:t>
      </w:r>
      <w:r w:rsidR="00B108C0">
        <w:t>de</w:t>
      </w:r>
      <w:r w:rsidR="006E7164" w:rsidRPr="003C5FBA">
        <w:t>creased</w:t>
      </w:r>
      <w:r w:rsidR="00F163FD">
        <w:t xml:space="preserve"> </w:t>
      </w:r>
      <w:r w:rsidRPr="003C5FBA">
        <w:t xml:space="preserve">by </w:t>
      </w:r>
      <w:r w:rsidR="005A57E0">
        <w:t>14</w:t>
      </w:r>
      <w:r w:rsidR="00CC6FA0">
        <w:t>.</w:t>
      </w:r>
      <w:r w:rsidR="005A57E0">
        <w:t>64</w:t>
      </w:r>
      <w:r w:rsidRPr="003C5FBA">
        <w:t xml:space="preserve">% compared to </w:t>
      </w:r>
      <w:r w:rsidR="005A57E0">
        <w:t>October</w:t>
      </w:r>
      <w:r w:rsidR="005A57E0" w:rsidRPr="003C5FBA">
        <w:t xml:space="preserve"> </w:t>
      </w:r>
      <w:r w:rsidR="0052769E">
        <w:t>2025</w:t>
      </w:r>
      <w:r w:rsidRPr="003C5FBA">
        <w:t>.</w:t>
      </w:r>
    </w:p>
    <w:p w:rsidR="00EA74CA" w:rsidRPr="00B82F46" w:rsidRDefault="00EA74CA" w:rsidP="00EA74CA">
      <w:pPr>
        <w:pStyle w:val="BodyText2"/>
        <w:bidi w:val="0"/>
        <w:spacing w:after="0" w:line="240" w:lineRule="auto"/>
        <w:jc w:val="both"/>
        <w:rPr>
          <w:b/>
          <w:bCs/>
          <w:sz w:val="10"/>
          <w:szCs w:val="10"/>
        </w:rPr>
      </w:pPr>
    </w:p>
    <w:p w:rsidR="00CC6FA0" w:rsidRPr="003C5FBA" w:rsidRDefault="00CC6FA0" w:rsidP="005A57E0">
      <w:pPr>
        <w:pStyle w:val="BodyText2"/>
        <w:bidi w:val="0"/>
        <w:spacing w:after="0" w:line="240" w:lineRule="auto"/>
        <w:jc w:val="both"/>
        <w:rPr>
          <w:b/>
          <w:bCs/>
        </w:rPr>
      </w:pPr>
      <w:r w:rsidRPr="003C5FBA">
        <w:rPr>
          <w:b/>
          <w:bCs/>
        </w:rPr>
        <w:t xml:space="preserve">PPI for locally consumed products during </w:t>
      </w:r>
      <w:r w:rsidR="005A57E0">
        <w:rPr>
          <w:b/>
          <w:bCs/>
        </w:rPr>
        <w:t>November</w:t>
      </w:r>
      <w:r w:rsidR="005A57E0" w:rsidRPr="003C5FBA">
        <w:rPr>
          <w:b/>
          <w:bCs/>
        </w:rPr>
        <w:t xml:space="preserve"> </w:t>
      </w:r>
      <w:r>
        <w:rPr>
          <w:b/>
          <w:bCs/>
        </w:rPr>
        <w:t>2025</w:t>
      </w:r>
    </w:p>
    <w:p w:rsidR="00CC6FA0" w:rsidRDefault="00CC6FA0" w:rsidP="005A57E0">
      <w:pPr>
        <w:pStyle w:val="BodyText2"/>
        <w:bidi w:val="0"/>
        <w:spacing w:after="0" w:line="240" w:lineRule="auto"/>
        <w:jc w:val="both"/>
      </w:pPr>
      <w:r w:rsidRPr="003C5FBA">
        <w:t xml:space="preserve">Producer Price Index for locally consumed products (2019 = 100) reached </w:t>
      </w:r>
      <w:r w:rsidR="005A57E0">
        <w:t>188</w:t>
      </w:r>
      <w:r w:rsidRPr="003C5FBA">
        <w:t>.</w:t>
      </w:r>
      <w:r w:rsidR="005A57E0">
        <w:t>74</w:t>
      </w:r>
      <w:r w:rsidRPr="003C5FBA">
        <w:t xml:space="preserve"> in </w:t>
      </w:r>
      <w:r w:rsidR="005A57E0">
        <w:t>November</w:t>
      </w:r>
      <w:r w:rsidR="005A57E0" w:rsidRPr="003C5FBA">
        <w:t xml:space="preserve"> </w:t>
      </w:r>
      <w:r>
        <w:t>2025</w:t>
      </w:r>
      <w:r w:rsidRPr="003C5FBA">
        <w:t>, which indicates a</w:t>
      </w:r>
      <w:r>
        <w:t xml:space="preserve"> </w:t>
      </w:r>
      <w:r w:rsidR="005A57E0">
        <w:t xml:space="preserve">sharp </w:t>
      </w:r>
      <w:r w:rsidR="00B108C0">
        <w:t>de</w:t>
      </w:r>
      <w:r w:rsidRPr="003C5FBA">
        <w:t xml:space="preserve">crease of </w:t>
      </w:r>
      <w:r w:rsidR="005A57E0">
        <w:t>15</w:t>
      </w:r>
      <w:r w:rsidRPr="003C5FBA">
        <w:t>.</w:t>
      </w:r>
      <w:r w:rsidR="005A57E0">
        <w:t>13</w:t>
      </w:r>
      <w:r w:rsidRPr="003C5FBA">
        <w:t xml:space="preserve">% compared to </w:t>
      </w:r>
      <w:r w:rsidR="005A57E0">
        <w:t>October</w:t>
      </w:r>
      <w:r w:rsidR="005A57E0" w:rsidRPr="003C5FBA">
        <w:t xml:space="preserve"> </w:t>
      </w:r>
      <w:r>
        <w:t>2025</w:t>
      </w:r>
      <w:r w:rsidRPr="003C5FBA">
        <w:t>.</w:t>
      </w:r>
    </w:p>
    <w:p w:rsidR="00CC6FA0" w:rsidRPr="00B82F46" w:rsidRDefault="00CC6FA0" w:rsidP="00CC6FA0">
      <w:pPr>
        <w:pStyle w:val="BodyText2"/>
        <w:bidi w:val="0"/>
        <w:spacing w:after="0" w:line="240" w:lineRule="auto"/>
        <w:jc w:val="both"/>
        <w:rPr>
          <w:sz w:val="10"/>
          <w:szCs w:val="10"/>
        </w:rPr>
      </w:pPr>
    </w:p>
    <w:p w:rsidR="00A8614E" w:rsidRPr="003C5FBA" w:rsidRDefault="00A8614E" w:rsidP="005A57E0">
      <w:pPr>
        <w:pStyle w:val="BodyText2"/>
        <w:bidi w:val="0"/>
        <w:spacing w:after="0" w:line="240" w:lineRule="auto"/>
        <w:jc w:val="both"/>
        <w:rPr>
          <w:b/>
          <w:bCs/>
        </w:rPr>
      </w:pPr>
      <w:r w:rsidRPr="003C5FBA">
        <w:rPr>
          <w:b/>
          <w:bCs/>
        </w:rPr>
        <w:t xml:space="preserve">PPI for local exported products during </w:t>
      </w:r>
      <w:r w:rsidR="005A57E0">
        <w:rPr>
          <w:b/>
          <w:bCs/>
        </w:rPr>
        <w:t>November</w:t>
      </w:r>
      <w:r w:rsidR="005A57E0" w:rsidRPr="003C5FBA">
        <w:rPr>
          <w:b/>
          <w:bCs/>
        </w:rPr>
        <w:t xml:space="preserve"> </w:t>
      </w:r>
      <w:r>
        <w:rPr>
          <w:b/>
          <w:bCs/>
        </w:rPr>
        <w:t>2025</w:t>
      </w:r>
    </w:p>
    <w:p w:rsidR="00E91CAF" w:rsidRDefault="00A8614E" w:rsidP="005A57E0">
      <w:pPr>
        <w:pStyle w:val="BodyText2"/>
        <w:bidi w:val="0"/>
        <w:spacing w:after="0" w:line="240" w:lineRule="auto"/>
        <w:jc w:val="both"/>
      </w:pPr>
      <w:r w:rsidRPr="003C5FBA">
        <w:t>Producer Price Index for local exported products (</w:t>
      </w:r>
      <w:r w:rsidRPr="003C5FBA">
        <w:rPr>
          <w:color w:val="000000"/>
        </w:rPr>
        <w:t>2019</w:t>
      </w:r>
      <w:r w:rsidRPr="003C5FBA">
        <w:t xml:space="preserve"> = 100) </w:t>
      </w:r>
      <w:r w:rsidR="00E91CAF" w:rsidRPr="003C5FBA">
        <w:t xml:space="preserve">reached </w:t>
      </w:r>
      <w:r w:rsidR="005A57E0">
        <w:t>114</w:t>
      </w:r>
      <w:r w:rsidRPr="003C5FBA">
        <w:t>.</w:t>
      </w:r>
      <w:r w:rsidR="005A57E0">
        <w:t>11</w:t>
      </w:r>
      <w:r w:rsidRPr="003C5FBA">
        <w:t xml:space="preserve"> </w:t>
      </w:r>
      <w:r w:rsidR="00E91CAF" w:rsidRPr="003C5FBA">
        <w:t xml:space="preserve">in </w:t>
      </w:r>
      <w:r w:rsidR="005A57E0">
        <w:t>November</w:t>
      </w:r>
      <w:r w:rsidR="005A57E0" w:rsidRPr="003C5FBA">
        <w:t xml:space="preserve"> </w:t>
      </w:r>
      <w:r w:rsidR="00E91CAF">
        <w:t>2025</w:t>
      </w:r>
      <w:r w:rsidR="00E91CAF" w:rsidRPr="003C5FBA">
        <w:t>, which indicates a</w:t>
      </w:r>
      <w:r w:rsidR="00E91CAF">
        <w:t xml:space="preserve"> de</w:t>
      </w:r>
      <w:r w:rsidR="00E91CAF" w:rsidRPr="003C5FBA">
        <w:t xml:space="preserve">crease of </w:t>
      </w:r>
      <w:r w:rsidR="005A57E0">
        <w:t>6</w:t>
      </w:r>
      <w:r w:rsidR="00E91CAF" w:rsidRPr="003C5FBA">
        <w:t>.</w:t>
      </w:r>
      <w:r w:rsidR="005A57E0">
        <w:t>39</w:t>
      </w:r>
      <w:r w:rsidR="00E91CAF" w:rsidRPr="003C5FBA">
        <w:t xml:space="preserve">% compared to </w:t>
      </w:r>
      <w:r w:rsidR="005A57E0">
        <w:t>October</w:t>
      </w:r>
      <w:r w:rsidR="005A57E0" w:rsidRPr="003C5FBA">
        <w:t xml:space="preserve"> </w:t>
      </w:r>
      <w:r w:rsidR="00E91CAF">
        <w:t>2025</w:t>
      </w:r>
      <w:r w:rsidR="00E91CAF" w:rsidRPr="003C5FBA">
        <w:t>.</w:t>
      </w:r>
    </w:p>
    <w:p w:rsidR="003535CC" w:rsidRPr="00B82F46" w:rsidRDefault="003535CC" w:rsidP="003535CC">
      <w:pPr>
        <w:pStyle w:val="BodyText2"/>
        <w:bidi w:val="0"/>
        <w:spacing w:after="0" w:line="240" w:lineRule="auto"/>
        <w:jc w:val="both"/>
        <w:rPr>
          <w:sz w:val="10"/>
          <w:szCs w:val="10"/>
        </w:rPr>
      </w:pPr>
    </w:p>
    <w:p w:rsidR="00EA74CA" w:rsidRPr="003C5FBA" w:rsidRDefault="00EA74CA" w:rsidP="005A57E0">
      <w:pPr>
        <w:pStyle w:val="BodyText2"/>
        <w:bidi w:val="0"/>
        <w:spacing w:after="0" w:line="240" w:lineRule="auto"/>
        <w:jc w:val="both"/>
      </w:pPr>
      <w:r w:rsidRPr="003C5FBA">
        <w:t xml:space="preserve">The changes of PPI for </w:t>
      </w:r>
      <w:r w:rsidR="005A57E0">
        <w:t>November</w:t>
      </w:r>
      <w:r w:rsidR="005A57E0" w:rsidRPr="003C5FBA">
        <w:t xml:space="preserve"> </w:t>
      </w:r>
      <w:r w:rsidR="001F761F">
        <w:t>2025</w:t>
      </w:r>
      <w:r w:rsidRPr="003C5FBA">
        <w:t xml:space="preserve"> </w:t>
      </w:r>
      <w:proofErr w:type="gramStart"/>
      <w:r w:rsidRPr="003C5FBA">
        <w:t>were traced</w:t>
      </w:r>
      <w:proofErr w:type="gramEnd"/>
      <w:r w:rsidRPr="003C5FBA">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C5FBA" w:rsidTr="00B82F46">
        <w:trPr>
          <w:trHeight w:val="567"/>
          <w:jc w:val="center"/>
        </w:trPr>
        <w:tc>
          <w:tcPr>
            <w:tcW w:w="2824"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BA118C" w:rsidRPr="003C5FBA" w:rsidTr="00B82F46">
        <w:trPr>
          <w:trHeight w:val="567"/>
          <w:jc w:val="center"/>
        </w:trPr>
        <w:tc>
          <w:tcPr>
            <w:tcW w:w="2824" w:type="dxa"/>
            <w:shd w:val="clear" w:color="auto" w:fill="auto"/>
            <w:vAlign w:val="center"/>
          </w:tcPr>
          <w:p w:rsidR="00BA118C" w:rsidRPr="003C5FBA" w:rsidRDefault="00BA118C" w:rsidP="00BA118C">
            <w:pPr>
              <w:pStyle w:val="BodyText2"/>
              <w:bidi w:val="0"/>
              <w:spacing w:after="0" w:line="240" w:lineRule="auto"/>
              <w:jc w:val="both"/>
            </w:pPr>
            <w:r w:rsidRPr="003C5FBA">
              <w:rPr>
                <w:color w:val="000000"/>
              </w:rPr>
              <w:t xml:space="preserve">Agriculture, forestry and fishing </w:t>
            </w:r>
          </w:p>
        </w:tc>
        <w:tc>
          <w:tcPr>
            <w:tcW w:w="2069" w:type="dxa"/>
            <w:shd w:val="clear" w:color="auto" w:fill="auto"/>
            <w:vAlign w:val="center"/>
          </w:tcPr>
          <w:p w:rsidR="00BA118C" w:rsidRPr="003C5FBA" w:rsidRDefault="00BA118C" w:rsidP="005A57E0">
            <w:pPr>
              <w:pStyle w:val="BodyText2"/>
              <w:tabs>
                <w:tab w:val="right" w:pos="165"/>
              </w:tabs>
              <w:bidi w:val="0"/>
              <w:spacing w:after="0" w:line="240" w:lineRule="auto"/>
              <w:jc w:val="center"/>
            </w:pPr>
            <w:r w:rsidRPr="003C5FBA">
              <w:t xml:space="preserve">       </w:t>
            </w:r>
            <w:r>
              <w:t>-</w:t>
            </w:r>
            <w:r w:rsidRPr="003C5FBA">
              <w:t xml:space="preserve"> </w:t>
            </w:r>
            <w:r w:rsidR="005A57E0">
              <w:t>22</w:t>
            </w:r>
            <w:r w:rsidRPr="003C5FBA">
              <w:t>.</w:t>
            </w:r>
            <w:r w:rsidR="005A57E0">
              <w:t>90</w:t>
            </w:r>
            <w:r w:rsidRPr="003C5FBA">
              <w:t>%</w:t>
            </w:r>
          </w:p>
        </w:tc>
      </w:tr>
      <w:tr w:rsidR="005A57E0" w:rsidRPr="003C5FBA" w:rsidTr="00B82F46">
        <w:trPr>
          <w:trHeight w:val="567"/>
          <w:jc w:val="center"/>
        </w:trPr>
        <w:tc>
          <w:tcPr>
            <w:tcW w:w="2824" w:type="dxa"/>
            <w:shd w:val="clear" w:color="auto" w:fill="auto"/>
            <w:vAlign w:val="center"/>
          </w:tcPr>
          <w:p w:rsidR="005A57E0" w:rsidRPr="003C5FBA" w:rsidRDefault="005A57E0" w:rsidP="005A57E0">
            <w:pPr>
              <w:pStyle w:val="BodyText2"/>
              <w:bidi w:val="0"/>
              <w:spacing w:after="0" w:line="240" w:lineRule="auto"/>
              <w:jc w:val="both"/>
              <w:rPr>
                <w:rFonts w:hint="cs"/>
                <w:rtl/>
              </w:rPr>
            </w:pPr>
            <w:r w:rsidRPr="003C5FBA">
              <w:t>Electricity, gas, steam and air conditioning supply</w:t>
            </w:r>
          </w:p>
        </w:tc>
        <w:tc>
          <w:tcPr>
            <w:tcW w:w="2069" w:type="dxa"/>
            <w:shd w:val="clear" w:color="auto" w:fill="auto"/>
            <w:vAlign w:val="center"/>
          </w:tcPr>
          <w:p w:rsidR="005A57E0" w:rsidRPr="003C5FBA" w:rsidRDefault="005A57E0" w:rsidP="005A57E0">
            <w:pPr>
              <w:pStyle w:val="BodyText2"/>
              <w:tabs>
                <w:tab w:val="right" w:pos="219"/>
                <w:tab w:val="right" w:pos="885"/>
              </w:tabs>
              <w:bidi w:val="0"/>
              <w:spacing w:after="0" w:line="240" w:lineRule="auto"/>
            </w:pPr>
            <w:r w:rsidRPr="003C5FBA">
              <w:t xml:space="preserve">         </w:t>
            </w:r>
            <w:r>
              <w:t xml:space="preserve">   -  3</w:t>
            </w:r>
            <w:r w:rsidRPr="003C5FBA">
              <w:t>.</w:t>
            </w:r>
            <w:r>
              <w:t>38</w:t>
            </w:r>
            <w:r w:rsidRPr="003C5FBA">
              <w:t>%</w:t>
            </w:r>
          </w:p>
        </w:tc>
      </w:tr>
      <w:tr w:rsidR="00AC5CDF" w:rsidRPr="003C5FBA" w:rsidTr="00B82F46">
        <w:trPr>
          <w:trHeight w:val="567"/>
          <w:jc w:val="center"/>
        </w:trPr>
        <w:tc>
          <w:tcPr>
            <w:tcW w:w="2824" w:type="dxa"/>
            <w:shd w:val="clear" w:color="auto" w:fill="auto"/>
            <w:vAlign w:val="center"/>
          </w:tcPr>
          <w:p w:rsidR="00AC5CDF" w:rsidRPr="007E3F35" w:rsidRDefault="00AC5CDF" w:rsidP="00AC5CDF">
            <w:pPr>
              <w:pStyle w:val="BodyText2"/>
              <w:bidi w:val="0"/>
              <w:spacing w:after="0" w:line="240" w:lineRule="auto"/>
              <w:jc w:val="both"/>
              <w:rPr>
                <w:color w:val="000000"/>
              </w:rPr>
            </w:pPr>
            <w:r w:rsidRPr="007E3F35">
              <w:rPr>
                <w:color w:val="000000"/>
              </w:rPr>
              <w:t>Manufacturing</w:t>
            </w:r>
          </w:p>
        </w:tc>
        <w:tc>
          <w:tcPr>
            <w:tcW w:w="2069" w:type="dxa"/>
            <w:shd w:val="clear" w:color="auto" w:fill="auto"/>
            <w:vAlign w:val="center"/>
          </w:tcPr>
          <w:p w:rsidR="00AC5CDF" w:rsidRPr="007E3F35" w:rsidRDefault="00AC5CDF" w:rsidP="005A57E0">
            <w:pPr>
              <w:pStyle w:val="BodyText2"/>
              <w:tabs>
                <w:tab w:val="right" w:pos="225"/>
                <w:tab w:val="right" w:pos="480"/>
                <w:tab w:val="right" w:pos="885"/>
              </w:tabs>
              <w:bidi w:val="0"/>
              <w:spacing w:after="0" w:line="240" w:lineRule="auto"/>
              <w:ind w:right="-108"/>
            </w:pPr>
            <w:r w:rsidRPr="007E3F35">
              <w:t xml:space="preserve">            </w:t>
            </w:r>
            <w:r w:rsidR="00045400">
              <w:t>-</w:t>
            </w:r>
            <w:r w:rsidRPr="007E3F35">
              <w:t xml:space="preserve"> </w:t>
            </w:r>
            <w:r w:rsidR="005A57E0">
              <w:t>1</w:t>
            </w:r>
            <w:r w:rsidRPr="007E3F35">
              <w:t>.</w:t>
            </w:r>
            <w:r w:rsidR="005A57E0">
              <w:t>53</w:t>
            </w:r>
            <w:r w:rsidRPr="007E3F35">
              <w:t xml:space="preserve">% </w:t>
            </w:r>
          </w:p>
        </w:tc>
      </w:tr>
      <w:tr w:rsidR="004F1277" w:rsidRPr="003C5FBA" w:rsidTr="00B82F46">
        <w:trPr>
          <w:trHeight w:val="567"/>
          <w:jc w:val="center"/>
        </w:trPr>
        <w:tc>
          <w:tcPr>
            <w:tcW w:w="2824" w:type="dxa"/>
            <w:shd w:val="clear" w:color="auto" w:fill="auto"/>
            <w:vAlign w:val="center"/>
          </w:tcPr>
          <w:p w:rsidR="004F1277" w:rsidRPr="003C5FBA" w:rsidRDefault="004F1277" w:rsidP="004F1277">
            <w:pPr>
              <w:pStyle w:val="BodyText2"/>
              <w:bidi w:val="0"/>
              <w:spacing w:after="0" w:line="240" w:lineRule="auto"/>
              <w:jc w:val="both"/>
              <w:rPr>
                <w:sz w:val="2"/>
                <w:szCs w:val="2"/>
              </w:rPr>
            </w:pPr>
          </w:p>
          <w:p w:rsidR="004F1277" w:rsidRPr="003C5FBA" w:rsidRDefault="004F1277" w:rsidP="004F1277">
            <w:pPr>
              <w:pStyle w:val="BodyText2"/>
              <w:bidi w:val="0"/>
              <w:spacing w:after="0" w:line="240" w:lineRule="auto"/>
              <w:jc w:val="both"/>
            </w:pPr>
            <w:r w:rsidRPr="003C5FBA">
              <w:t>Water supply; sewerage, waste management and remediation activities</w:t>
            </w:r>
          </w:p>
        </w:tc>
        <w:tc>
          <w:tcPr>
            <w:tcW w:w="2069" w:type="dxa"/>
            <w:shd w:val="clear" w:color="auto" w:fill="auto"/>
            <w:vAlign w:val="center"/>
          </w:tcPr>
          <w:p w:rsidR="004F1277" w:rsidRPr="003C5FBA" w:rsidRDefault="004F1277" w:rsidP="005A57E0">
            <w:pPr>
              <w:pStyle w:val="BodyText2"/>
              <w:tabs>
                <w:tab w:val="right" w:pos="165"/>
              </w:tabs>
              <w:bidi w:val="0"/>
              <w:spacing w:after="0" w:line="240" w:lineRule="auto"/>
              <w:jc w:val="center"/>
            </w:pPr>
            <w:r w:rsidRPr="003C5FBA">
              <w:t xml:space="preserve">   </w:t>
            </w:r>
            <w:r>
              <w:t xml:space="preserve"> </w:t>
            </w:r>
            <w:r w:rsidRPr="003C5FBA">
              <w:t xml:space="preserve"> </w:t>
            </w:r>
            <w:r>
              <w:t xml:space="preserve"> </w:t>
            </w:r>
            <w:r w:rsidR="005A57E0">
              <w:t>-</w:t>
            </w:r>
            <w:r w:rsidRPr="003C5FBA">
              <w:t xml:space="preserve"> </w:t>
            </w:r>
            <w:r w:rsidR="00BA118C">
              <w:t>0</w:t>
            </w:r>
            <w:r w:rsidRPr="003C5FBA">
              <w:t>.</w:t>
            </w:r>
            <w:r w:rsidR="005A57E0">
              <w:t>31</w:t>
            </w:r>
            <w:r w:rsidRPr="003C5FBA">
              <w:t>%</w:t>
            </w:r>
          </w:p>
        </w:tc>
      </w:tr>
      <w:tr w:rsidR="00BA118C" w:rsidRPr="003C5FBA" w:rsidTr="00B82F46">
        <w:trPr>
          <w:trHeight w:val="567"/>
          <w:jc w:val="center"/>
        </w:trPr>
        <w:tc>
          <w:tcPr>
            <w:tcW w:w="2824" w:type="dxa"/>
            <w:shd w:val="clear" w:color="auto" w:fill="auto"/>
            <w:vAlign w:val="center"/>
          </w:tcPr>
          <w:p w:rsidR="00BA118C" w:rsidRPr="00AC5CDF" w:rsidRDefault="00BA118C" w:rsidP="00BA118C">
            <w:pPr>
              <w:pStyle w:val="BodyText2"/>
              <w:bidi w:val="0"/>
              <w:spacing w:after="0" w:line="240" w:lineRule="auto"/>
              <w:jc w:val="both"/>
            </w:pPr>
            <w:r w:rsidRPr="00AC5CDF">
              <w:rPr>
                <w:color w:val="000000"/>
              </w:rPr>
              <w:t>Mining and quarrying</w:t>
            </w:r>
          </w:p>
        </w:tc>
        <w:tc>
          <w:tcPr>
            <w:tcW w:w="2069" w:type="dxa"/>
            <w:shd w:val="clear" w:color="auto" w:fill="auto"/>
            <w:vAlign w:val="center"/>
          </w:tcPr>
          <w:p w:rsidR="00BA118C" w:rsidRPr="00AC5CDF" w:rsidRDefault="00BA118C" w:rsidP="005A57E0">
            <w:pPr>
              <w:pStyle w:val="BodyText2"/>
              <w:tabs>
                <w:tab w:val="right" w:pos="165"/>
              </w:tabs>
              <w:bidi w:val="0"/>
              <w:spacing w:after="0" w:line="240" w:lineRule="auto"/>
              <w:jc w:val="center"/>
            </w:pPr>
            <w:r w:rsidRPr="00AC5CDF">
              <w:t xml:space="preserve">        </w:t>
            </w:r>
            <w:r>
              <w:t>+</w:t>
            </w:r>
            <w:r w:rsidRPr="00AC5CDF">
              <w:t xml:space="preserve"> 0.</w:t>
            </w:r>
            <w:r w:rsidR="005A57E0">
              <w:t>43</w:t>
            </w:r>
            <w:r w:rsidRPr="00AC5CDF">
              <w:t>%</w:t>
            </w:r>
          </w:p>
        </w:tc>
      </w:tr>
    </w:tbl>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996753">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7th, </w:t>
      </w:r>
      <w:r w:rsidR="00B26413">
        <w:rPr>
          <w:sz w:val="22"/>
          <w:szCs w:val="22"/>
          <w:lang w:eastAsia="en-US"/>
        </w:rPr>
        <w:t>2023</w:t>
      </w:r>
      <w:r w:rsidRPr="003C5FBA">
        <w:rPr>
          <w:sz w:val="22"/>
          <w:szCs w:val="22"/>
          <w:lang w:eastAsia="en-US"/>
        </w:rPr>
        <w:t xml:space="preserve">, the data for </w:t>
      </w:r>
      <w:r w:rsidR="00996753">
        <w:rPr>
          <w:sz w:val="22"/>
          <w:szCs w:val="22"/>
          <w:lang w:eastAsia="en-US"/>
        </w:rPr>
        <w:t>November</w:t>
      </w:r>
      <w:r w:rsidRPr="003C5FBA">
        <w:rPr>
          <w:sz w:val="22"/>
          <w:szCs w:val="22"/>
          <w:lang w:eastAsia="en-US"/>
        </w:rPr>
        <w:t xml:space="preserve"> </w:t>
      </w:r>
      <w:r w:rsidR="001F761F">
        <w:rPr>
          <w:sz w:val="22"/>
          <w:szCs w:val="22"/>
          <w:lang w:eastAsia="en-US"/>
        </w:rPr>
        <w:t>2025</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996753">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996753">
        <w:rPr>
          <w:sz w:val="22"/>
          <w:szCs w:val="22"/>
          <w:lang w:eastAsia="en-US"/>
        </w:rPr>
        <w:t>November</w:t>
      </w:r>
      <w:r w:rsidR="00E91CAF" w:rsidRPr="003C5FBA">
        <w:rPr>
          <w:sz w:val="22"/>
          <w:szCs w:val="22"/>
          <w:lang w:eastAsia="en-US"/>
        </w:rPr>
        <w:t xml:space="preserve"> </w:t>
      </w:r>
      <w:r w:rsidR="001F761F">
        <w:rPr>
          <w:sz w:val="22"/>
          <w:szCs w:val="22"/>
          <w:lang w:eastAsia="en-US"/>
        </w:rPr>
        <w:t>2025</w:t>
      </w:r>
      <w:r w:rsidRPr="003C5FBA">
        <w:rPr>
          <w:sz w:val="22"/>
          <w:szCs w:val="22"/>
          <w:lang w:eastAsia="en-US"/>
        </w:rPr>
        <w:t xml:space="preserve">, while in Gaza Strip; the data of all industrial establishments was estimated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DA6011" w:rsidRPr="00B82F46" w:rsidRDefault="00EA74CA" w:rsidP="00B82F46">
      <w:pPr>
        <w:numPr>
          <w:ilvl w:val="0"/>
          <w:numId w:val="13"/>
        </w:numPr>
        <w:bidi w:val="0"/>
        <w:spacing w:before="100" w:beforeAutospacing="1"/>
        <w:ind w:left="284" w:hanging="284"/>
        <w:jc w:val="both"/>
        <w:rPr>
          <w:sz w:val="22"/>
          <w:szCs w:val="22"/>
          <w:lang w:eastAsia="en-US"/>
        </w:rPr>
      </w:pPr>
      <w:r w:rsidRPr="003C5FBA">
        <w:rPr>
          <w:sz w:val="22"/>
          <w:szCs w:val="22"/>
          <w:lang w:eastAsia="en-US"/>
        </w:rPr>
        <w:t>The estimate is also used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sectPr w:rsidR="00DA6011" w:rsidRPr="00B82F46" w:rsidSect="00B25082">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EB5" w:rsidRDefault="00346EB5">
      <w:r>
        <w:separator/>
      </w:r>
    </w:p>
  </w:endnote>
  <w:endnote w:type="continuationSeparator" w:id="0">
    <w:p w:rsidR="00346EB5" w:rsidRDefault="003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EB5" w:rsidRDefault="00346EB5">
      <w:r>
        <w:separator/>
      </w:r>
    </w:p>
  </w:footnote>
  <w:footnote w:type="continuationSeparator" w:id="0">
    <w:p w:rsidR="00346EB5" w:rsidRDefault="00346EB5">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4D8"/>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5400"/>
    <w:rsid w:val="00045C31"/>
    <w:rsid w:val="000461C1"/>
    <w:rsid w:val="000508C8"/>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32EC"/>
    <w:rsid w:val="00314147"/>
    <w:rsid w:val="00320F98"/>
    <w:rsid w:val="0032231C"/>
    <w:rsid w:val="003236EE"/>
    <w:rsid w:val="0032679A"/>
    <w:rsid w:val="00332692"/>
    <w:rsid w:val="00335038"/>
    <w:rsid w:val="00336194"/>
    <w:rsid w:val="00336B06"/>
    <w:rsid w:val="00341314"/>
    <w:rsid w:val="00344E04"/>
    <w:rsid w:val="003464EA"/>
    <w:rsid w:val="00346EB5"/>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605"/>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0B2C"/>
    <w:rsid w:val="003E2648"/>
    <w:rsid w:val="003E2884"/>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4AD3"/>
    <w:rsid w:val="004B5096"/>
    <w:rsid w:val="004B570C"/>
    <w:rsid w:val="004C02E4"/>
    <w:rsid w:val="004D257B"/>
    <w:rsid w:val="004D4240"/>
    <w:rsid w:val="004D58CF"/>
    <w:rsid w:val="004D640D"/>
    <w:rsid w:val="004D75AD"/>
    <w:rsid w:val="004E1EC8"/>
    <w:rsid w:val="004E7314"/>
    <w:rsid w:val="004E78D4"/>
    <w:rsid w:val="004F1277"/>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96340"/>
    <w:rsid w:val="005A57E0"/>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9CD"/>
    <w:rsid w:val="006D18CA"/>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2FFB"/>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3272"/>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6753"/>
    <w:rsid w:val="00997CFD"/>
    <w:rsid w:val="00997D41"/>
    <w:rsid w:val="009A019D"/>
    <w:rsid w:val="009A5CA8"/>
    <w:rsid w:val="009B1628"/>
    <w:rsid w:val="009B2A04"/>
    <w:rsid w:val="009B34A7"/>
    <w:rsid w:val="009B3709"/>
    <w:rsid w:val="009B5932"/>
    <w:rsid w:val="009B6026"/>
    <w:rsid w:val="009B6539"/>
    <w:rsid w:val="009B664E"/>
    <w:rsid w:val="009B717A"/>
    <w:rsid w:val="009B7993"/>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023F"/>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5082"/>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2F46"/>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8C"/>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6FF6"/>
    <w:rsid w:val="00DC7AC2"/>
    <w:rsid w:val="00DD15CB"/>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1CAF"/>
    <w:rsid w:val="00E91EF9"/>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315C"/>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4FBE25-90DE-4F1D-9E18-5CA97731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FD8A6-51F4-4FB3-BD53-EDB6E6D4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2025-12-28T07:29:00Z</dcterms:created>
  <dcterms:modified xsi:type="dcterms:W3CDTF">2025-12-28T07:29:00Z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