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7B5" w:rsidRDefault="00B307B5" w:rsidP="00B307B5">
      <w:pPr>
        <w:pStyle w:val="Heading1"/>
        <w:bidi w:val="0"/>
        <w:jc w:val="center"/>
        <w:rPr>
          <w:sz w:val="32"/>
          <w:szCs w:val="32"/>
        </w:rPr>
      </w:pPr>
      <w:r w:rsidRPr="00D87F17">
        <w:rPr>
          <w:sz w:val="32"/>
          <w:szCs w:val="32"/>
        </w:rPr>
        <w:t xml:space="preserve">Palestinian Central Bureau </w:t>
      </w:r>
      <w:r w:rsidRPr="00D87F17">
        <w:rPr>
          <w:rFonts w:cs="Simplified Arabic"/>
          <w:sz w:val="32"/>
          <w:szCs w:val="32"/>
        </w:rPr>
        <w:t>of Statistics</w:t>
      </w:r>
      <w:r w:rsidRPr="00D87F17">
        <w:rPr>
          <w:sz w:val="32"/>
          <w:szCs w:val="32"/>
        </w:rPr>
        <w:t xml:space="preserve"> (PCBS)</w:t>
      </w:r>
    </w:p>
    <w:p w:rsidR="00B307B5" w:rsidRPr="00D87F17" w:rsidRDefault="00B307B5" w:rsidP="00B307B5">
      <w:pPr>
        <w:bidi w:val="0"/>
        <w:jc w:val="center"/>
        <w:rPr>
          <w:sz w:val="16"/>
          <w:szCs w:val="16"/>
          <w:lang w:eastAsia="en-US"/>
        </w:rPr>
      </w:pPr>
    </w:p>
    <w:p w:rsidR="00B307B5" w:rsidRPr="00D87F17" w:rsidRDefault="00B307B5" w:rsidP="00B307B5">
      <w:pPr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D87F17">
        <w:rPr>
          <w:b/>
          <w:bCs/>
          <w:sz w:val="28"/>
          <w:szCs w:val="28"/>
        </w:rPr>
        <w:t>Palestinian</w:t>
      </w:r>
      <w:r w:rsidRPr="00D87F17">
        <w:rPr>
          <w:b/>
          <w:bCs/>
          <w:kern w:val="36"/>
          <w:sz w:val="28"/>
          <w:szCs w:val="28"/>
        </w:rPr>
        <w:t xml:space="preserve"> </w:t>
      </w:r>
      <w:r w:rsidRPr="00D87F17">
        <w:rPr>
          <w:b/>
          <w:bCs/>
          <w:sz w:val="28"/>
          <w:szCs w:val="28"/>
        </w:rPr>
        <w:t>Producer Price Index during 2022&amp; December, 12/2022</w:t>
      </w:r>
    </w:p>
    <w:p w:rsidR="00B307B5" w:rsidRDefault="00B307B5" w:rsidP="00FE21FB">
      <w:pPr>
        <w:bidi w:val="0"/>
        <w:jc w:val="both"/>
        <w:outlineLvl w:val="1"/>
        <w:rPr>
          <w:b/>
          <w:bCs/>
        </w:rPr>
      </w:pPr>
    </w:p>
    <w:p w:rsidR="00B307B5" w:rsidRDefault="00B307B5" w:rsidP="00B307B5">
      <w:pPr>
        <w:bidi w:val="0"/>
        <w:jc w:val="center"/>
        <w:outlineLvl w:val="1"/>
        <w:rPr>
          <w:b/>
          <w:bCs/>
          <w:sz w:val="16"/>
          <w:szCs w:val="16"/>
        </w:rPr>
      </w:pPr>
    </w:p>
    <w:p w:rsidR="008A3010" w:rsidRPr="00B307B5" w:rsidRDefault="00BA11C4" w:rsidP="00B307B5">
      <w:pPr>
        <w:bidi w:val="0"/>
        <w:jc w:val="center"/>
        <w:outlineLvl w:val="1"/>
        <w:rPr>
          <w:b/>
          <w:bCs/>
          <w:sz w:val="28"/>
          <w:szCs w:val="28"/>
        </w:rPr>
      </w:pPr>
      <w:r w:rsidRPr="00B307B5">
        <w:rPr>
          <w:b/>
          <w:bCs/>
          <w:sz w:val="28"/>
          <w:szCs w:val="28"/>
        </w:rPr>
        <w:t xml:space="preserve">Sharp </w:t>
      </w:r>
      <w:r w:rsidR="008A3010" w:rsidRPr="00B307B5">
        <w:rPr>
          <w:b/>
          <w:bCs/>
          <w:sz w:val="28"/>
          <w:szCs w:val="28"/>
        </w:rPr>
        <w:t>Increase in the Producer Price</w:t>
      </w:r>
      <w:r w:rsidR="008A3010" w:rsidRPr="00B307B5">
        <w:rPr>
          <w:sz w:val="28"/>
          <w:szCs w:val="28"/>
          <w:vertAlign w:val="superscript"/>
        </w:rPr>
        <w:t>1</w:t>
      </w:r>
      <w:r w:rsidR="008A3010" w:rsidRPr="00B307B5">
        <w:rPr>
          <w:b/>
          <w:bCs/>
          <w:sz w:val="28"/>
          <w:szCs w:val="28"/>
        </w:rPr>
        <w:t xml:space="preserve"> Index (PPI) during </w:t>
      </w:r>
      <w:r w:rsidR="00FE21FB" w:rsidRPr="00B307B5">
        <w:rPr>
          <w:b/>
          <w:bCs/>
          <w:sz w:val="28"/>
          <w:szCs w:val="28"/>
        </w:rPr>
        <w:t>2022</w:t>
      </w:r>
    </w:p>
    <w:p w:rsidR="00B307B5" w:rsidRPr="00B307B5" w:rsidRDefault="00B307B5" w:rsidP="008A0FE6">
      <w:pPr>
        <w:bidi w:val="0"/>
        <w:jc w:val="both"/>
        <w:rPr>
          <w:sz w:val="16"/>
          <w:szCs w:val="16"/>
        </w:rPr>
      </w:pPr>
    </w:p>
    <w:p w:rsidR="008A3010" w:rsidRPr="00B307B5" w:rsidRDefault="008A3010" w:rsidP="00B307B5">
      <w:pPr>
        <w:bidi w:val="0"/>
        <w:jc w:val="both"/>
        <w:rPr>
          <w:sz w:val="26"/>
          <w:szCs w:val="26"/>
        </w:rPr>
      </w:pPr>
      <w:r w:rsidRPr="00B307B5">
        <w:rPr>
          <w:sz w:val="26"/>
          <w:szCs w:val="26"/>
        </w:rPr>
        <w:t xml:space="preserve">The overall </w:t>
      </w:r>
      <w:r w:rsidRPr="00B307B5">
        <w:rPr>
          <w:b/>
          <w:bCs/>
          <w:sz w:val="26"/>
          <w:szCs w:val="26"/>
        </w:rPr>
        <w:t>PPI in Palestine</w:t>
      </w:r>
      <w:r w:rsidRPr="00B307B5">
        <w:rPr>
          <w:sz w:val="26"/>
          <w:szCs w:val="26"/>
        </w:rPr>
        <w:t xml:space="preserve"> with its base year (2019=100) reached </w:t>
      </w:r>
      <w:r w:rsidR="00FE21FB" w:rsidRPr="00B307B5">
        <w:rPr>
          <w:b/>
          <w:bCs/>
          <w:sz w:val="26"/>
          <w:szCs w:val="26"/>
        </w:rPr>
        <w:t>105</w:t>
      </w:r>
      <w:r w:rsidRPr="00B307B5">
        <w:rPr>
          <w:b/>
          <w:bCs/>
          <w:sz w:val="26"/>
          <w:szCs w:val="26"/>
        </w:rPr>
        <w:t>.</w:t>
      </w:r>
      <w:r w:rsidR="00FE21FB" w:rsidRPr="00B307B5">
        <w:rPr>
          <w:b/>
          <w:bCs/>
          <w:sz w:val="26"/>
          <w:szCs w:val="26"/>
        </w:rPr>
        <w:t>32</w:t>
      </w:r>
      <w:r w:rsidRPr="00B307B5">
        <w:rPr>
          <w:b/>
          <w:bCs/>
          <w:sz w:val="26"/>
          <w:szCs w:val="26"/>
        </w:rPr>
        <w:t xml:space="preserve"> in </w:t>
      </w:r>
      <w:r w:rsidR="00FE21FB" w:rsidRPr="00B307B5">
        <w:rPr>
          <w:b/>
          <w:bCs/>
          <w:sz w:val="26"/>
          <w:szCs w:val="26"/>
        </w:rPr>
        <w:t>2022</w:t>
      </w:r>
      <w:r w:rsidRPr="00B307B5">
        <w:rPr>
          <w:b/>
          <w:bCs/>
          <w:sz w:val="26"/>
          <w:szCs w:val="26"/>
        </w:rPr>
        <w:t xml:space="preserve">, which indicates </w:t>
      </w:r>
      <w:r w:rsidR="008A0FE6" w:rsidRPr="00B307B5">
        <w:rPr>
          <w:b/>
          <w:bCs/>
          <w:sz w:val="26"/>
          <w:szCs w:val="26"/>
        </w:rPr>
        <w:t>a sharp</w:t>
      </w:r>
      <w:r w:rsidRPr="00B307B5">
        <w:rPr>
          <w:b/>
          <w:bCs/>
          <w:sz w:val="26"/>
          <w:szCs w:val="26"/>
        </w:rPr>
        <w:t xml:space="preserve"> increase by </w:t>
      </w:r>
      <w:r w:rsidR="00FE21FB" w:rsidRPr="00B307B5">
        <w:rPr>
          <w:b/>
          <w:bCs/>
          <w:sz w:val="26"/>
          <w:szCs w:val="26"/>
        </w:rPr>
        <w:t>7</w:t>
      </w:r>
      <w:r w:rsidRPr="00B307B5">
        <w:rPr>
          <w:b/>
          <w:bCs/>
          <w:sz w:val="26"/>
          <w:szCs w:val="26"/>
        </w:rPr>
        <w:t>.</w:t>
      </w:r>
      <w:r w:rsidR="00FE21FB" w:rsidRPr="00B307B5">
        <w:rPr>
          <w:rFonts w:hint="cs"/>
          <w:b/>
          <w:bCs/>
          <w:sz w:val="26"/>
          <w:szCs w:val="26"/>
          <w:rtl/>
        </w:rPr>
        <w:t>43</w:t>
      </w:r>
      <w:r w:rsidRPr="00B307B5">
        <w:rPr>
          <w:b/>
          <w:bCs/>
          <w:sz w:val="26"/>
          <w:szCs w:val="26"/>
        </w:rPr>
        <w:t>% compared</w:t>
      </w:r>
      <w:r w:rsidR="008A0FE6" w:rsidRPr="00B307B5">
        <w:rPr>
          <w:b/>
          <w:bCs/>
          <w:sz w:val="26"/>
          <w:szCs w:val="26"/>
        </w:rPr>
        <w:t xml:space="preserve"> </w:t>
      </w:r>
      <w:r w:rsidRPr="00B307B5">
        <w:rPr>
          <w:b/>
          <w:bCs/>
          <w:sz w:val="26"/>
          <w:szCs w:val="26"/>
        </w:rPr>
        <w:t xml:space="preserve">to </w:t>
      </w:r>
      <w:r w:rsidR="00FE21FB" w:rsidRPr="00B307B5">
        <w:rPr>
          <w:b/>
          <w:bCs/>
          <w:sz w:val="26"/>
          <w:szCs w:val="26"/>
        </w:rPr>
        <w:t>2021</w:t>
      </w:r>
      <w:r w:rsidRPr="00B307B5">
        <w:rPr>
          <w:sz w:val="26"/>
          <w:szCs w:val="26"/>
        </w:rPr>
        <w:t>.</w:t>
      </w:r>
    </w:p>
    <w:p w:rsidR="008A3010" w:rsidRPr="00B307B5" w:rsidRDefault="008A3010" w:rsidP="008A3010">
      <w:pPr>
        <w:bidi w:val="0"/>
        <w:jc w:val="both"/>
        <w:rPr>
          <w:sz w:val="16"/>
          <w:szCs w:val="16"/>
        </w:rPr>
      </w:pPr>
    </w:p>
    <w:p w:rsidR="008A3010" w:rsidRPr="00B307B5" w:rsidRDefault="008A3010" w:rsidP="00FE21FB">
      <w:pPr>
        <w:bidi w:val="0"/>
        <w:jc w:val="both"/>
        <w:outlineLvl w:val="0"/>
        <w:rPr>
          <w:sz w:val="26"/>
          <w:szCs w:val="26"/>
        </w:rPr>
      </w:pPr>
      <w:r w:rsidRPr="00B307B5">
        <w:rPr>
          <w:sz w:val="26"/>
          <w:szCs w:val="26"/>
        </w:rPr>
        <w:t xml:space="preserve">Prices of PPI for </w:t>
      </w:r>
      <w:r w:rsidR="00FE21FB" w:rsidRPr="00B307B5">
        <w:rPr>
          <w:sz w:val="26"/>
          <w:szCs w:val="26"/>
        </w:rPr>
        <w:t>2022</w:t>
      </w:r>
      <w:r w:rsidRPr="00B307B5">
        <w:rPr>
          <w:sz w:val="26"/>
          <w:szCs w:val="26"/>
        </w:rPr>
        <w:t xml:space="preserve"> increased due to the</w:t>
      </w:r>
      <w:r w:rsidR="00BA11C4" w:rsidRPr="00B307B5">
        <w:rPr>
          <w:sz w:val="26"/>
          <w:szCs w:val="26"/>
        </w:rPr>
        <w:t xml:space="preserve"> sharp</w:t>
      </w:r>
      <w:r w:rsidRPr="00B307B5">
        <w:rPr>
          <w:sz w:val="26"/>
          <w:szCs w:val="26"/>
        </w:rPr>
        <w:t xml:space="preserve"> increase in the prices of goods in</w:t>
      </w:r>
      <w:r w:rsidR="00B42862" w:rsidRPr="00B307B5">
        <w:rPr>
          <w:sz w:val="26"/>
          <w:szCs w:val="26"/>
        </w:rPr>
        <w:t xml:space="preserve"> the following major activities:</w:t>
      </w:r>
      <w:r w:rsidRPr="00B307B5">
        <w:rPr>
          <w:sz w:val="26"/>
          <w:szCs w:val="26"/>
        </w:rPr>
        <w:t xml:space="preserve"> </w:t>
      </w:r>
      <w:r w:rsidR="00FE21FB" w:rsidRPr="00B307B5">
        <w:rPr>
          <w:b/>
          <w:bCs/>
          <w:sz w:val="26"/>
          <w:szCs w:val="26"/>
        </w:rPr>
        <w:t>Electricity, gas, steam and air conditioning supply activities by 12.76%, Agriculture, forestry and fishing activities by 12.26</w:t>
      </w:r>
      <w:r w:rsidR="00BA11C4" w:rsidRPr="00B307B5">
        <w:rPr>
          <w:b/>
          <w:bCs/>
          <w:sz w:val="26"/>
          <w:szCs w:val="26"/>
        </w:rPr>
        <w:t>%</w:t>
      </w:r>
      <w:r w:rsidR="00FE21FB" w:rsidRPr="00B307B5">
        <w:rPr>
          <w:b/>
          <w:bCs/>
          <w:sz w:val="26"/>
          <w:szCs w:val="26"/>
        </w:rPr>
        <w:t xml:space="preserve">, </w:t>
      </w:r>
      <w:r w:rsidRPr="00B307B5">
        <w:rPr>
          <w:b/>
          <w:bCs/>
          <w:sz w:val="26"/>
          <w:szCs w:val="26"/>
        </w:rPr>
        <w:t xml:space="preserve">Water supply; sewerage, waste management and remediation activities by </w:t>
      </w:r>
      <w:r w:rsidR="00FE21FB" w:rsidRPr="00B307B5">
        <w:rPr>
          <w:b/>
          <w:bCs/>
          <w:sz w:val="26"/>
          <w:szCs w:val="26"/>
        </w:rPr>
        <w:t>6</w:t>
      </w:r>
      <w:r w:rsidRPr="00B307B5">
        <w:rPr>
          <w:b/>
          <w:bCs/>
          <w:sz w:val="26"/>
          <w:szCs w:val="26"/>
        </w:rPr>
        <w:t>.</w:t>
      </w:r>
      <w:r w:rsidR="00FE21FB" w:rsidRPr="00B307B5">
        <w:rPr>
          <w:b/>
          <w:bCs/>
          <w:sz w:val="26"/>
          <w:szCs w:val="26"/>
        </w:rPr>
        <w:t>31</w:t>
      </w:r>
      <w:r w:rsidRPr="00B307B5">
        <w:rPr>
          <w:b/>
          <w:bCs/>
          <w:sz w:val="26"/>
          <w:szCs w:val="26"/>
        </w:rPr>
        <w:t xml:space="preserve">%, Manufacturing </w:t>
      </w:r>
      <w:r w:rsidR="002D68A3" w:rsidRPr="00B307B5">
        <w:rPr>
          <w:b/>
          <w:bCs/>
          <w:sz w:val="26"/>
          <w:szCs w:val="26"/>
        </w:rPr>
        <w:t xml:space="preserve">activities </w:t>
      </w:r>
      <w:r w:rsidRPr="00B307B5">
        <w:rPr>
          <w:b/>
          <w:bCs/>
          <w:sz w:val="26"/>
          <w:szCs w:val="26"/>
        </w:rPr>
        <w:t xml:space="preserve">by </w:t>
      </w:r>
      <w:r w:rsidR="00FE21FB" w:rsidRPr="00B307B5">
        <w:rPr>
          <w:b/>
          <w:bCs/>
          <w:sz w:val="26"/>
          <w:szCs w:val="26"/>
        </w:rPr>
        <w:t>4</w:t>
      </w:r>
      <w:r w:rsidRPr="00B307B5">
        <w:rPr>
          <w:b/>
          <w:bCs/>
          <w:sz w:val="26"/>
          <w:szCs w:val="26"/>
        </w:rPr>
        <w:t>.</w:t>
      </w:r>
      <w:r w:rsidR="00FE21FB" w:rsidRPr="00B307B5">
        <w:rPr>
          <w:b/>
          <w:bCs/>
          <w:sz w:val="26"/>
          <w:szCs w:val="26"/>
        </w:rPr>
        <w:t>78</w:t>
      </w:r>
      <w:r w:rsidRPr="00B307B5">
        <w:rPr>
          <w:b/>
          <w:bCs/>
          <w:sz w:val="26"/>
          <w:szCs w:val="26"/>
        </w:rPr>
        <w:t>%</w:t>
      </w:r>
      <w:r w:rsidR="00014838" w:rsidRPr="00B307B5">
        <w:rPr>
          <w:sz w:val="26"/>
          <w:szCs w:val="26"/>
        </w:rPr>
        <w:t xml:space="preserve">, </w:t>
      </w:r>
      <w:r w:rsidR="008B7589" w:rsidRPr="00B307B5">
        <w:rPr>
          <w:sz w:val="26"/>
          <w:szCs w:val="26"/>
        </w:rPr>
        <w:t xml:space="preserve">and </w:t>
      </w:r>
      <w:r w:rsidRPr="00B307B5">
        <w:rPr>
          <w:b/>
          <w:bCs/>
          <w:sz w:val="26"/>
          <w:szCs w:val="26"/>
        </w:rPr>
        <w:t xml:space="preserve">Mining and quarrying </w:t>
      </w:r>
      <w:r w:rsidR="002D68A3" w:rsidRPr="00B307B5">
        <w:rPr>
          <w:b/>
          <w:bCs/>
          <w:sz w:val="26"/>
          <w:szCs w:val="26"/>
        </w:rPr>
        <w:t xml:space="preserve">activities </w:t>
      </w:r>
      <w:r w:rsidRPr="00B307B5">
        <w:rPr>
          <w:b/>
          <w:bCs/>
          <w:sz w:val="26"/>
          <w:szCs w:val="26"/>
        </w:rPr>
        <w:t xml:space="preserve">by </w:t>
      </w:r>
      <w:r w:rsidR="00FE21FB" w:rsidRPr="00B307B5">
        <w:rPr>
          <w:b/>
          <w:bCs/>
          <w:sz w:val="26"/>
          <w:szCs w:val="26"/>
        </w:rPr>
        <w:t>3</w:t>
      </w:r>
      <w:r w:rsidRPr="00B307B5">
        <w:rPr>
          <w:b/>
          <w:bCs/>
          <w:sz w:val="26"/>
          <w:szCs w:val="26"/>
        </w:rPr>
        <w:t>.</w:t>
      </w:r>
      <w:r w:rsidR="00FE21FB" w:rsidRPr="00B307B5">
        <w:rPr>
          <w:b/>
          <w:bCs/>
          <w:sz w:val="26"/>
          <w:szCs w:val="26"/>
        </w:rPr>
        <w:t>03</w:t>
      </w:r>
      <w:r w:rsidRPr="00B307B5">
        <w:rPr>
          <w:b/>
          <w:bCs/>
          <w:sz w:val="26"/>
          <w:szCs w:val="26"/>
        </w:rPr>
        <w:t xml:space="preserve">% </w:t>
      </w:r>
      <w:r w:rsidRPr="00B307B5">
        <w:rPr>
          <w:sz w:val="26"/>
          <w:szCs w:val="26"/>
        </w:rPr>
        <w:t xml:space="preserve">in </w:t>
      </w:r>
      <w:r w:rsidR="00FE21FB" w:rsidRPr="00B307B5">
        <w:rPr>
          <w:sz w:val="26"/>
          <w:szCs w:val="26"/>
        </w:rPr>
        <w:t>2022</w:t>
      </w:r>
      <w:r w:rsidRPr="00B307B5">
        <w:rPr>
          <w:sz w:val="26"/>
          <w:szCs w:val="26"/>
        </w:rPr>
        <w:t xml:space="preserve"> compared to </w:t>
      </w:r>
      <w:r w:rsidR="00FE21FB" w:rsidRPr="00B307B5">
        <w:rPr>
          <w:sz w:val="26"/>
          <w:szCs w:val="26"/>
        </w:rPr>
        <w:t>2021</w:t>
      </w:r>
      <w:r w:rsidRPr="00B307B5">
        <w:rPr>
          <w:sz w:val="26"/>
          <w:szCs w:val="26"/>
        </w:rPr>
        <w:t xml:space="preserve">. </w:t>
      </w:r>
    </w:p>
    <w:p w:rsidR="008A3010" w:rsidRPr="00B307B5" w:rsidRDefault="008A3010" w:rsidP="008A3010">
      <w:pPr>
        <w:bidi w:val="0"/>
        <w:jc w:val="both"/>
        <w:outlineLvl w:val="0"/>
        <w:rPr>
          <w:sz w:val="16"/>
          <w:szCs w:val="16"/>
        </w:rPr>
      </w:pPr>
    </w:p>
    <w:p w:rsidR="008A3010" w:rsidRPr="00B307B5" w:rsidRDefault="008A3010" w:rsidP="00B233B5">
      <w:pPr>
        <w:bidi w:val="0"/>
        <w:jc w:val="both"/>
        <w:outlineLvl w:val="0"/>
        <w:rPr>
          <w:b/>
          <w:bCs/>
          <w:sz w:val="26"/>
          <w:szCs w:val="26"/>
        </w:rPr>
      </w:pPr>
      <w:r w:rsidRPr="00B307B5">
        <w:rPr>
          <w:sz w:val="26"/>
          <w:szCs w:val="26"/>
        </w:rPr>
        <w:t xml:space="preserve">The prices of </w:t>
      </w:r>
      <w:r w:rsidR="00B233B5" w:rsidRPr="00B307B5">
        <w:rPr>
          <w:b/>
          <w:bCs/>
          <w:sz w:val="26"/>
          <w:szCs w:val="26"/>
        </w:rPr>
        <w:t>locally consumed products</w:t>
      </w:r>
      <w:r w:rsidR="00BA11C4" w:rsidRPr="00B307B5">
        <w:rPr>
          <w:b/>
          <w:bCs/>
          <w:sz w:val="26"/>
          <w:szCs w:val="26"/>
        </w:rPr>
        <w:t xml:space="preserve"> sharply</w:t>
      </w:r>
      <w:r w:rsidR="00B233B5" w:rsidRPr="00B307B5">
        <w:rPr>
          <w:b/>
          <w:bCs/>
          <w:sz w:val="26"/>
          <w:szCs w:val="26"/>
        </w:rPr>
        <w:t xml:space="preserve"> increased by 7.69% </w:t>
      </w:r>
      <w:r w:rsidR="00B233B5" w:rsidRPr="00B307B5">
        <w:rPr>
          <w:sz w:val="26"/>
          <w:szCs w:val="26"/>
        </w:rPr>
        <w:t xml:space="preserve">and the prices of </w:t>
      </w:r>
      <w:r w:rsidR="002D68A3" w:rsidRPr="00B307B5">
        <w:rPr>
          <w:b/>
          <w:bCs/>
          <w:sz w:val="26"/>
          <w:szCs w:val="26"/>
        </w:rPr>
        <w:t xml:space="preserve">local exported products </w:t>
      </w:r>
      <w:r w:rsidR="00BA11C4" w:rsidRPr="00B307B5">
        <w:rPr>
          <w:b/>
          <w:bCs/>
          <w:sz w:val="26"/>
          <w:szCs w:val="26"/>
        </w:rPr>
        <w:t xml:space="preserve">sharply </w:t>
      </w:r>
      <w:r w:rsidR="002D68A3" w:rsidRPr="00B307B5">
        <w:rPr>
          <w:b/>
          <w:bCs/>
          <w:sz w:val="26"/>
          <w:szCs w:val="26"/>
        </w:rPr>
        <w:t xml:space="preserve">increased by </w:t>
      </w:r>
      <w:r w:rsidR="00B233B5" w:rsidRPr="00B307B5">
        <w:rPr>
          <w:b/>
          <w:bCs/>
          <w:sz w:val="26"/>
          <w:szCs w:val="26"/>
        </w:rPr>
        <w:t>5</w:t>
      </w:r>
      <w:r w:rsidR="002D68A3" w:rsidRPr="00B307B5">
        <w:rPr>
          <w:b/>
          <w:bCs/>
          <w:sz w:val="26"/>
          <w:szCs w:val="26"/>
        </w:rPr>
        <w:t>.</w:t>
      </w:r>
      <w:r w:rsidR="00B233B5" w:rsidRPr="00B307B5">
        <w:rPr>
          <w:b/>
          <w:bCs/>
          <w:sz w:val="26"/>
          <w:szCs w:val="26"/>
        </w:rPr>
        <w:t>14</w:t>
      </w:r>
      <w:r w:rsidR="002D68A3" w:rsidRPr="00B307B5">
        <w:rPr>
          <w:b/>
          <w:bCs/>
          <w:sz w:val="26"/>
          <w:szCs w:val="26"/>
        </w:rPr>
        <w:t>%</w:t>
      </w:r>
      <w:r w:rsidR="00B233B5" w:rsidRPr="00B307B5">
        <w:rPr>
          <w:sz w:val="26"/>
          <w:szCs w:val="26"/>
        </w:rPr>
        <w:t>.</w:t>
      </w:r>
      <w:r w:rsidR="002D68A3" w:rsidRPr="00B307B5">
        <w:rPr>
          <w:sz w:val="26"/>
          <w:szCs w:val="26"/>
        </w:rPr>
        <w:t xml:space="preserve"> </w:t>
      </w:r>
    </w:p>
    <w:p w:rsidR="002D68A3" w:rsidRPr="00B307B5" w:rsidRDefault="002D68A3" w:rsidP="002D68A3">
      <w:pPr>
        <w:bidi w:val="0"/>
        <w:jc w:val="both"/>
        <w:rPr>
          <w:b/>
          <w:bCs/>
          <w:sz w:val="16"/>
          <w:szCs w:val="16"/>
        </w:rPr>
      </w:pPr>
    </w:p>
    <w:p w:rsidR="008A3010" w:rsidRPr="00B307B5" w:rsidRDefault="008A3010" w:rsidP="00B233B5">
      <w:pPr>
        <w:jc w:val="center"/>
        <w:rPr>
          <w:b/>
          <w:bCs/>
          <w:sz w:val="26"/>
          <w:szCs w:val="26"/>
        </w:rPr>
      </w:pPr>
      <w:r w:rsidRPr="00B307B5">
        <w:rPr>
          <w:b/>
          <w:bCs/>
          <w:sz w:val="26"/>
          <w:szCs w:val="26"/>
        </w:rPr>
        <w:t xml:space="preserve">Yearly Percent Changes in PPI in Palestine for 2007 – </w:t>
      </w:r>
      <w:r w:rsidR="00B233B5" w:rsidRPr="00B307B5">
        <w:rPr>
          <w:b/>
          <w:bCs/>
          <w:sz w:val="26"/>
          <w:szCs w:val="26"/>
        </w:rPr>
        <w:t>2022</w:t>
      </w:r>
    </w:p>
    <w:p w:rsidR="008A3010" w:rsidRPr="002E2B07" w:rsidRDefault="008A3010" w:rsidP="008A3010">
      <w:pPr>
        <w:jc w:val="center"/>
        <w:rPr>
          <w:rFonts w:hint="cs"/>
          <w:b/>
          <w:bCs/>
          <w:sz w:val="8"/>
          <w:szCs w:val="8"/>
        </w:rPr>
      </w:pPr>
    </w:p>
    <w:p w:rsidR="008A3010" w:rsidRDefault="00B307B5" w:rsidP="008A3010">
      <w:pPr>
        <w:spacing w:line="276" w:lineRule="auto"/>
        <w:jc w:val="center"/>
        <w:outlineLvl w:val="0"/>
        <w:rPr>
          <w:b/>
          <w:bCs/>
          <w:sz w:val="28"/>
          <w:szCs w:val="28"/>
          <w:rtl/>
        </w:rPr>
      </w:pPr>
      <w:r>
        <w:rPr>
          <w:b/>
          <w:bCs/>
          <w:noProof/>
          <w:lang w:eastAsia="en-US"/>
        </w:rPr>
        <w:drawing>
          <wp:inline distT="0" distB="0" distL="0" distR="0">
            <wp:extent cx="3067050" cy="2095500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77EB7" w:rsidRPr="0053589B" w:rsidRDefault="00D77EB7" w:rsidP="00D77EB7">
      <w:pPr>
        <w:pBdr>
          <w:bottom w:val="single" w:sz="4" w:space="1" w:color="auto"/>
        </w:pBdr>
        <w:autoSpaceDE w:val="0"/>
        <w:autoSpaceDN w:val="0"/>
        <w:bidi w:val="0"/>
        <w:adjustRightInd w:val="0"/>
        <w:jc w:val="both"/>
        <w:rPr>
          <w:b/>
          <w:bCs/>
          <w:snapToGrid w:val="0"/>
        </w:rPr>
      </w:pPr>
    </w:p>
    <w:p w:rsidR="00D77EB7" w:rsidRDefault="00D77EB7" w:rsidP="00D77EB7">
      <w:pPr>
        <w:pStyle w:val="BodyText2"/>
        <w:bidi w:val="0"/>
        <w:spacing w:after="0" w:line="240" w:lineRule="auto"/>
        <w:jc w:val="both"/>
        <w:rPr>
          <w:sz w:val="20"/>
          <w:szCs w:val="20"/>
        </w:rPr>
      </w:pPr>
      <w:r w:rsidRPr="0053589B">
        <w:rPr>
          <w:color w:val="000000"/>
          <w:sz w:val="20"/>
          <w:szCs w:val="20"/>
        </w:rPr>
        <w:t xml:space="preserve">1 </w:t>
      </w:r>
      <w:r w:rsidRPr="0053589B">
        <w:rPr>
          <w:sz w:val="20"/>
          <w:szCs w:val="20"/>
        </w:rPr>
        <w:t>The producer’s price is the amount receivable by the producer from the purchaser for a unit of a good or service produced as output minus any VAT, or similar deductible tax, invoiced to the purchaser. The producer’s prices exclude any transport charges invoiced separately by the producer.</w:t>
      </w:r>
    </w:p>
    <w:p w:rsidR="00AB7E0B" w:rsidRPr="00B307B5" w:rsidRDefault="00AB7E0B" w:rsidP="00AB7E0B">
      <w:pPr>
        <w:spacing w:line="276" w:lineRule="auto"/>
        <w:jc w:val="center"/>
        <w:outlineLvl w:val="0"/>
        <w:rPr>
          <w:rFonts w:hint="cs"/>
          <w:b/>
          <w:bCs/>
          <w:kern w:val="36"/>
          <w:sz w:val="16"/>
          <w:szCs w:val="16"/>
          <w:rtl/>
        </w:rPr>
      </w:pPr>
    </w:p>
    <w:p w:rsidR="0095217C" w:rsidRPr="00B307B5" w:rsidRDefault="0095217C" w:rsidP="00FF2921">
      <w:pPr>
        <w:bidi w:val="0"/>
        <w:jc w:val="both"/>
        <w:outlineLvl w:val="1"/>
        <w:rPr>
          <w:b/>
          <w:bCs/>
          <w:sz w:val="16"/>
          <w:szCs w:val="16"/>
        </w:rPr>
      </w:pPr>
    </w:p>
    <w:p w:rsidR="00AB7E0B" w:rsidRPr="00B307B5" w:rsidRDefault="00FF2921" w:rsidP="00B307B5">
      <w:pPr>
        <w:bidi w:val="0"/>
        <w:jc w:val="center"/>
        <w:outlineLvl w:val="1"/>
        <w:rPr>
          <w:b/>
          <w:bCs/>
          <w:sz w:val="28"/>
          <w:szCs w:val="28"/>
        </w:rPr>
      </w:pPr>
      <w:r w:rsidRPr="00B307B5">
        <w:rPr>
          <w:b/>
          <w:bCs/>
          <w:sz w:val="28"/>
          <w:szCs w:val="28"/>
        </w:rPr>
        <w:t>In</w:t>
      </w:r>
      <w:r w:rsidR="00AB7E0B" w:rsidRPr="00B307B5">
        <w:rPr>
          <w:b/>
          <w:bCs/>
          <w:sz w:val="28"/>
          <w:szCs w:val="28"/>
        </w:rPr>
        <w:t xml:space="preserve">crease in the Producer Price Index (PPI) during </w:t>
      </w:r>
      <w:r w:rsidR="006A0F09" w:rsidRPr="00B307B5">
        <w:rPr>
          <w:b/>
          <w:bCs/>
          <w:sz w:val="28"/>
          <w:szCs w:val="28"/>
        </w:rPr>
        <w:t>Dec</w:t>
      </w:r>
      <w:r w:rsidR="001B10B9" w:rsidRPr="00B307B5">
        <w:rPr>
          <w:b/>
          <w:bCs/>
          <w:sz w:val="28"/>
          <w:szCs w:val="28"/>
        </w:rPr>
        <w:t>em</w:t>
      </w:r>
      <w:r w:rsidR="00590021" w:rsidRPr="00B307B5">
        <w:rPr>
          <w:b/>
          <w:bCs/>
          <w:sz w:val="28"/>
          <w:szCs w:val="28"/>
        </w:rPr>
        <w:t>ber</w:t>
      </w:r>
      <w:r w:rsidR="00B307B5" w:rsidRPr="00B307B5">
        <w:rPr>
          <w:b/>
          <w:bCs/>
          <w:sz w:val="28"/>
          <w:szCs w:val="28"/>
        </w:rPr>
        <w:t>,</w:t>
      </w:r>
      <w:r w:rsidR="00B307B5">
        <w:rPr>
          <w:b/>
          <w:bCs/>
          <w:sz w:val="28"/>
          <w:szCs w:val="28"/>
        </w:rPr>
        <w:t xml:space="preserve"> </w:t>
      </w:r>
      <w:r w:rsidR="00B307B5" w:rsidRPr="00B307B5">
        <w:rPr>
          <w:b/>
          <w:bCs/>
          <w:sz w:val="28"/>
          <w:szCs w:val="28"/>
        </w:rPr>
        <w:t>12/</w:t>
      </w:r>
      <w:r w:rsidRPr="00B307B5">
        <w:rPr>
          <w:b/>
          <w:bCs/>
          <w:sz w:val="28"/>
          <w:szCs w:val="28"/>
        </w:rPr>
        <w:t>2022</w:t>
      </w:r>
    </w:p>
    <w:p w:rsidR="00B307B5" w:rsidRPr="00B307B5" w:rsidRDefault="00B307B5" w:rsidP="00FF2921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27414A" w:rsidRPr="00B307B5" w:rsidRDefault="0027414A" w:rsidP="00B307B5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B307B5">
        <w:rPr>
          <w:sz w:val="26"/>
          <w:szCs w:val="26"/>
        </w:rPr>
        <w:t xml:space="preserve">The overall Producer Price Index (PPI) for Palestine with its base year (2019 = 100) reached </w:t>
      </w:r>
      <w:r w:rsidR="00FF2921" w:rsidRPr="00B307B5">
        <w:rPr>
          <w:sz w:val="26"/>
          <w:szCs w:val="26"/>
        </w:rPr>
        <w:t>106</w:t>
      </w:r>
      <w:r w:rsidRPr="00B307B5">
        <w:rPr>
          <w:sz w:val="26"/>
          <w:szCs w:val="26"/>
        </w:rPr>
        <w:t>.</w:t>
      </w:r>
      <w:r w:rsidR="00FF2921" w:rsidRPr="00B307B5">
        <w:rPr>
          <w:sz w:val="26"/>
          <w:szCs w:val="26"/>
        </w:rPr>
        <w:t>61</w:t>
      </w:r>
      <w:r w:rsidRPr="00B307B5">
        <w:rPr>
          <w:sz w:val="26"/>
          <w:szCs w:val="26"/>
        </w:rPr>
        <w:t xml:space="preserve"> in </w:t>
      </w:r>
      <w:r w:rsidR="006A0F09" w:rsidRPr="00B307B5">
        <w:rPr>
          <w:sz w:val="26"/>
          <w:szCs w:val="26"/>
        </w:rPr>
        <w:t>Dec</w:t>
      </w:r>
      <w:r w:rsidR="001B10B9" w:rsidRPr="00B307B5">
        <w:rPr>
          <w:sz w:val="26"/>
          <w:szCs w:val="26"/>
        </w:rPr>
        <w:t>em</w:t>
      </w:r>
      <w:r w:rsidR="00590021" w:rsidRPr="00B307B5">
        <w:rPr>
          <w:sz w:val="26"/>
          <w:szCs w:val="26"/>
        </w:rPr>
        <w:t>ber</w:t>
      </w:r>
      <w:r w:rsidRPr="00B307B5">
        <w:rPr>
          <w:sz w:val="26"/>
          <w:szCs w:val="26"/>
        </w:rPr>
        <w:t xml:space="preserve"> </w:t>
      </w:r>
      <w:r w:rsidR="00FF2921" w:rsidRPr="00B307B5">
        <w:rPr>
          <w:sz w:val="26"/>
          <w:szCs w:val="26"/>
        </w:rPr>
        <w:t>2022</w:t>
      </w:r>
      <w:r w:rsidRPr="00B307B5">
        <w:rPr>
          <w:sz w:val="26"/>
          <w:szCs w:val="26"/>
        </w:rPr>
        <w:t xml:space="preserve">, as it </w:t>
      </w:r>
      <w:r w:rsidR="00FF2921" w:rsidRPr="00B307B5">
        <w:rPr>
          <w:sz w:val="26"/>
          <w:szCs w:val="26"/>
        </w:rPr>
        <w:t>in</w:t>
      </w:r>
      <w:r w:rsidRPr="00B307B5">
        <w:rPr>
          <w:sz w:val="26"/>
          <w:szCs w:val="26"/>
        </w:rPr>
        <w:t xml:space="preserve">creased by </w:t>
      </w:r>
      <w:r w:rsidR="006026A7" w:rsidRPr="00B307B5">
        <w:rPr>
          <w:sz w:val="26"/>
          <w:szCs w:val="26"/>
        </w:rPr>
        <w:t>0.</w:t>
      </w:r>
      <w:r w:rsidR="00FF2921" w:rsidRPr="00B307B5">
        <w:rPr>
          <w:sz w:val="26"/>
          <w:szCs w:val="26"/>
        </w:rPr>
        <w:t>18</w:t>
      </w:r>
      <w:r w:rsidRPr="00B307B5">
        <w:rPr>
          <w:sz w:val="26"/>
          <w:szCs w:val="26"/>
        </w:rPr>
        <w:t xml:space="preserve">% compared to </w:t>
      </w:r>
      <w:r w:rsidR="006A0F09" w:rsidRPr="00B307B5">
        <w:rPr>
          <w:sz w:val="26"/>
          <w:szCs w:val="26"/>
        </w:rPr>
        <w:t>Novem</w:t>
      </w:r>
      <w:r w:rsidR="00590021" w:rsidRPr="00B307B5">
        <w:rPr>
          <w:sz w:val="26"/>
          <w:szCs w:val="26"/>
        </w:rPr>
        <w:t>ber</w:t>
      </w:r>
      <w:r w:rsidR="00931EC0" w:rsidRPr="00B307B5">
        <w:rPr>
          <w:sz w:val="26"/>
          <w:szCs w:val="26"/>
        </w:rPr>
        <w:t xml:space="preserve"> </w:t>
      </w:r>
      <w:r w:rsidR="00FF2921" w:rsidRPr="00B307B5">
        <w:rPr>
          <w:sz w:val="26"/>
          <w:szCs w:val="26"/>
        </w:rPr>
        <w:t>2022</w:t>
      </w:r>
      <w:r w:rsidRPr="00B307B5">
        <w:rPr>
          <w:sz w:val="26"/>
          <w:szCs w:val="26"/>
        </w:rPr>
        <w:t>.</w:t>
      </w:r>
    </w:p>
    <w:p w:rsidR="005945A6" w:rsidRPr="00B307B5" w:rsidRDefault="005945A6" w:rsidP="005945A6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FF2921" w:rsidRPr="00B307B5" w:rsidRDefault="00FF2921" w:rsidP="00FF2921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B307B5">
        <w:rPr>
          <w:b/>
          <w:bCs/>
          <w:sz w:val="26"/>
          <w:szCs w:val="26"/>
        </w:rPr>
        <w:t>PPI for locally consumed products</w:t>
      </w:r>
      <w:r w:rsidR="00672BE4" w:rsidRPr="00B307B5">
        <w:rPr>
          <w:b/>
          <w:bCs/>
          <w:sz w:val="26"/>
          <w:szCs w:val="26"/>
        </w:rPr>
        <w:t xml:space="preserve"> during December 2022</w:t>
      </w:r>
      <w:r w:rsidRPr="00B307B5">
        <w:rPr>
          <w:b/>
          <w:bCs/>
          <w:sz w:val="26"/>
          <w:szCs w:val="26"/>
        </w:rPr>
        <w:t xml:space="preserve"> </w:t>
      </w:r>
    </w:p>
    <w:p w:rsidR="00FF2921" w:rsidRPr="00B307B5" w:rsidRDefault="00FF2921" w:rsidP="00FF2921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B307B5">
        <w:rPr>
          <w:sz w:val="26"/>
          <w:szCs w:val="26"/>
        </w:rPr>
        <w:t>Producer Price Index for locally consumed products (2019 = 100) reached 106.40 in December 2022, which indicates an increase of 0.18% compared to November 2022.</w:t>
      </w:r>
    </w:p>
    <w:p w:rsidR="00FF2921" w:rsidRPr="00B307B5" w:rsidRDefault="00FF2921" w:rsidP="00FF2921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7E6AD8" w:rsidRPr="00B307B5" w:rsidRDefault="007E6AD8" w:rsidP="007E6AD8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B307B5">
        <w:rPr>
          <w:b/>
          <w:bCs/>
          <w:sz w:val="26"/>
          <w:szCs w:val="26"/>
        </w:rPr>
        <w:t>PPI for local exported products</w:t>
      </w:r>
      <w:r w:rsidR="00672BE4" w:rsidRPr="00B307B5">
        <w:rPr>
          <w:b/>
          <w:bCs/>
          <w:sz w:val="26"/>
          <w:szCs w:val="26"/>
        </w:rPr>
        <w:t xml:space="preserve"> during December 2022</w:t>
      </w:r>
    </w:p>
    <w:p w:rsidR="007E6AD8" w:rsidRPr="00B307B5" w:rsidRDefault="007E6AD8" w:rsidP="00FF2921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B307B5">
        <w:rPr>
          <w:sz w:val="26"/>
          <w:szCs w:val="26"/>
        </w:rPr>
        <w:t>Producer Price Index for local exported products (</w:t>
      </w:r>
      <w:r w:rsidRPr="00B307B5">
        <w:rPr>
          <w:color w:val="000000"/>
          <w:sz w:val="26"/>
          <w:szCs w:val="26"/>
        </w:rPr>
        <w:t>2019</w:t>
      </w:r>
      <w:r w:rsidRPr="00B307B5">
        <w:rPr>
          <w:sz w:val="26"/>
          <w:szCs w:val="26"/>
        </w:rPr>
        <w:t xml:space="preserve"> = 100) reached </w:t>
      </w:r>
      <w:r w:rsidR="00FF2921" w:rsidRPr="00B307B5">
        <w:rPr>
          <w:sz w:val="26"/>
          <w:szCs w:val="26"/>
        </w:rPr>
        <w:t>108</w:t>
      </w:r>
      <w:r w:rsidRPr="00B307B5">
        <w:rPr>
          <w:sz w:val="26"/>
          <w:szCs w:val="26"/>
        </w:rPr>
        <w:t>.</w:t>
      </w:r>
      <w:r w:rsidR="00FF2921" w:rsidRPr="00B307B5">
        <w:rPr>
          <w:sz w:val="26"/>
          <w:szCs w:val="26"/>
        </w:rPr>
        <w:t>55</w:t>
      </w:r>
      <w:r w:rsidRPr="00B307B5">
        <w:rPr>
          <w:sz w:val="26"/>
          <w:szCs w:val="26"/>
        </w:rPr>
        <w:t xml:space="preserve"> in December </w:t>
      </w:r>
      <w:r w:rsidR="00FF2921" w:rsidRPr="00B307B5">
        <w:rPr>
          <w:color w:val="000000"/>
          <w:sz w:val="26"/>
          <w:szCs w:val="26"/>
        </w:rPr>
        <w:t>2022</w:t>
      </w:r>
      <w:r w:rsidRPr="00B307B5">
        <w:rPr>
          <w:sz w:val="26"/>
          <w:szCs w:val="26"/>
        </w:rPr>
        <w:t>, which indicates a</w:t>
      </w:r>
      <w:r w:rsidR="00FF2921" w:rsidRPr="00B307B5">
        <w:rPr>
          <w:sz w:val="26"/>
          <w:szCs w:val="26"/>
        </w:rPr>
        <w:t>n</w:t>
      </w:r>
      <w:r w:rsidRPr="00B307B5">
        <w:rPr>
          <w:sz w:val="26"/>
          <w:szCs w:val="26"/>
        </w:rPr>
        <w:t xml:space="preserve"> </w:t>
      </w:r>
      <w:r w:rsidR="00FF2921" w:rsidRPr="00B307B5">
        <w:rPr>
          <w:sz w:val="26"/>
          <w:szCs w:val="26"/>
        </w:rPr>
        <w:t>in</w:t>
      </w:r>
      <w:r w:rsidRPr="00B307B5">
        <w:rPr>
          <w:sz w:val="26"/>
          <w:szCs w:val="26"/>
        </w:rPr>
        <w:t xml:space="preserve">crease </w:t>
      </w:r>
      <w:r w:rsidRPr="00B307B5">
        <w:rPr>
          <w:color w:val="000000"/>
          <w:sz w:val="26"/>
          <w:szCs w:val="26"/>
        </w:rPr>
        <w:t>of</w:t>
      </w:r>
      <w:r w:rsidRPr="00B307B5">
        <w:rPr>
          <w:sz w:val="26"/>
          <w:szCs w:val="26"/>
        </w:rPr>
        <w:t xml:space="preserve"> 0.</w:t>
      </w:r>
      <w:r w:rsidR="00FF2921" w:rsidRPr="00B307B5">
        <w:rPr>
          <w:sz w:val="26"/>
          <w:szCs w:val="26"/>
        </w:rPr>
        <w:t>20</w:t>
      </w:r>
      <w:r w:rsidRPr="00B307B5">
        <w:rPr>
          <w:sz w:val="26"/>
          <w:szCs w:val="26"/>
        </w:rPr>
        <w:t xml:space="preserve">% compared to November </w:t>
      </w:r>
      <w:r w:rsidR="00FF2921" w:rsidRPr="00B307B5">
        <w:rPr>
          <w:sz w:val="26"/>
          <w:szCs w:val="26"/>
        </w:rPr>
        <w:t>2022</w:t>
      </w:r>
      <w:r w:rsidRPr="00B307B5">
        <w:rPr>
          <w:sz w:val="26"/>
          <w:szCs w:val="26"/>
        </w:rPr>
        <w:t>.</w:t>
      </w:r>
    </w:p>
    <w:p w:rsidR="0027744E" w:rsidRPr="00B307B5" w:rsidRDefault="0027744E" w:rsidP="005945A6">
      <w:pPr>
        <w:pStyle w:val="BodyText2"/>
        <w:bidi w:val="0"/>
        <w:spacing w:after="0" w:line="240" w:lineRule="auto"/>
        <w:jc w:val="both"/>
        <w:rPr>
          <w:b/>
          <w:bCs/>
          <w:sz w:val="16"/>
          <w:szCs w:val="16"/>
        </w:rPr>
      </w:pPr>
    </w:p>
    <w:p w:rsidR="00B307B5" w:rsidRDefault="00B307B5" w:rsidP="00FF2921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</w:p>
    <w:p w:rsidR="00B307B5" w:rsidRDefault="00B307B5" w:rsidP="00B307B5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</w:p>
    <w:p w:rsidR="00B307B5" w:rsidRDefault="00B307B5" w:rsidP="00B307B5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</w:p>
    <w:p w:rsidR="00B307B5" w:rsidRPr="00B307B5" w:rsidRDefault="00B307B5" w:rsidP="00B307B5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27414A" w:rsidRPr="00B307B5" w:rsidRDefault="0027414A" w:rsidP="00B307B5">
      <w:pPr>
        <w:pStyle w:val="BodyText2"/>
        <w:bidi w:val="0"/>
        <w:spacing w:after="0" w:line="240" w:lineRule="auto"/>
        <w:jc w:val="center"/>
        <w:rPr>
          <w:b/>
          <w:bCs/>
          <w:sz w:val="26"/>
          <w:szCs w:val="26"/>
        </w:rPr>
      </w:pPr>
      <w:r w:rsidRPr="00B307B5">
        <w:rPr>
          <w:b/>
          <w:bCs/>
          <w:sz w:val="26"/>
          <w:szCs w:val="26"/>
        </w:rPr>
        <w:lastRenderedPageBreak/>
        <w:t xml:space="preserve">The changes of PPI for </w:t>
      </w:r>
      <w:r w:rsidR="00070B0C" w:rsidRPr="00B307B5">
        <w:rPr>
          <w:b/>
          <w:bCs/>
          <w:sz w:val="26"/>
          <w:szCs w:val="26"/>
        </w:rPr>
        <w:t>Dec</w:t>
      </w:r>
      <w:r w:rsidR="001B10B9" w:rsidRPr="00B307B5">
        <w:rPr>
          <w:b/>
          <w:bCs/>
          <w:sz w:val="26"/>
          <w:szCs w:val="26"/>
        </w:rPr>
        <w:t xml:space="preserve">ember </w:t>
      </w:r>
      <w:r w:rsidR="00FF2921" w:rsidRPr="00B307B5">
        <w:rPr>
          <w:b/>
          <w:bCs/>
          <w:sz w:val="26"/>
          <w:szCs w:val="26"/>
        </w:rPr>
        <w:t>2022</w:t>
      </w:r>
      <w:r w:rsidRPr="00B307B5">
        <w:rPr>
          <w:b/>
          <w:bCs/>
          <w:sz w:val="26"/>
          <w:szCs w:val="26"/>
        </w:rPr>
        <w:t xml:space="preserve"> were traced back to changes in prices of the following major activities compared to the previous month:</w:t>
      </w:r>
    </w:p>
    <w:p w:rsidR="0027414A" w:rsidRPr="00B307B5" w:rsidRDefault="0027414A" w:rsidP="0027414A">
      <w:pPr>
        <w:pStyle w:val="BodyText2"/>
        <w:tabs>
          <w:tab w:val="right" w:pos="3544"/>
          <w:tab w:val="right" w:pos="3686"/>
        </w:tabs>
        <w:bidi w:val="0"/>
        <w:spacing w:after="0" w:line="240" w:lineRule="auto"/>
        <w:jc w:val="both"/>
        <w:rPr>
          <w:color w:val="000000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8"/>
        <w:gridCol w:w="1609"/>
      </w:tblGrid>
      <w:tr w:rsidR="0027414A" w:rsidRPr="003E5AFC" w:rsidTr="00B307B5">
        <w:trPr>
          <w:trHeight w:val="514"/>
          <w:jc w:val="center"/>
        </w:trPr>
        <w:tc>
          <w:tcPr>
            <w:tcW w:w="3328" w:type="dxa"/>
            <w:shd w:val="clear" w:color="auto" w:fill="auto"/>
            <w:vAlign w:val="center"/>
          </w:tcPr>
          <w:p w:rsidR="0027414A" w:rsidRPr="0053589B" w:rsidRDefault="0027414A" w:rsidP="00307C1C">
            <w:pPr>
              <w:pStyle w:val="BodyText2"/>
              <w:bidi w:val="0"/>
              <w:spacing w:after="0" w:line="240" w:lineRule="auto"/>
              <w:jc w:val="center"/>
            </w:pP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color w:val="000000"/>
              </w:rPr>
              <w:t>Major Activities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27414A" w:rsidRPr="0053589B" w:rsidRDefault="00B307B5" w:rsidP="00B307B5">
            <w:pPr>
              <w:pStyle w:val="BodyText2"/>
              <w:bidi w:val="0"/>
              <w:spacing w:after="0" w:line="240" w:lineRule="auto"/>
              <w:ind w:right="-108"/>
            </w:pPr>
            <w:r>
              <w:rPr>
                <w:b/>
                <w:bCs/>
              </w:rPr>
              <w:t>%</w:t>
            </w:r>
            <w:r w:rsidR="0027414A" w:rsidRPr="003E5AFC">
              <w:rPr>
                <w:b/>
                <w:bCs/>
              </w:rPr>
              <w:t>Change</w:t>
            </w:r>
          </w:p>
        </w:tc>
      </w:tr>
      <w:tr w:rsidR="00FF2921" w:rsidRPr="0053589B" w:rsidTr="00B307B5">
        <w:trPr>
          <w:trHeight w:val="514"/>
          <w:jc w:val="center"/>
        </w:trPr>
        <w:tc>
          <w:tcPr>
            <w:tcW w:w="3328" w:type="dxa"/>
            <w:shd w:val="clear" w:color="auto" w:fill="auto"/>
            <w:vAlign w:val="center"/>
          </w:tcPr>
          <w:p w:rsidR="00FF2921" w:rsidRPr="0053589B" w:rsidRDefault="00FF2921" w:rsidP="00FF2921">
            <w:pPr>
              <w:pStyle w:val="BodyText2"/>
              <w:bidi w:val="0"/>
              <w:spacing w:after="0" w:line="240" w:lineRule="auto"/>
              <w:jc w:val="both"/>
            </w:pPr>
            <w:r w:rsidRPr="003E5AFC">
              <w:rPr>
                <w:color w:val="000000"/>
              </w:rPr>
              <w:t xml:space="preserve">Agriculture, forestry and fishing 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FF2921" w:rsidRPr="0053589B" w:rsidRDefault="00FF2921" w:rsidP="00FF2921">
            <w:pPr>
              <w:pStyle w:val="BodyText2"/>
              <w:bidi w:val="0"/>
              <w:spacing w:after="0" w:line="240" w:lineRule="auto"/>
              <w:ind w:right="34"/>
              <w:jc w:val="center"/>
            </w:pPr>
            <w:r>
              <w:t xml:space="preserve">      + 3.33%</w:t>
            </w:r>
          </w:p>
        </w:tc>
      </w:tr>
      <w:tr w:rsidR="00FF2921" w:rsidRPr="0053589B" w:rsidTr="00B307B5">
        <w:trPr>
          <w:trHeight w:val="514"/>
          <w:jc w:val="center"/>
        </w:trPr>
        <w:tc>
          <w:tcPr>
            <w:tcW w:w="3328" w:type="dxa"/>
            <w:shd w:val="clear" w:color="auto" w:fill="auto"/>
            <w:vAlign w:val="center"/>
          </w:tcPr>
          <w:p w:rsidR="00FF2921" w:rsidRPr="00FC0516" w:rsidRDefault="00FF2921" w:rsidP="00FF2921">
            <w:pPr>
              <w:pStyle w:val="BodyText2"/>
              <w:bidi w:val="0"/>
              <w:spacing w:after="0" w:line="240" w:lineRule="auto"/>
              <w:jc w:val="both"/>
              <w:rPr>
                <w:sz w:val="2"/>
                <w:szCs w:val="2"/>
              </w:rPr>
            </w:pPr>
          </w:p>
          <w:p w:rsidR="00FF2921" w:rsidRPr="0053589B" w:rsidRDefault="00FF2921" w:rsidP="00FF2921">
            <w:pPr>
              <w:pStyle w:val="BodyText2"/>
              <w:bidi w:val="0"/>
              <w:spacing w:after="0" w:line="240" w:lineRule="auto"/>
              <w:jc w:val="both"/>
            </w:pPr>
            <w:r w:rsidRPr="0053589B">
              <w:t>Water supply; sewerage, waste management and remediation activities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FF2921" w:rsidRPr="0053589B" w:rsidRDefault="00FF2921" w:rsidP="00FF2921">
            <w:pPr>
              <w:pStyle w:val="BodyText2"/>
              <w:tabs>
                <w:tab w:val="right" w:pos="165"/>
              </w:tabs>
              <w:bidi w:val="0"/>
              <w:spacing w:after="0" w:line="240" w:lineRule="auto"/>
              <w:jc w:val="center"/>
            </w:pPr>
            <w:r>
              <w:t xml:space="preserve">    + 0.92%</w:t>
            </w:r>
          </w:p>
        </w:tc>
      </w:tr>
      <w:tr w:rsidR="00FF2921" w:rsidRPr="003E5AFC" w:rsidTr="00B307B5">
        <w:trPr>
          <w:trHeight w:val="514"/>
          <w:jc w:val="center"/>
        </w:trPr>
        <w:tc>
          <w:tcPr>
            <w:tcW w:w="3328" w:type="dxa"/>
            <w:shd w:val="clear" w:color="auto" w:fill="auto"/>
            <w:vAlign w:val="center"/>
          </w:tcPr>
          <w:p w:rsidR="00FF2921" w:rsidRPr="0053589B" w:rsidRDefault="00FF2921" w:rsidP="00FF2921">
            <w:pPr>
              <w:pStyle w:val="BodyText2"/>
              <w:bidi w:val="0"/>
              <w:spacing w:after="0" w:line="240" w:lineRule="auto"/>
              <w:jc w:val="both"/>
              <w:rPr>
                <w:rFonts w:hint="cs"/>
                <w:rtl/>
              </w:rPr>
            </w:pPr>
            <w:r w:rsidRPr="0053589B">
              <w:t>Electricity, gas, steam and air conditioning supply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FF2921" w:rsidRPr="0053589B" w:rsidRDefault="00FF2921" w:rsidP="00FF2921">
            <w:pPr>
              <w:pStyle w:val="BodyText2"/>
              <w:tabs>
                <w:tab w:val="right" w:pos="219"/>
                <w:tab w:val="right" w:pos="885"/>
              </w:tabs>
              <w:bidi w:val="0"/>
              <w:spacing w:after="0" w:line="240" w:lineRule="auto"/>
            </w:pPr>
            <w:r>
              <w:t xml:space="preserve">      - 3.58%</w:t>
            </w:r>
          </w:p>
        </w:tc>
      </w:tr>
      <w:tr w:rsidR="00FF2921" w:rsidRPr="003E5AFC" w:rsidTr="00B307B5">
        <w:trPr>
          <w:trHeight w:val="514"/>
          <w:jc w:val="center"/>
        </w:trPr>
        <w:tc>
          <w:tcPr>
            <w:tcW w:w="3328" w:type="dxa"/>
            <w:shd w:val="clear" w:color="auto" w:fill="auto"/>
            <w:vAlign w:val="center"/>
          </w:tcPr>
          <w:p w:rsidR="00FF2921" w:rsidRPr="001377F8" w:rsidRDefault="00FF2921" w:rsidP="00FF2921">
            <w:pPr>
              <w:pStyle w:val="BodyText2"/>
              <w:bidi w:val="0"/>
              <w:spacing w:after="0" w:line="240" w:lineRule="auto"/>
              <w:jc w:val="both"/>
              <w:rPr>
                <w:color w:val="000000"/>
              </w:rPr>
            </w:pPr>
            <w:r w:rsidRPr="001377F8">
              <w:rPr>
                <w:color w:val="000000"/>
              </w:rPr>
              <w:t>Manufacturing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FF2921" w:rsidRPr="001377F8" w:rsidRDefault="00FF2921" w:rsidP="00FF2921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</w:pPr>
            <w:r>
              <w:t xml:space="preserve">   -</w:t>
            </w:r>
            <w:r w:rsidRPr="001377F8">
              <w:t xml:space="preserve"> </w:t>
            </w:r>
            <w:r>
              <w:t>0</w:t>
            </w:r>
            <w:r w:rsidRPr="001377F8">
              <w:t>.</w:t>
            </w:r>
            <w:r>
              <w:t>75</w:t>
            </w:r>
            <w:r w:rsidRPr="001377F8">
              <w:t xml:space="preserve">% </w:t>
            </w:r>
          </w:p>
        </w:tc>
      </w:tr>
      <w:tr w:rsidR="00FF2921" w:rsidRPr="003E5AFC" w:rsidTr="00B307B5">
        <w:trPr>
          <w:trHeight w:val="514"/>
          <w:jc w:val="center"/>
        </w:trPr>
        <w:tc>
          <w:tcPr>
            <w:tcW w:w="3328" w:type="dxa"/>
            <w:shd w:val="clear" w:color="auto" w:fill="auto"/>
            <w:vAlign w:val="center"/>
          </w:tcPr>
          <w:p w:rsidR="00FF2921" w:rsidRPr="0053589B" w:rsidRDefault="00FF2921" w:rsidP="00FF2921">
            <w:pPr>
              <w:pStyle w:val="BodyText2"/>
              <w:bidi w:val="0"/>
              <w:spacing w:after="0" w:line="240" w:lineRule="auto"/>
              <w:jc w:val="both"/>
            </w:pPr>
            <w:r w:rsidRPr="003E5AFC">
              <w:rPr>
                <w:color w:val="000000"/>
              </w:rPr>
              <w:t>Mining and quarrying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FF2921" w:rsidRPr="001377F8" w:rsidRDefault="00FF2921" w:rsidP="00FF2921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</w:pPr>
            <w:r w:rsidRPr="001377F8">
              <w:t xml:space="preserve">   </w:t>
            </w:r>
            <w:r>
              <w:t xml:space="preserve">- </w:t>
            </w:r>
            <w:r w:rsidRPr="001377F8">
              <w:t>0.</w:t>
            </w:r>
            <w:r>
              <w:t>33</w:t>
            </w:r>
            <w:r w:rsidRPr="001377F8">
              <w:t xml:space="preserve">% </w:t>
            </w:r>
          </w:p>
        </w:tc>
      </w:tr>
    </w:tbl>
    <w:p w:rsidR="00F02B11" w:rsidRDefault="00AB7E0B" w:rsidP="007E6AD8">
      <w:pPr>
        <w:autoSpaceDE w:val="0"/>
        <w:autoSpaceDN w:val="0"/>
        <w:bidi w:val="0"/>
        <w:adjustRightInd w:val="0"/>
        <w:jc w:val="both"/>
        <w:rPr>
          <w:sz w:val="20"/>
          <w:szCs w:val="20"/>
        </w:rPr>
      </w:pP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</w:p>
    <w:p w:rsidR="008A3010" w:rsidRPr="00B307B5" w:rsidRDefault="008A3010" w:rsidP="00B307B5">
      <w:pPr>
        <w:autoSpaceDE w:val="0"/>
        <w:autoSpaceDN w:val="0"/>
        <w:bidi w:val="0"/>
        <w:adjustRightInd w:val="0"/>
        <w:spacing w:line="276" w:lineRule="auto"/>
        <w:jc w:val="center"/>
        <w:rPr>
          <w:rFonts w:cs="Simplified Arabic"/>
          <w:b/>
          <w:bCs/>
          <w:snapToGrid w:val="0"/>
          <w:color w:val="000000"/>
          <w:sz w:val="26"/>
          <w:szCs w:val="26"/>
        </w:rPr>
      </w:pPr>
      <w:r w:rsidRPr="00B307B5">
        <w:rPr>
          <w:rFonts w:cs="Simplified Arabic"/>
          <w:b/>
          <w:bCs/>
          <w:snapToGrid w:val="0"/>
          <w:color w:val="000000"/>
          <w:sz w:val="26"/>
          <w:szCs w:val="26"/>
        </w:rPr>
        <w:t xml:space="preserve">The table shows monthly percent changes in Palestinian PPI for the months:                            January – </w:t>
      </w:r>
      <w:r w:rsidRPr="00B307B5">
        <w:rPr>
          <w:b/>
          <w:bCs/>
          <w:sz w:val="26"/>
          <w:szCs w:val="26"/>
        </w:rPr>
        <w:t xml:space="preserve">December </w:t>
      </w:r>
      <w:r w:rsidR="007719D7" w:rsidRPr="00B307B5">
        <w:rPr>
          <w:rFonts w:cs="Simplified Arabic"/>
          <w:b/>
          <w:bCs/>
          <w:snapToGrid w:val="0"/>
          <w:color w:val="000000"/>
          <w:sz w:val="26"/>
          <w:szCs w:val="26"/>
        </w:rPr>
        <w:t>2022</w:t>
      </w:r>
      <w:r w:rsidRPr="00B307B5">
        <w:rPr>
          <w:rFonts w:cs="Simplified Arabic"/>
          <w:b/>
          <w:bCs/>
          <w:snapToGrid w:val="0"/>
          <w:color w:val="000000"/>
          <w:sz w:val="26"/>
          <w:szCs w:val="26"/>
        </w:rPr>
        <w:t>:</w:t>
      </w:r>
    </w:p>
    <w:p w:rsidR="008A3010" w:rsidRPr="009022DC" w:rsidRDefault="008A3010" w:rsidP="008A3010">
      <w:pPr>
        <w:autoSpaceDE w:val="0"/>
        <w:autoSpaceDN w:val="0"/>
        <w:bidi w:val="0"/>
        <w:adjustRightInd w:val="0"/>
        <w:spacing w:line="276" w:lineRule="auto"/>
        <w:jc w:val="both"/>
        <w:rPr>
          <w:rFonts w:cs="Simplified Arabic"/>
          <w:snapToGrid w:val="0"/>
          <w:color w:val="000000"/>
          <w:sz w:val="8"/>
          <w:szCs w:val="8"/>
        </w:rPr>
      </w:pPr>
    </w:p>
    <w:tbl>
      <w:tblPr>
        <w:tblW w:w="5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0"/>
        <w:gridCol w:w="1286"/>
        <w:gridCol w:w="1286"/>
        <w:gridCol w:w="1286"/>
      </w:tblGrid>
      <w:tr w:rsidR="008A3010" w:rsidRPr="00B307B5" w:rsidTr="00B307B5">
        <w:trPr>
          <w:trHeight w:val="602"/>
          <w:jc w:val="center"/>
        </w:trPr>
        <w:tc>
          <w:tcPr>
            <w:tcW w:w="1430" w:type="dxa"/>
            <w:vAlign w:val="center"/>
          </w:tcPr>
          <w:p w:rsidR="008A3010" w:rsidRPr="00B307B5" w:rsidRDefault="008A3010" w:rsidP="00AB0600">
            <w:pPr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B307B5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Month</w:t>
            </w:r>
          </w:p>
        </w:tc>
        <w:tc>
          <w:tcPr>
            <w:tcW w:w="1286" w:type="dxa"/>
          </w:tcPr>
          <w:p w:rsidR="008A3010" w:rsidRPr="00B307B5" w:rsidRDefault="008A3010" w:rsidP="00AB0600">
            <w:pPr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B307B5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Local Products</w:t>
            </w:r>
          </w:p>
        </w:tc>
        <w:tc>
          <w:tcPr>
            <w:tcW w:w="1286" w:type="dxa"/>
          </w:tcPr>
          <w:p w:rsidR="008A3010" w:rsidRPr="00B307B5" w:rsidRDefault="008A3010" w:rsidP="00AB0600">
            <w:pPr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B307B5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Exported Products</w:t>
            </w:r>
          </w:p>
        </w:tc>
        <w:tc>
          <w:tcPr>
            <w:tcW w:w="1286" w:type="dxa"/>
          </w:tcPr>
          <w:p w:rsidR="008A3010" w:rsidRPr="00B307B5" w:rsidRDefault="008A3010" w:rsidP="00AB0600">
            <w:pPr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B307B5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All Products</w:t>
            </w:r>
          </w:p>
        </w:tc>
      </w:tr>
      <w:tr w:rsidR="007719D7" w:rsidRPr="00B307B5" w:rsidTr="00B307B5">
        <w:trPr>
          <w:trHeight w:val="301"/>
          <w:jc w:val="center"/>
        </w:trPr>
        <w:tc>
          <w:tcPr>
            <w:tcW w:w="1430" w:type="dxa"/>
            <w:vAlign w:val="center"/>
          </w:tcPr>
          <w:p w:rsidR="007719D7" w:rsidRPr="00B307B5" w:rsidRDefault="007719D7" w:rsidP="007719D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B307B5">
              <w:rPr>
                <w:rFonts w:asciiTheme="majorBidi" w:hAnsiTheme="majorBidi" w:cstheme="majorBidi"/>
                <w:snapToGrid w:val="0"/>
                <w:color w:val="000000"/>
              </w:rPr>
              <w:t>January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719D7" w:rsidRPr="00B307B5" w:rsidRDefault="007719D7" w:rsidP="00B307B5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</w:pPr>
            <w:r w:rsidRPr="00B307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3.49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719D7" w:rsidRPr="00B307B5" w:rsidRDefault="007719D7" w:rsidP="00B307B5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307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0.93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719D7" w:rsidRPr="00B307B5" w:rsidRDefault="007719D7" w:rsidP="00B307B5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307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3.22</w:t>
            </w:r>
          </w:p>
        </w:tc>
      </w:tr>
      <w:tr w:rsidR="007719D7" w:rsidRPr="00B307B5" w:rsidTr="00B307B5">
        <w:trPr>
          <w:trHeight w:val="301"/>
          <w:jc w:val="center"/>
        </w:trPr>
        <w:tc>
          <w:tcPr>
            <w:tcW w:w="1430" w:type="dxa"/>
            <w:vAlign w:val="center"/>
          </w:tcPr>
          <w:p w:rsidR="007719D7" w:rsidRPr="00B307B5" w:rsidRDefault="007719D7" w:rsidP="007719D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B307B5">
              <w:rPr>
                <w:rFonts w:asciiTheme="majorBidi" w:hAnsiTheme="majorBidi" w:cstheme="majorBidi"/>
                <w:snapToGrid w:val="0"/>
                <w:color w:val="000000"/>
              </w:rPr>
              <w:t>February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719D7" w:rsidRPr="00B307B5" w:rsidRDefault="007719D7" w:rsidP="00B307B5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307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2.77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719D7" w:rsidRPr="00B307B5" w:rsidRDefault="007719D7" w:rsidP="00B307B5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307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3.08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719D7" w:rsidRPr="00B307B5" w:rsidRDefault="007719D7" w:rsidP="00B307B5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307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2.80</w:t>
            </w:r>
          </w:p>
        </w:tc>
      </w:tr>
      <w:tr w:rsidR="007719D7" w:rsidRPr="00B307B5" w:rsidTr="00B307B5">
        <w:trPr>
          <w:trHeight w:val="287"/>
          <w:jc w:val="center"/>
        </w:trPr>
        <w:tc>
          <w:tcPr>
            <w:tcW w:w="1430" w:type="dxa"/>
            <w:vAlign w:val="center"/>
          </w:tcPr>
          <w:p w:rsidR="007719D7" w:rsidRPr="00B307B5" w:rsidRDefault="007719D7" w:rsidP="007719D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B307B5">
              <w:rPr>
                <w:rFonts w:asciiTheme="majorBidi" w:hAnsiTheme="majorBidi" w:cstheme="majorBidi"/>
                <w:snapToGrid w:val="0"/>
                <w:color w:val="000000"/>
              </w:rPr>
              <w:t>March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719D7" w:rsidRPr="00B307B5" w:rsidRDefault="007719D7" w:rsidP="00B307B5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307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1.02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719D7" w:rsidRPr="00B307B5" w:rsidRDefault="007719D7" w:rsidP="00B307B5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307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-0.19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719D7" w:rsidRPr="00B307B5" w:rsidRDefault="007719D7" w:rsidP="00B307B5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307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0.89</w:t>
            </w:r>
          </w:p>
        </w:tc>
      </w:tr>
      <w:tr w:rsidR="007719D7" w:rsidRPr="00B307B5" w:rsidTr="00B307B5">
        <w:trPr>
          <w:trHeight w:val="301"/>
          <w:jc w:val="center"/>
        </w:trPr>
        <w:tc>
          <w:tcPr>
            <w:tcW w:w="1430" w:type="dxa"/>
            <w:vAlign w:val="center"/>
          </w:tcPr>
          <w:p w:rsidR="007719D7" w:rsidRPr="00B307B5" w:rsidRDefault="007719D7" w:rsidP="007719D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B307B5">
              <w:rPr>
                <w:rFonts w:asciiTheme="majorBidi" w:hAnsiTheme="majorBidi" w:cstheme="majorBidi"/>
                <w:snapToGrid w:val="0"/>
                <w:color w:val="000000"/>
              </w:rPr>
              <w:t>April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719D7" w:rsidRPr="00B307B5" w:rsidRDefault="007719D7" w:rsidP="00B307B5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307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719D7" w:rsidRPr="00B307B5" w:rsidRDefault="007719D7" w:rsidP="00B307B5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307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-0.59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719D7" w:rsidRPr="00B307B5" w:rsidRDefault="007719D7" w:rsidP="00B307B5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307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0.10</w:t>
            </w:r>
          </w:p>
        </w:tc>
      </w:tr>
      <w:tr w:rsidR="007719D7" w:rsidRPr="00B307B5" w:rsidTr="00B307B5">
        <w:trPr>
          <w:trHeight w:val="301"/>
          <w:jc w:val="center"/>
        </w:trPr>
        <w:tc>
          <w:tcPr>
            <w:tcW w:w="1430" w:type="dxa"/>
            <w:vAlign w:val="center"/>
          </w:tcPr>
          <w:p w:rsidR="007719D7" w:rsidRPr="00B307B5" w:rsidRDefault="007719D7" w:rsidP="007719D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B307B5">
              <w:rPr>
                <w:rFonts w:asciiTheme="majorBidi" w:hAnsiTheme="majorBidi" w:cstheme="majorBidi"/>
                <w:snapToGrid w:val="0"/>
                <w:color w:val="000000"/>
              </w:rPr>
              <w:t>May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719D7" w:rsidRPr="00B307B5" w:rsidRDefault="007719D7" w:rsidP="00B307B5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307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-2.66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719D7" w:rsidRPr="00B307B5" w:rsidRDefault="007719D7" w:rsidP="00B307B5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307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-1.42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719D7" w:rsidRPr="00B307B5" w:rsidRDefault="007719D7" w:rsidP="00B307B5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307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-2.54</w:t>
            </w:r>
          </w:p>
        </w:tc>
      </w:tr>
      <w:tr w:rsidR="007719D7" w:rsidRPr="00B307B5" w:rsidTr="00B307B5">
        <w:trPr>
          <w:trHeight w:val="301"/>
          <w:jc w:val="center"/>
        </w:trPr>
        <w:tc>
          <w:tcPr>
            <w:tcW w:w="1430" w:type="dxa"/>
            <w:vAlign w:val="center"/>
          </w:tcPr>
          <w:p w:rsidR="007719D7" w:rsidRPr="00B307B5" w:rsidRDefault="007719D7" w:rsidP="007719D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B307B5">
              <w:rPr>
                <w:rFonts w:asciiTheme="majorBidi" w:hAnsiTheme="majorBidi" w:cstheme="majorBidi"/>
                <w:snapToGrid w:val="0"/>
                <w:color w:val="000000"/>
              </w:rPr>
              <w:t>June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719D7" w:rsidRPr="00B307B5" w:rsidRDefault="007719D7" w:rsidP="00B307B5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307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-0.75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719D7" w:rsidRPr="00B307B5" w:rsidRDefault="007719D7" w:rsidP="00B307B5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307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-0.42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719D7" w:rsidRPr="00B307B5" w:rsidRDefault="007719D7" w:rsidP="00B307B5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307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-0.72</w:t>
            </w:r>
          </w:p>
        </w:tc>
      </w:tr>
      <w:tr w:rsidR="007719D7" w:rsidRPr="00B307B5" w:rsidTr="00B307B5">
        <w:trPr>
          <w:trHeight w:val="301"/>
          <w:jc w:val="center"/>
        </w:trPr>
        <w:tc>
          <w:tcPr>
            <w:tcW w:w="1430" w:type="dxa"/>
            <w:vAlign w:val="center"/>
          </w:tcPr>
          <w:p w:rsidR="007719D7" w:rsidRPr="00B307B5" w:rsidRDefault="007719D7" w:rsidP="007719D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B307B5">
              <w:rPr>
                <w:rFonts w:asciiTheme="majorBidi" w:hAnsiTheme="majorBidi" w:cstheme="majorBidi"/>
                <w:snapToGrid w:val="0"/>
                <w:color w:val="000000"/>
              </w:rPr>
              <w:t>July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719D7" w:rsidRPr="00B307B5" w:rsidRDefault="007719D7" w:rsidP="00B307B5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307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0.43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719D7" w:rsidRPr="00B307B5" w:rsidRDefault="007719D7" w:rsidP="00B307B5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307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-0.54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719D7" w:rsidRPr="00B307B5" w:rsidRDefault="007719D7" w:rsidP="00B307B5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307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0.33</w:t>
            </w:r>
          </w:p>
        </w:tc>
      </w:tr>
      <w:tr w:rsidR="007719D7" w:rsidRPr="00B307B5" w:rsidTr="00B307B5">
        <w:trPr>
          <w:trHeight w:val="301"/>
          <w:jc w:val="center"/>
        </w:trPr>
        <w:tc>
          <w:tcPr>
            <w:tcW w:w="1430" w:type="dxa"/>
            <w:vAlign w:val="center"/>
          </w:tcPr>
          <w:p w:rsidR="007719D7" w:rsidRPr="00B307B5" w:rsidRDefault="007719D7" w:rsidP="007719D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B307B5">
              <w:rPr>
                <w:rFonts w:asciiTheme="majorBidi" w:hAnsiTheme="majorBidi" w:cstheme="majorBidi"/>
                <w:snapToGrid w:val="0"/>
                <w:color w:val="000000"/>
              </w:rPr>
              <w:t>August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719D7" w:rsidRPr="00B307B5" w:rsidRDefault="007719D7" w:rsidP="00B307B5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307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1.78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719D7" w:rsidRPr="00B307B5" w:rsidRDefault="007719D7" w:rsidP="00B307B5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307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0.76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719D7" w:rsidRPr="00B307B5" w:rsidRDefault="007719D7" w:rsidP="00B307B5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307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1.68</w:t>
            </w:r>
          </w:p>
        </w:tc>
      </w:tr>
      <w:tr w:rsidR="007719D7" w:rsidRPr="00B307B5" w:rsidTr="00B307B5">
        <w:trPr>
          <w:trHeight w:val="287"/>
          <w:jc w:val="center"/>
        </w:trPr>
        <w:tc>
          <w:tcPr>
            <w:tcW w:w="1430" w:type="dxa"/>
            <w:vAlign w:val="center"/>
          </w:tcPr>
          <w:p w:rsidR="007719D7" w:rsidRPr="00B307B5" w:rsidRDefault="007719D7" w:rsidP="007719D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B307B5">
              <w:rPr>
                <w:rFonts w:asciiTheme="majorBidi" w:hAnsiTheme="majorBidi" w:cstheme="majorBidi"/>
                <w:snapToGrid w:val="0"/>
                <w:color w:val="000000"/>
              </w:rPr>
              <w:t>September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719D7" w:rsidRPr="00B307B5" w:rsidRDefault="007719D7" w:rsidP="00B307B5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307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1.95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719D7" w:rsidRPr="00B307B5" w:rsidRDefault="007719D7" w:rsidP="00B307B5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307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719D7" w:rsidRPr="00B307B5" w:rsidRDefault="007719D7" w:rsidP="00B307B5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307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1.78</w:t>
            </w:r>
          </w:p>
        </w:tc>
      </w:tr>
      <w:tr w:rsidR="007719D7" w:rsidRPr="00B307B5" w:rsidTr="00B307B5">
        <w:trPr>
          <w:trHeight w:val="301"/>
          <w:jc w:val="center"/>
        </w:trPr>
        <w:tc>
          <w:tcPr>
            <w:tcW w:w="1430" w:type="dxa"/>
            <w:vAlign w:val="center"/>
          </w:tcPr>
          <w:p w:rsidR="007719D7" w:rsidRPr="00B307B5" w:rsidRDefault="007719D7" w:rsidP="007719D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B307B5">
              <w:rPr>
                <w:rFonts w:asciiTheme="majorBidi" w:hAnsiTheme="majorBidi" w:cstheme="majorBidi"/>
                <w:snapToGrid w:val="0"/>
                <w:color w:val="000000"/>
              </w:rPr>
              <w:t>October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719D7" w:rsidRPr="00B307B5" w:rsidRDefault="007719D7" w:rsidP="00B307B5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307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0.73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719D7" w:rsidRPr="00B307B5" w:rsidRDefault="007719D7" w:rsidP="00B307B5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307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-0.09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719D7" w:rsidRPr="00B307B5" w:rsidRDefault="007719D7" w:rsidP="00B307B5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307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0.65</w:t>
            </w:r>
          </w:p>
        </w:tc>
      </w:tr>
      <w:tr w:rsidR="007719D7" w:rsidRPr="00B307B5" w:rsidTr="00B307B5">
        <w:trPr>
          <w:trHeight w:val="301"/>
          <w:jc w:val="center"/>
        </w:trPr>
        <w:tc>
          <w:tcPr>
            <w:tcW w:w="1430" w:type="dxa"/>
            <w:vAlign w:val="center"/>
          </w:tcPr>
          <w:p w:rsidR="007719D7" w:rsidRPr="00B307B5" w:rsidRDefault="007719D7" w:rsidP="007719D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B307B5">
              <w:rPr>
                <w:rFonts w:asciiTheme="majorBidi" w:hAnsiTheme="majorBidi" w:cstheme="majorBidi"/>
                <w:snapToGrid w:val="0"/>
                <w:color w:val="000000"/>
              </w:rPr>
              <w:t>November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719D7" w:rsidRPr="00B307B5" w:rsidRDefault="007719D7" w:rsidP="00B307B5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307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-1.27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719D7" w:rsidRPr="00B307B5" w:rsidRDefault="007719D7" w:rsidP="00B307B5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307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-0.25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719D7" w:rsidRPr="00B307B5" w:rsidRDefault="007719D7" w:rsidP="00B307B5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307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-1.17</w:t>
            </w:r>
          </w:p>
        </w:tc>
      </w:tr>
      <w:tr w:rsidR="007719D7" w:rsidRPr="00B307B5" w:rsidTr="00B307B5">
        <w:trPr>
          <w:trHeight w:val="301"/>
          <w:jc w:val="center"/>
        </w:trPr>
        <w:tc>
          <w:tcPr>
            <w:tcW w:w="1430" w:type="dxa"/>
            <w:vAlign w:val="center"/>
          </w:tcPr>
          <w:p w:rsidR="007719D7" w:rsidRPr="00B307B5" w:rsidRDefault="007719D7" w:rsidP="007719D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B307B5">
              <w:rPr>
                <w:rFonts w:asciiTheme="majorBidi" w:hAnsiTheme="majorBidi" w:cstheme="majorBidi"/>
                <w:snapToGrid w:val="0"/>
                <w:color w:val="000000"/>
              </w:rPr>
              <w:t>December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719D7" w:rsidRPr="00B307B5" w:rsidRDefault="007719D7" w:rsidP="00B307B5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307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719D7" w:rsidRPr="00B307B5" w:rsidRDefault="007719D7" w:rsidP="00B307B5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307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719D7" w:rsidRPr="00B307B5" w:rsidRDefault="007719D7" w:rsidP="00B307B5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307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0.18</w:t>
            </w:r>
          </w:p>
        </w:tc>
      </w:tr>
      <w:tr w:rsidR="000C6536" w:rsidRPr="00B307B5" w:rsidTr="00B307B5">
        <w:trPr>
          <w:trHeight w:val="602"/>
          <w:jc w:val="center"/>
        </w:trPr>
        <w:tc>
          <w:tcPr>
            <w:tcW w:w="1430" w:type="dxa"/>
            <w:vAlign w:val="center"/>
          </w:tcPr>
          <w:p w:rsidR="000C6536" w:rsidRPr="00B307B5" w:rsidRDefault="000C6536" w:rsidP="00BA11C4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B307B5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202</w:t>
            </w:r>
            <w:r w:rsidR="00BA11C4" w:rsidRPr="00B307B5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2</w:t>
            </w:r>
            <w:r w:rsidRPr="00B307B5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 xml:space="preserve"> Com. 202</w:t>
            </w:r>
            <w:r w:rsidR="00BA11C4" w:rsidRPr="00B307B5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1</w:t>
            </w:r>
          </w:p>
        </w:tc>
        <w:tc>
          <w:tcPr>
            <w:tcW w:w="1286" w:type="dxa"/>
            <w:vAlign w:val="center"/>
          </w:tcPr>
          <w:p w:rsidR="000C6536" w:rsidRPr="00B307B5" w:rsidRDefault="00227845" w:rsidP="00B307B5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2"/>
                <w:szCs w:val="22"/>
                <w:rtl/>
                <w:lang w:eastAsia="ar-SA"/>
              </w:rPr>
            </w:pPr>
            <w:r w:rsidRPr="00B307B5">
              <w:rPr>
                <w:rFonts w:asciiTheme="majorBidi" w:hAnsiTheme="majorBidi" w:cstheme="majorBidi"/>
                <w:b/>
                <w:bCs/>
                <w:snapToGrid/>
                <w:color w:val="000000"/>
                <w:sz w:val="22"/>
                <w:szCs w:val="22"/>
                <w:lang w:eastAsia="ar-SA"/>
              </w:rPr>
              <w:t>69</w:t>
            </w:r>
            <w:r w:rsidR="000C6536" w:rsidRPr="00B307B5">
              <w:rPr>
                <w:rFonts w:asciiTheme="majorBidi" w:hAnsiTheme="majorBidi" w:cstheme="majorBidi"/>
                <w:b/>
                <w:bCs/>
                <w:snapToGrid/>
                <w:color w:val="000000"/>
                <w:sz w:val="22"/>
                <w:szCs w:val="22"/>
                <w:rtl/>
                <w:lang w:eastAsia="ar-SA"/>
              </w:rPr>
              <w:t>.</w:t>
            </w:r>
            <w:r w:rsidRPr="00B307B5">
              <w:rPr>
                <w:rFonts w:asciiTheme="majorBidi" w:hAnsiTheme="majorBidi" w:cstheme="majorBidi"/>
                <w:b/>
                <w:bCs/>
                <w:snapToGrid/>
                <w:color w:val="000000"/>
                <w:sz w:val="22"/>
                <w:szCs w:val="22"/>
                <w:rtl/>
                <w:lang w:eastAsia="ar-SA"/>
              </w:rPr>
              <w:t>7</w:t>
            </w:r>
          </w:p>
        </w:tc>
        <w:tc>
          <w:tcPr>
            <w:tcW w:w="1286" w:type="dxa"/>
            <w:vAlign w:val="center"/>
          </w:tcPr>
          <w:p w:rsidR="000C6536" w:rsidRPr="00B307B5" w:rsidRDefault="00227845" w:rsidP="00B307B5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2"/>
                <w:szCs w:val="22"/>
                <w:rtl/>
                <w:lang w:eastAsia="ar-SA"/>
              </w:rPr>
            </w:pPr>
            <w:r w:rsidRPr="00B307B5">
              <w:rPr>
                <w:rFonts w:asciiTheme="majorBidi" w:hAnsiTheme="majorBidi" w:cstheme="majorBidi"/>
                <w:b/>
                <w:bCs/>
                <w:snapToGrid/>
                <w:color w:val="000000"/>
                <w:sz w:val="22"/>
                <w:szCs w:val="22"/>
                <w:rtl/>
                <w:lang w:eastAsia="ar-SA"/>
              </w:rPr>
              <w:t>5</w:t>
            </w:r>
            <w:r w:rsidR="000C6536" w:rsidRPr="00B307B5">
              <w:rPr>
                <w:rFonts w:asciiTheme="majorBidi" w:hAnsiTheme="majorBidi" w:cstheme="majorBidi"/>
                <w:b/>
                <w:bCs/>
                <w:snapToGrid/>
                <w:color w:val="000000"/>
                <w:sz w:val="22"/>
                <w:szCs w:val="22"/>
                <w:rtl/>
                <w:lang w:eastAsia="ar-SA"/>
              </w:rPr>
              <w:t>.</w:t>
            </w:r>
            <w:r w:rsidRPr="00B307B5">
              <w:rPr>
                <w:rFonts w:asciiTheme="majorBidi" w:hAnsiTheme="majorBidi" w:cstheme="majorBidi"/>
                <w:b/>
                <w:bCs/>
                <w:snapToGrid/>
                <w:color w:val="000000"/>
                <w:sz w:val="22"/>
                <w:szCs w:val="22"/>
                <w:rtl/>
                <w:lang w:eastAsia="ar-SA"/>
              </w:rPr>
              <w:t>14</w:t>
            </w:r>
          </w:p>
        </w:tc>
        <w:tc>
          <w:tcPr>
            <w:tcW w:w="1286" w:type="dxa"/>
            <w:vAlign w:val="center"/>
          </w:tcPr>
          <w:p w:rsidR="000C6536" w:rsidRPr="00B307B5" w:rsidRDefault="00227845" w:rsidP="00B307B5">
            <w:pPr>
              <w:pStyle w:val="Header"/>
              <w:ind w:right="-180"/>
              <w:jc w:val="center"/>
              <w:rPr>
                <w:rFonts w:asciiTheme="majorBidi" w:hAnsiTheme="majorBidi" w:cstheme="majorBidi" w:hint="cs"/>
                <w:b/>
                <w:bCs/>
                <w:snapToGrid/>
                <w:color w:val="000000"/>
                <w:sz w:val="22"/>
                <w:szCs w:val="22"/>
                <w:rtl/>
                <w:lang w:eastAsia="ar-SA"/>
              </w:rPr>
            </w:pPr>
            <w:r w:rsidRPr="00B307B5">
              <w:rPr>
                <w:rFonts w:asciiTheme="majorBidi" w:hAnsiTheme="majorBidi" w:cstheme="majorBidi"/>
                <w:b/>
                <w:bCs/>
                <w:snapToGrid/>
                <w:color w:val="000000"/>
                <w:sz w:val="22"/>
                <w:szCs w:val="22"/>
                <w:rtl/>
                <w:lang w:eastAsia="ar-SA"/>
              </w:rPr>
              <w:t>7</w:t>
            </w:r>
            <w:r w:rsidR="000C6536" w:rsidRPr="00B307B5">
              <w:rPr>
                <w:rFonts w:asciiTheme="majorBidi" w:hAnsiTheme="majorBidi" w:cstheme="majorBidi"/>
                <w:b/>
                <w:bCs/>
                <w:snapToGrid/>
                <w:color w:val="000000"/>
                <w:sz w:val="22"/>
                <w:szCs w:val="22"/>
                <w:rtl/>
                <w:lang w:eastAsia="ar-SA"/>
              </w:rPr>
              <w:t>.</w:t>
            </w:r>
            <w:r w:rsidRPr="00B307B5">
              <w:rPr>
                <w:rFonts w:asciiTheme="majorBidi" w:hAnsiTheme="majorBidi" w:cstheme="majorBidi"/>
                <w:b/>
                <w:bCs/>
                <w:snapToGrid/>
                <w:color w:val="000000"/>
                <w:sz w:val="22"/>
                <w:szCs w:val="22"/>
                <w:rtl/>
                <w:lang w:eastAsia="ar-SA"/>
              </w:rPr>
              <w:t>43</w:t>
            </w:r>
          </w:p>
        </w:tc>
      </w:tr>
    </w:tbl>
    <w:p w:rsidR="008A3010" w:rsidRPr="00B307B5" w:rsidRDefault="008A3010" w:rsidP="008A3010">
      <w:pPr>
        <w:bidi w:val="0"/>
        <w:spacing w:line="276" w:lineRule="auto"/>
        <w:rPr>
          <w:b/>
          <w:bCs/>
          <w:sz w:val="16"/>
          <w:szCs w:val="16"/>
        </w:rPr>
      </w:pPr>
    </w:p>
    <w:p w:rsidR="00B307B5" w:rsidRDefault="008A3010" w:rsidP="006C79CD">
      <w:pPr>
        <w:bidi w:val="0"/>
        <w:spacing w:line="276" w:lineRule="auto"/>
        <w:jc w:val="center"/>
        <w:rPr>
          <w:b/>
          <w:bCs/>
          <w:sz w:val="26"/>
          <w:szCs w:val="26"/>
        </w:rPr>
      </w:pPr>
      <w:r w:rsidRPr="00B307B5">
        <w:rPr>
          <w:b/>
          <w:bCs/>
          <w:sz w:val="26"/>
          <w:szCs w:val="26"/>
        </w:rPr>
        <w:t>The trend line of the PPI in Palestine, for the months:</w:t>
      </w:r>
    </w:p>
    <w:p w:rsidR="008A3010" w:rsidRPr="00B307B5" w:rsidRDefault="008A3010" w:rsidP="00B307B5">
      <w:pPr>
        <w:bidi w:val="0"/>
        <w:spacing w:line="276" w:lineRule="auto"/>
        <w:jc w:val="center"/>
        <w:rPr>
          <w:b/>
          <w:bCs/>
          <w:sz w:val="26"/>
          <w:szCs w:val="26"/>
        </w:rPr>
      </w:pPr>
      <w:r w:rsidRPr="00B307B5">
        <w:rPr>
          <w:b/>
          <w:bCs/>
          <w:sz w:val="26"/>
          <w:szCs w:val="26"/>
        </w:rPr>
        <w:t xml:space="preserve"> January -</w:t>
      </w:r>
      <w:r w:rsidR="00552D87" w:rsidRPr="00B307B5">
        <w:rPr>
          <w:b/>
          <w:bCs/>
          <w:color w:val="000000"/>
          <w:sz w:val="26"/>
          <w:szCs w:val="26"/>
        </w:rPr>
        <w:t xml:space="preserve"> </w:t>
      </w:r>
      <w:r w:rsidRPr="00B307B5">
        <w:rPr>
          <w:b/>
          <w:bCs/>
          <w:color w:val="000000"/>
          <w:sz w:val="26"/>
          <w:szCs w:val="26"/>
        </w:rPr>
        <w:t>Dec</w:t>
      </w:r>
      <w:r w:rsidRPr="00B307B5">
        <w:rPr>
          <w:b/>
          <w:bCs/>
          <w:sz w:val="26"/>
          <w:szCs w:val="26"/>
        </w:rPr>
        <w:t xml:space="preserve">ember </w:t>
      </w:r>
      <w:r w:rsidR="006C79CD" w:rsidRPr="00B307B5">
        <w:rPr>
          <w:b/>
          <w:bCs/>
          <w:color w:val="000000"/>
          <w:sz w:val="26"/>
          <w:szCs w:val="26"/>
        </w:rPr>
        <w:t>2022</w:t>
      </w:r>
      <w:r w:rsidRPr="00B307B5">
        <w:rPr>
          <w:b/>
          <w:bCs/>
          <w:sz w:val="26"/>
          <w:szCs w:val="26"/>
        </w:rPr>
        <w:t xml:space="preserve"> (Base Year </w:t>
      </w:r>
      <w:r w:rsidR="003540E9" w:rsidRPr="00B307B5">
        <w:rPr>
          <w:b/>
          <w:bCs/>
          <w:sz w:val="26"/>
          <w:szCs w:val="26"/>
        </w:rPr>
        <w:t>2019</w:t>
      </w:r>
      <w:r w:rsidRPr="00B307B5">
        <w:rPr>
          <w:b/>
          <w:bCs/>
          <w:sz w:val="26"/>
          <w:szCs w:val="26"/>
        </w:rPr>
        <w:t xml:space="preserve"> =</w:t>
      </w:r>
      <w:bookmarkStart w:id="0" w:name="_GoBack"/>
      <w:bookmarkEnd w:id="0"/>
      <w:r w:rsidRPr="00B307B5">
        <w:rPr>
          <w:b/>
          <w:bCs/>
          <w:sz w:val="26"/>
          <w:szCs w:val="26"/>
        </w:rPr>
        <w:t xml:space="preserve"> 100)</w:t>
      </w:r>
    </w:p>
    <w:p w:rsidR="003953A6" w:rsidRPr="00B307B5" w:rsidRDefault="00B307B5" w:rsidP="00B307B5">
      <w:pPr>
        <w:pStyle w:val="BodyText2"/>
        <w:bidi w:val="0"/>
        <w:spacing w:after="0" w:line="240" w:lineRule="auto"/>
        <w:jc w:val="center"/>
        <w:rPr>
          <w:sz w:val="20"/>
          <w:szCs w:val="20"/>
        </w:rPr>
      </w:pPr>
      <w:r>
        <w:rPr>
          <w:noProof/>
          <w:lang w:eastAsia="en-US"/>
        </w:rPr>
        <w:drawing>
          <wp:inline distT="0" distB="0" distL="0" distR="0">
            <wp:extent cx="3038475" cy="2105025"/>
            <wp:effectExtent l="0" t="0" r="9525" b="9525"/>
            <wp:docPr id="13" name="Objec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3953A6" w:rsidRPr="00B307B5" w:rsidSect="00B307B5">
      <w:footerReference w:type="even" r:id="rId10"/>
      <w:footerReference w:type="default" r:id="rId11"/>
      <w:pgSz w:w="11907" w:h="16840" w:code="9"/>
      <w:pgMar w:top="851" w:right="851" w:bottom="851" w:left="851" w:header="720" w:footer="272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12B" w:rsidRDefault="00B5012B">
      <w:r>
        <w:separator/>
      </w:r>
    </w:p>
  </w:endnote>
  <w:endnote w:type="continuationSeparator" w:id="0">
    <w:p w:rsidR="00B5012B" w:rsidRDefault="00B5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FE9" w:rsidRDefault="00082FE9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82FE9" w:rsidRDefault="00082FE9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B5" w:rsidRDefault="00B307B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2126">
      <w:rPr>
        <w:noProof/>
        <w:rtl/>
      </w:rPr>
      <w:t>1</w:t>
    </w:r>
    <w:r>
      <w:rPr>
        <w:noProof/>
      </w:rPr>
      <w:fldChar w:fldCharType="end"/>
    </w:r>
  </w:p>
  <w:p w:rsidR="00B307B5" w:rsidRDefault="00B307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12B" w:rsidRDefault="00B5012B">
      <w:r>
        <w:separator/>
      </w:r>
    </w:p>
  </w:footnote>
  <w:footnote w:type="continuationSeparator" w:id="0">
    <w:p w:rsidR="00B5012B" w:rsidRDefault="00B50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CB336B6"/>
    <w:multiLevelType w:val="hybridMultilevel"/>
    <w:tmpl w:val="C2CA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1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1" w15:restartNumberingAfterBreak="0">
    <w:nsid w:val="5BDF5102"/>
    <w:multiLevelType w:val="hybridMultilevel"/>
    <w:tmpl w:val="C368044C"/>
    <w:lvl w:ilvl="0" w:tplc="926CAFFC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78622915"/>
    <w:multiLevelType w:val="hybridMultilevel"/>
    <w:tmpl w:val="9EE09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B02BF"/>
    <w:multiLevelType w:val="hybridMultilevel"/>
    <w:tmpl w:val="F522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644A2"/>
    <w:multiLevelType w:val="hybridMultilevel"/>
    <w:tmpl w:val="B5C623F6"/>
    <w:lvl w:ilvl="0" w:tplc="3E304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14"/>
  </w:num>
  <w:num w:numId="10">
    <w:abstractNumId w:val="3"/>
  </w:num>
  <w:num w:numId="11">
    <w:abstractNumId w:val="11"/>
  </w:num>
  <w:num w:numId="12">
    <w:abstractNumId w:val="4"/>
  </w:num>
  <w:num w:numId="13">
    <w:abstractNumId w:val="6"/>
  </w:num>
  <w:num w:numId="14">
    <w:abstractNumId w:val="13"/>
  </w:num>
  <w:num w:numId="15">
    <w:abstractNumId w:val="12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F4"/>
    <w:rsid w:val="00000B9A"/>
    <w:rsid w:val="00003F4F"/>
    <w:rsid w:val="000057E0"/>
    <w:rsid w:val="00006C15"/>
    <w:rsid w:val="00006CFF"/>
    <w:rsid w:val="00014838"/>
    <w:rsid w:val="000208EA"/>
    <w:rsid w:val="00024421"/>
    <w:rsid w:val="00025E3D"/>
    <w:rsid w:val="00026F85"/>
    <w:rsid w:val="00027CED"/>
    <w:rsid w:val="000301FE"/>
    <w:rsid w:val="00032FC3"/>
    <w:rsid w:val="00033860"/>
    <w:rsid w:val="00035815"/>
    <w:rsid w:val="00036AA3"/>
    <w:rsid w:val="00037F32"/>
    <w:rsid w:val="000403E9"/>
    <w:rsid w:val="000417B9"/>
    <w:rsid w:val="000510A8"/>
    <w:rsid w:val="0006019B"/>
    <w:rsid w:val="00060397"/>
    <w:rsid w:val="00064FFD"/>
    <w:rsid w:val="000651CC"/>
    <w:rsid w:val="00065870"/>
    <w:rsid w:val="00066AC1"/>
    <w:rsid w:val="00070B0C"/>
    <w:rsid w:val="00073300"/>
    <w:rsid w:val="00074DC2"/>
    <w:rsid w:val="00076365"/>
    <w:rsid w:val="00080CF7"/>
    <w:rsid w:val="00082FE9"/>
    <w:rsid w:val="0008698E"/>
    <w:rsid w:val="00092143"/>
    <w:rsid w:val="000936E7"/>
    <w:rsid w:val="00093776"/>
    <w:rsid w:val="000A1646"/>
    <w:rsid w:val="000A1B8F"/>
    <w:rsid w:val="000A528A"/>
    <w:rsid w:val="000B7F77"/>
    <w:rsid w:val="000C1A04"/>
    <w:rsid w:val="000C6337"/>
    <w:rsid w:val="000C6536"/>
    <w:rsid w:val="000C7E63"/>
    <w:rsid w:val="000D1524"/>
    <w:rsid w:val="000D2DD5"/>
    <w:rsid w:val="000E0998"/>
    <w:rsid w:val="000E2FBF"/>
    <w:rsid w:val="000E5791"/>
    <w:rsid w:val="000E5E6C"/>
    <w:rsid w:val="000E5FC2"/>
    <w:rsid w:val="000E721B"/>
    <w:rsid w:val="000F2B31"/>
    <w:rsid w:val="000F2BB8"/>
    <w:rsid w:val="00106D91"/>
    <w:rsid w:val="001101B4"/>
    <w:rsid w:val="001119DE"/>
    <w:rsid w:val="00122BDB"/>
    <w:rsid w:val="00125464"/>
    <w:rsid w:val="00131833"/>
    <w:rsid w:val="00133EC7"/>
    <w:rsid w:val="00135CD8"/>
    <w:rsid w:val="00136EB1"/>
    <w:rsid w:val="001377F8"/>
    <w:rsid w:val="0014206B"/>
    <w:rsid w:val="001422B3"/>
    <w:rsid w:val="00142685"/>
    <w:rsid w:val="00142D88"/>
    <w:rsid w:val="00146E55"/>
    <w:rsid w:val="00155A0F"/>
    <w:rsid w:val="00155BEC"/>
    <w:rsid w:val="0015776D"/>
    <w:rsid w:val="00160D24"/>
    <w:rsid w:val="001629AB"/>
    <w:rsid w:val="00163891"/>
    <w:rsid w:val="0017045E"/>
    <w:rsid w:val="001708AB"/>
    <w:rsid w:val="00173F9E"/>
    <w:rsid w:val="001751C6"/>
    <w:rsid w:val="00175B40"/>
    <w:rsid w:val="001774DB"/>
    <w:rsid w:val="001779CB"/>
    <w:rsid w:val="001804B1"/>
    <w:rsid w:val="001836BE"/>
    <w:rsid w:val="001860BF"/>
    <w:rsid w:val="0019790F"/>
    <w:rsid w:val="001A001A"/>
    <w:rsid w:val="001A4514"/>
    <w:rsid w:val="001B10B9"/>
    <w:rsid w:val="001B1955"/>
    <w:rsid w:val="001B25AC"/>
    <w:rsid w:val="001B67FB"/>
    <w:rsid w:val="001C0E15"/>
    <w:rsid w:val="001C49E2"/>
    <w:rsid w:val="001D093B"/>
    <w:rsid w:val="001D2293"/>
    <w:rsid w:val="001D6908"/>
    <w:rsid w:val="001D7143"/>
    <w:rsid w:val="001E044B"/>
    <w:rsid w:val="001E10AF"/>
    <w:rsid w:val="001E1479"/>
    <w:rsid w:val="001E4451"/>
    <w:rsid w:val="001E5653"/>
    <w:rsid w:val="001F250B"/>
    <w:rsid w:val="001F25E9"/>
    <w:rsid w:val="001F5127"/>
    <w:rsid w:val="001F54A6"/>
    <w:rsid w:val="001F73A2"/>
    <w:rsid w:val="001F766D"/>
    <w:rsid w:val="001F78C5"/>
    <w:rsid w:val="0020108E"/>
    <w:rsid w:val="00207372"/>
    <w:rsid w:val="0021172E"/>
    <w:rsid w:val="0022551C"/>
    <w:rsid w:val="00225EB9"/>
    <w:rsid w:val="00227845"/>
    <w:rsid w:val="00230C97"/>
    <w:rsid w:val="002311AD"/>
    <w:rsid w:val="00233AC3"/>
    <w:rsid w:val="00236A6B"/>
    <w:rsid w:val="002414F5"/>
    <w:rsid w:val="00244AF1"/>
    <w:rsid w:val="00252666"/>
    <w:rsid w:val="00264114"/>
    <w:rsid w:val="002651AF"/>
    <w:rsid w:val="0026586C"/>
    <w:rsid w:val="00265875"/>
    <w:rsid w:val="0026620B"/>
    <w:rsid w:val="00267C5B"/>
    <w:rsid w:val="00270003"/>
    <w:rsid w:val="00270C60"/>
    <w:rsid w:val="00271A23"/>
    <w:rsid w:val="0027414A"/>
    <w:rsid w:val="00274962"/>
    <w:rsid w:val="002752B5"/>
    <w:rsid w:val="00275647"/>
    <w:rsid w:val="0027744E"/>
    <w:rsid w:val="002845E9"/>
    <w:rsid w:val="00286CBA"/>
    <w:rsid w:val="00293729"/>
    <w:rsid w:val="00294BD4"/>
    <w:rsid w:val="002A0B6C"/>
    <w:rsid w:val="002A278C"/>
    <w:rsid w:val="002B5065"/>
    <w:rsid w:val="002B6700"/>
    <w:rsid w:val="002C006E"/>
    <w:rsid w:val="002C0C84"/>
    <w:rsid w:val="002C15F4"/>
    <w:rsid w:val="002C18C8"/>
    <w:rsid w:val="002C2B39"/>
    <w:rsid w:val="002C7308"/>
    <w:rsid w:val="002D328A"/>
    <w:rsid w:val="002D5934"/>
    <w:rsid w:val="002D6670"/>
    <w:rsid w:val="002D68A3"/>
    <w:rsid w:val="002E22CB"/>
    <w:rsid w:val="002E2B07"/>
    <w:rsid w:val="002F2F8E"/>
    <w:rsid w:val="002F4471"/>
    <w:rsid w:val="003016BE"/>
    <w:rsid w:val="003047EB"/>
    <w:rsid w:val="00304E7E"/>
    <w:rsid w:val="0030571E"/>
    <w:rsid w:val="00305C3F"/>
    <w:rsid w:val="00306DB8"/>
    <w:rsid w:val="00307C1C"/>
    <w:rsid w:val="003122BF"/>
    <w:rsid w:val="00312E3C"/>
    <w:rsid w:val="00314147"/>
    <w:rsid w:val="00320F98"/>
    <w:rsid w:val="0032231C"/>
    <w:rsid w:val="003236EE"/>
    <w:rsid w:val="0032679A"/>
    <w:rsid w:val="00336194"/>
    <w:rsid w:val="00336B06"/>
    <w:rsid w:val="00341314"/>
    <w:rsid w:val="00342EF5"/>
    <w:rsid w:val="00344E04"/>
    <w:rsid w:val="00350995"/>
    <w:rsid w:val="00350A5B"/>
    <w:rsid w:val="00350DAE"/>
    <w:rsid w:val="00353D0D"/>
    <w:rsid w:val="003540E9"/>
    <w:rsid w:val="00354337"/>
    <w:rsid w:val="0035475C"/>
    <w:rsid w:val="00354C40"/>
    <w:rsid w:val="00355103"/>
    <w:rsid w:val="00355356"/>
    <w:rsid w:val="0036017C"/>
    <w:rsid w:val="003633EE"/>
    <w:rsid w:val="00365485"/>
    <w:rsid w:val="003665F1"/>
    <w:rsid w:val="00375EEF"/>
    <w:rsid w:val="003762E6"/>
    <w:rsid w:val="003844DC"/>
    <w:rsid w:val="00384753"/>
    <w:rsid w:val="00390867"/>
    <w:rsid w:val="0039198A"/>
    <w:rsid w:val="003923A9"/>
    <w:rsid w:val="00392A1F"/>
    <w:rsid w:val="00392D70"/>
    <w:rsid w:val="00393F1B"/>
    <w:rsid w:val="003953A6"/>
    <w:rsid w:val="00395C4D"/>
    <w:rsid w:val="003A0CF0"/>
    <w:rsid w:val="003A1188"/>
    <w:rsid w:val="003A5DF7"/>
    <w:rsid w:val="003B3133"/>
    <w:rsid w:val="003B47C9"/>
    <w:rsid w:val="003B6D34"/>
    <w:rsid w:val="003C1B80"/>
    <w:rsid w:val="003C21DE"/>
    <w:rsid w:val="003C57D6"/>
    <w:rsid w:val="003C6A92"/>
    <w:rsid w:val="003D131A"/>
    <w:rsid w:val="003D3330"/>
    <w:rsid w:val="003D493B"/>
    <w:rsid w:val="003E2884"/>
    <w:rsid w:val="003E324A"/>
    <w:rsid w:val="003E4C37"/>
    <w:rsid w:val="003E5816"/>
    <w:rsid w:val="003E58BA"/>
    <w:rsid w:val="003F0A1A"/>
    <w:rsid w:val="003F6FDD"/>
    <w:rsid w:val="00407112"/>
    <w:rsid w:val="0041150A"/>
    <w:rsid w:val="004129BE"/>
    <w:rsid w:val="00423390"/>
    <w:rsid w:val="004267A1"/>
    <w:rsid w:val="00426DF6"/>
    <w:rsid w:val="00430136"/>
    <w:rsid w:val="004332A9"/>
    <w:rsid w:val="004348A2"/>
    <w:rsid w:val="00436EFB"/>
    <w:rsid w:val="00437640"/>
    <w:rsid w:val="00440AAF"/>
    <w:rsid w:val="0044136F"/>
    <w:rsid w:val="00442BAE"/>
    <w:rsid w:val="00443224"/>
    <w:rsid w:val="004447AF"/>
    <w:rsid w:val="004468F1"/>
    <w:rsid w:val="004478C7"/>
    <w:rsid w:val="004500B3"/>
    <w:rsid w:val="004536C3"/>
    <w:rsid w:val="004558BD"/>
    <w:rsid w:val="00461263"/>
    <w:rsid w:val="00466D49"/>
    <w:rsid w:val="004703CD"/>
    <w:rsid w:val="00471C49"/>
    <w:rsid w:val="00475783"/>
    <w:rsid w:val="00477CC2"/>
    <w:rsid w:val="00480645"/>
    <w:rsid w:val="0048146B"/>
    <w:rsid w:val="0048146D"/>
    <w:rsid w:val="004847B1"/>
    <w:rsid w:val="00486DCE"/>
    <w:rsid w:val="00491CDB"/>
    <w:rsid w:val="004947D8"/>
    <w:rsid w:val="00496088"/>
    <w:rsid w:val="004976B0"/>
    <w:rsid w:val="004A0320"/>
    <w:rsid w:val="004A4089"/>
    <w:rsid w:val="004A4C36"/>
    <w:rsid w:val="004A4F50"/>
    <w:rsid w:val="004A51BD"/>
    <w:rsid w:val="004A76F5"/>
    <w:rsid w:val="004B2188"/>
    <w:rsid w:val="004B2314"/>
    <w:rsid w:val="004B2D8A"/>
    <w:rsid w:val="004B5096"/>
    <w:rsid w:val="004B570C"/>
    <w:rsid w:val="004C02E4"/>
    <w:rsid w:val="004D4240"/>
    <w:rsid w:val="004D640D"/>
    <w:rsid w:val="004D75AD"/>
    <w:rsid w:val="004E1EC8"/>
    <w:rsid w:val="004E7314"/>
    <w:rsid w:val="004E78D4"/>
    <w:rsid w:val="004F3991"/>
    <w:rsid w:val="0050182A"/>
    <w:rsid w:val="005061D1"/>
    <w:rsid w:val="005075DB"/>
    <w:rsid w:val="0052134C"/>
    <w:rsid w:val="00525C5C"/>
    <w:rsid w:val="005270D8"/>
    <w:rsid w:val="00531914"/>
    <w:rsid w:val="00532C31"/>
    <w:rsid w:val="00533185"/>
    <w:rsid w:val="00542372"/>
    <w:rsid w:val="00547DE5"/>
    <w:rsid w:val="00552D24"/>
    <w:rsid w:val="00552D87"/>
    <w:rsid w:val="00557B97"/>
    <w:rsid w:val="00560CF3"/>
    <w:rsid w:val="005614BE"/>
    <w:rsid w:val="005616CD"/>
    <w:rsid w:val="00561CA9"/>
    <w:rsid w:val="005644E9"/>
    <w:rsid w:val="00565186"/>
    <w:rsid w:val="00566E3D"/>
    <w:rsid w:val="0056719D"/>
    <w:rsid w:val="00567C43"/>
    <w:rsid w:val="00572FDC"/>
    <w:rsid w:val="005737FB"/>
    <w:rsid w:val="0057551C"/>
    <w:rsid w:val="00581350"/>
    <w:rsid w:val="005820DA"/>
    <w:rsid w:val="005826B9"/>
    <w:rsid w:val="005842FF"/>
    <w:rsid w:val="00585BC8"/>
    <w:rsid w:val="00587600"/>
    <w:rsid w:val="00587D44"/>
    <w:rsid w:val="00587F32"/>
    <w:rsid w:val="00590021"/>
    <w:rsid w:val="00591A9C"/>
    <w:rsid w:val="00593E38"/>
    <w:rsid w:val="00594263"/>
    <w:rsid w:val="005945A6"/>
    <w:rsid w:val="005A6DB9"/>
    <w:rsid w:val="005A6EB2"/>
    <w:rsid w:val="005A7B5B"/>
    <w:rsid w:val="005B0778"/>
    <w:rsid w:val="005B2AF9"/>
    <w:rsid w:val="005B3BD8"/>
    <w:rsid w:val="005B5AFE"/>
    <w:rsid w:val="005C6260"/>
    <w:rsid w:val="005D1BF3"/>
    <w:rsid w:val="005D1C70"/>
    <w:rsid w:val="005D1D30"/>
    <w:rsid w:val="005E1CAF"/>
    <w:rsid w:val="005F1F7E"/>
    <w:rsid w:val="005F336C"/>
    <w:rsid w:val="005F7166"/>
    <w:rsid w:val="005F7BBD"/>
    <w:rsid w:val="00600291"/>
    <w:rsid w:val="00601E96"/>
    <w:rsid w:val="006026A7"/>
    <w:rsid w:val="006117FC"/>
    <w:rsid w:val="0061284D"/>
    <w:rsid w:val="00615CD8"/>
    <w:rsid w:val="006163CC"/>
    <w:rsid w:val="0061667E"/>
    <w:rsid w:val="00616936"/>
    <w:rsid w:val="0062290E"/>
    <w:rsid w:val="00622B80"/>
    <w:rsid w:val="00622E04"/>
    <w:rsid w:val="00623A2F"/>
    <w:rsid w:val="006274E1"/>
    <w:rsid w:val="00632126"/>
    <w:rsid w:val="006345C3"/>
    <w:rsid w:val="00635975"/>
    <w:rsid w:val="00635C53"/>
    <w:rsid w:val="00637810"/>
    <w:rsid w:val="00637A3F"/>
    <w:rsid w:val="00641877"/>
    <w:rsid w:val="00642A84"/>
    <w:rsid w:val="00642AE0"/>
    <w:rsid w:val="006452B1"/>
    <w:rsid w:val="0064578F"/>
    <w:rsid w:val="0065548E"/>
    <w:rsid w:val="00656344"/>
    <w:rsid w:val="006647F0"/>
    <w:rsid w:val="00672BE4"/>
    <w:rsid w:val="00672CF5"/>
    <w:rsid w:val="00681AA9"/>
    <w:rsid w:val="00683063"/>
    <w:rsid w:val="00683F11"/>
    <w:rsid w:val="00686785"/>
    <w:rsid w:val="006909C0"/>
    <w:rsid w:val="006918F8"/>
    <w:rsid w:val="00692F23"/>
    <w:rsid w:val="006934BE"/>
    <w:rsid w:val="0069378F"/>
    <w:rsid w:val="00695941"/>
    <w:rsid w:val="00696998"/>
    <w:rsid w:val="00696E47"/>
    <w:rsid w:val="006A0F09"/>
    <w:rsid w:val="006B3420"/>
    <w:rsid w:val="006B3BD9"/>
    <w:rsid w:val="006B4F3B"/>
    <w:rsid w:val="006C0E53"/>
    <w:rsid w:val="006C10A8"/>
    <w:rsid w:val="006C19C2"/>
    <w:rsid w:val="006C4DB6"/>
    <w:rsid w:val="006C56B0"/>
    <w:rsid w:val="006C6817"/>
    <w:rsid w:val="006C79CD"/>
    <w:rsid w:val="006D4821"/>
    <w:rsid w:val="006E0D10"/>
    <w:rsid w:val="006E141E"/>
    <w:rsid w:val="006E18ED"/>
    <w:rsid w:val="006E1CA4"/>
    <w:rsid w:val="006E26B0"/>
    <w:rsid w:val="006E4287"/>
    <w:rsid w:val="006E6CC1"/>
    <w:rsid w:val="006F4DF7"/>
    <w:rsid w:val="007004C1"/>
    <w:rsid w:val="00701272"/>
    <w:rsid w:val="00703AA8"/>
    <w:rsid w:val="007045EA"/>
    <w:rsid w:val="00705411"/>
    <w:rsid w:val="00707A5E"/>
    <w:rsid w:val="00711719"/>
    <w:rsid w:val="007155E3"/>
    <w:rsid w:val="00723BB9"/>
    <w:rsid w:val="007244E5"/>
    <w:rsid w:val="00724A86"/>
    <w:rsid w:val="00725047"/>
    <w:rsid w:val="00727EF4"/>
    <w:rsid w:val="00732B5D"/>
    <w:rsid w:val="00741AF2"/>
    <w:rsid w:val="00745391"/>
    <w:rsid w:val="007456F9"/>
    <w:rsid w:val="00745B40"/>
    <w:rsid w:val="007472CB"/>
    <w:rsid w:val="00747D66"/>
    <w:rsid w:val="00750131"/>
    <w:rsid w:val="007608B2"/>
    <w:rsid w:val="00767571"/>
    <w:rsid w:val="00767ABA"/>
    <w:rsid w:val="00767E14"/>
    <w:rsid w:val="00770C0A"/>
    <w:rsid w:val="00771610"/>
    <w:rsid w:val="007719D7"/>
    <w:rsid w:val="00777EEB"/>
    <w:rsid w:val="00780CE8"/>
    <w:rsid w:val="0078209D"/>
    <w:rsid w:val="00792B17"/>
    <w:rsid w:val="007947A3"/>
    <w:rsid w:val="00794C0A"/>
    <w:rsid w:val="00797F3E"/>
    <w:rsid w:val="007A042F"/>
    <w:rsid w:val="007A3FFD"/>
    <w:rsid w:val="007B3913"/>
    <w:rsid w:val="007B514D"/>
    <w:rsid w:val="007C09C9"/>
    <w:rsid w:val="007C0AF4"/>
    <w:rsid w:val="007C1B14"/>
    <w:rsid w:val="007C27C7"/>
    <w:rsid w:val="007C3451"/>
    <w:rsid w:val="007C3B52"/>
    <w:rsid w:val="007C3D47"/>
    <w:rsid w:val="007C4F6A"/>
    <w:rsid w:val="007C603D"/>
    <w:rsid w:val="007D02C5"/>
    <w:rsid w:val="007D6823"/>
    <w:rsid w:val="007E3BDE"/>
    <w:rsid w:val="007E44E1"/>
    <w:rsid w:val="007E5F67"/>
    <w:rsid w:val="007E6AD8"/>
    <w:rsid w:val="007E7068"/>
    <w:rsid w:val="007F2CBB"/>
    <w:rsid w:val="007F365D"/>
    <w:rsid w:val="007F4DFF"/>
    <w:rsid w:val="007F6DB5"/>
    <w:rsid w:val="007F71C6"/>
    <w:rsid w:val="007F7D6D"/>
    <w:rsid w:val="00801D9C"/>
    <w:rsid w:val="0080355D"/>
    <w:rsid w:val="008039A1"/>
    <w:rsid w:val="00803AC0"/>
    <w:rsid w:val="008041E5"/>
    <w:rsid w:val="00806B55"/>
    <w:rsid w:val="00814539"/>
    <w:rsid w:val="008172F3"/>
    <w:rsid w:val="00817C71"/>
    <w:rsid w:val="00821E4A"/>
    <w:rsid w:val="00832591"/>
    <w:rsid w:val="00833226"/>
    <w:rsid w:val="00837635"/>
    <w:rsid w:val="00846E27"/>
    <w:rsid w:val="00861CD2"/>
    <w:rsid w:val="0086593C"/>
    <w:rsid w:val="0086641A"/>
    <w:rsid w:val="00867C8B"/>
    <w:rsid w:val="0087140D"/>
    <w:rsid w:val="00872B28"/>
    <w:rsid w:val="00874CB1"/>
    <w:rsid w:val="008764B4"/>
    <w:rsid w:val="00880292"/>
    <w:rsid w:val="008872C0"/>
    <w:rsid w:val="0089082D"/>
    <w:rsid w:val="008A0FE6"/>
    <w:rsid w:val="008A2C73"/>
    <w:rsid w:val="008A3010"/>
    <w:rsid w:val="008A5295"/>
    <w:rsid w:val="008B3ECC"/>
    <w:rsid w:val="008B7589"/>
    <w:rsid w:val="008C185B"/>
    <w:rsid w:val="008D389A"/>
    <w:rsid w:val="008D3981"/>
    <w:rsid w:val="008D57AE"/>
    <w:rsid w:val="008D6898"/>
    <w:rsid w:val="008E22CE"/>
    <w:rsid w:val="008E4CE3"/>
    <w:rsid w:val="008F1959"/>
    <w:rsid w:val="008F2836"/>
    <w:rsid w:val="008F385D"/>
    <w:rsid w:val="008F491F"/>
    <w:rsid w:val="00901053"/>
    <w:rsid w:val="009022DC"/>
    <w:rsid w:val="00905EDC"/>
    <w:rsid w:val="009064DB"/>
    <w:rsid w:val="00907108"/>
    <w:rsid w:val="00912EAC"/>
    <w:rsid w:val="00913A7E"/>
    <w:rsid w:val="00916AC1"/>
    <w:rsid w:val="00916DA1"/>
    <w:rsid w:val="00917F6D"/>
    <w:rsid w:val="009258D1"/>
    <w:rsid w:val="00925B0B"/>
    <w:rsid w:val="00927288"/>
    <w:rsid w:val="0092764B"/>
    <w:rsid w:val="00931EC0"/>
    <w:rsid w:val="00932245"/>
    <w:rsid w:val="00935BC1"/>
    <w:rsid w:val="00936370"/>
    <w:rsid w:val="0094042B"/>
    <w:rsid w:val="00940E8D"/>
    <w:rsid w:val="009421AB"/>
    <w:rsid w:val="009428A9"/>
    <w:rsid w:val="00945A61"/>
    <w:rsid w:val="009467D2"/>
    <w:rsid w:val="00950DBE"/>
    <w:rsid w:val="0095217C"/>
    <w:rsid w:val="009525BA"/>
    <w:rsid w:val="0095356F"/>
    <w:rsid w:val="00961D7F"/>
    <w:rsid w:val="00965194"/>
    <w:rsid w:val="00970E5F"/>
    <w:rsid w:val="00971CCE"/>
    <w:rsid w:val="00981A72"/>
    <w:rsid w:val="00982363"/>
    <w:rsid w:val="00982A75"/>
    <w:rsid w:val="00982AC0"/>
    <w:rsid w:val="0098473E"/>
    <w:rsid w:val="00984F70"/>
    <w:rsid w:val="00993043"/>
    <w:rsid w:val="009937DB"/>
    <w:rsid w:val="00997CFD"/>
    <w:rsid w:val="00997D41"/>
    <w:rsid w:val="009A019D"/>
    <w:rsid w:val="009B1628"/>
    <w:rsid w:val="009B2A04"/>
    <w:rsid w:val="009B3709"/>
    <w:rsid w:val="009B5932"/>
    <w:rsid w:val="009B6026"/>
    <w:rsid w:val="009B6539"/>
    <w:rsid w:val="009B7A68"/>
    <w:rsid w:val="009C3A6C"/>
    <w:rsid w:val="009D0289"/>
    <w:rsid w:val="009D0E3B"/>
    <w:rsid w:val="009D119C"/>
    <w:rsid w:val="009D121B"/>
    <w:rsid w:val="009D226E"/>
    <w:rsid w:val="009D7368"/>
    <w:rsid w:val="009E163A"/>
    <w:rsid w:val="009E63A7"/>
    <w:rsid w:val="009F4CDB"/>
    <w:rsid w:val="009F5936"/>
    <w:rsid w:val="009F6B98"/>
    <w:rsid w:val="00A02AF4"/>
    <w:rsid w:val="00A04BC9"/>
    <w:rsid w:val="00A05E54"/>
    <w:rsid w:val="00A07A35"/>
    <w:rsid w:val="00A07D4B"/>
    <w:rsid w:val="00A13C3C"/>
    <w:rsid w:val="00A252EF"/>
    <w:rsid w:val="00A30167"/>
    <w:rsid w:val="00A31A56"/>
    <w:rsid w:val="00A32FC6"/>
    <w:rsid w:val="00A37C85"/>
    <w:rsid w:val="00A37FE3"/>
    <w:rsid w:val="00A43FB1"/>
    <w:rsid w:val="00A45062"/>
    <w:rsid w:val="00A45629"/>
    <w:rsid w:val="00A457DD"/>
    <w:rsid w:val="00A45E74"/>
    <w:rsid w:val="00A50061"/>
    <w:rsid w:val="00A52396"/>
    <w:rsid w:val="00A52C10"/>
    <w:rsid w:val="00A530B2"/>
    <w:rsid w:val="00A536AD"/>
    <w:rsid w:val="00A54608"/>
    <w:rsid w:val="00A54D4C"/>
    <w:rsid w:val="00A55D5C"/>
    <w:rsid w:val="00A55ED4"/>
    <w:rsid w:val="00A5710C"/>
    <w:rsid w:val="00A57CA8"/>
    <w:rsid w:val="00A612E1"/>
    <w:rsid w:val="00A629FE"/>
    <w:rsid w:val="00A62AE8"/>
    <w:rsid w:val="00A65A9D"/>
    <w:rsid w:val="00A67808"/>
    <w:rsid w:val="00A71E63"/>
    <w:rsid w:val="00A72BB0"/>
    <w:rsid w:val="00A73300"/>
    <w:rsid w:val="00A76B6F"/>
    <w:rsid w:val="00A83D5C"/>
    <w:rsid w:val="00A84551"/>
    <w:rsid w:val="00A855B9"/>
    <w:rsid w:val="00A8629F"/>
    <w:rsid w:val="00A87435"/>
    <w:rsid w:val="00A9339D"/>
    <w:rsid w:val="00A93DB2"/>
    <w:rsid w:val="00A94556"/>
    <w:rsid w:val="00A95AC6"/>
    <w:rsid w:val="00AA1671"/>
    <w:rsid w:val="00AA2175"/>
    <w:rsid w:val="00AA3453"/>
    <w:rsid w:val="00AA39DC"/>
    <w:rsid w:val="00AA6F5D"/>
    <w:rsid w:val="00AA7F51"/>
    <w:rsid w:val="00AB0600"/>
    <w:rsid w:val="00AB2A2E"/>
    <w:rsid w:val="00AB2CAB"/>
    <w:rsid w:val="00AB4E95"/>
    <w:rsid w:val="00AB5BDC"/>
    <w:rsid w:val="00AB7E0B"/>
    <w:rsid w:val="00AC0A19"/>
    <w:rsid w:val="00AC15DE"/>
    <w:rsid w:val="00AC3B72"/>
    <w:rsid w:val="00AC3F26"/>
    <w:rsid w:val="00AC45F9"/>
    <w:rsid w:val="00AC4E28"/>
    <w:rsid w:val="00AD19AD"/>
    <w:rsid w:val="00AD219A"/>
    <w:rsid w:val="00AD3DCD"/>
    <w:rsid w:val="00AE1EEE"/>
    <w:rsid w:val="00AE381D"/>
    <w:rsid w:val="00AE4152"/>
    <w:rsid w:val="00AF2170"/>
    <w:rsid w:val="00AF343A"/>
    <w:rsid w:val="00AF45FB"/>
    <w:rsid w:val="00AF4C98"/>
    <w:rsid w:val="00AF59E7"/>
    <w:rsid w:val="00B03100"/>
    <w:rsid w:val="00B03F16"/>
    <w:rsid w:val="00B0504A"/>
    <w:rsid w:val="00B052FD"/>
    <w:rsid w:val="00B056D8"/>
    <w:rsid w:val="00B07FFD"/>
    <w:rsid w:val="00B20C41"/>
    <w:rsid w:val="00B233B5"/>
    <w:rsid w:val="00B26BA8"/>
    <w:rsid w:val="00B307B5"/>
    <w:rsid w:val="00B32324"/>
    <w:rsid w:val="00B350A7"/>
    <w:rsid w:val="00B37B2A"/>
    <w:rsid w:val="00B4122A"/>
    <w:rsid w:val="00B42862"/>
    <w:rsid w:val="00B45EC1"/>
    <w:rsid w:val="00B465B8"/>
    <w:rsid w:val="00B4711B"/>
    <w:rsid w:val="00B47DBF"/>
    <w:rsid w:val="00B5012B"/>
    <w:rsid w:val="00B504EC"/>
    <w:rsid w:val="00B5222B"/>
    <w:rsid w:val="00B53405"/>
    <w:rsid w:val="00B554AE"/>
    <w:rsid w:val="00B555D5"/>
    <w:rsid w:val="00B60A4B"/>
    <w:rsid w:val="00B65670"/>
    <w:rsid w:val="00B65B17"/>
    <w:rsid w:val="00B735AC"/>
    <w:rsid w:val="00B7570C"/>
    <w:rsid w:val="00B82AA0"/>
    <w:rsid w:val="00B82E3D"/>
    <w:rsid w:val="00B83A15"/>
    <w:rsid w:val="00B84D58"/>
    <w:rsid w:val="00B8663F"/>
    <w:rsid w:val="00B86D78"/>
    <w:rsid w:val="00B8705E"/>
    <w:rsid w:val="00B9063A"/>
    <w:rsid w:val="00B911D9"/>
    <w:rsid w:val="00B91744"/>
    <w:rsid w:val="00B95727"/>
    <w:rsid w:val="00BA050A"/>
    <w:rsid w:val="00BA11C4"/>
    <w:rsid w:val="00BA3F23"/>
    <w:rsid w:val="00BA6E34"/>
    <w:rsid w:val="00BA75FE"/>
    <w:rsid w:val="00BB1804"/>
    <w:rsid w:val="00BB1B38"/>
    <w:rsid w:val="00BB623C"/>
    <w:rsid w:val="00BB6DD6"/>
    <w:rsid w:val="00BB6E44"/>
    <w:rsid w:val="00BB76F3"/>
    <w:rsid w:val="00BC6414"/>
    <w:rsid w:val="00BD1AA2"/>
    <w:rsid w:val="00BD592F"/>
    <w:rsid w:val="00BD6AEB"/>
    <w:rsid w:val="00BE6BF5"/>
    <w:rsid w:val="00BE7BF7"/>
    <w:rsid w:val="00BF4932"/>
    <w:rsid w:val="00C00533"/>
    <w:rsid w:val="00C01ABA"/>
    <w:rsid w:val="00C07F38"/>
    <w:rsid w:val="00C141BA"/>
    <w:rsid w:val="00C156FF"/>
    <w:rsid w:val="00C15C00"/>
    <w:rsid w:val="00C17A83"/>
    <w:rsid w:val="00C20F95"/>
    <w:rsid w:val="00C218A2"/>
    <w:rsid w:val="00C21A5A"/>
    <w:rsid w:val="00C2483F"/>
    <w:rsid w:val="00C25A81"/>
    <w:rsid w:val="00C27C24"/>
    <w:rsid w:val="00C35DE4"/>
    <w:rsid w:val="00C44A7D"/>
    <w:rsid w:val="00C44CB6"/>
    <w:rsid w:val="00C51A39"/>
    <w:rsid w:val="00C53A3D"/>
    <w:rsid w:val="00C56047"/>
    <w:rsid w:val="00C56183"/>
    <w:rsid w:val="00C60B8B"/>
    <w:rsid w:val="00C6106F"/>
    <w:rsid w:val="00C620E8"/>
    <w:rsid w:val="00C66C60"/>
    <w:rsid w:val="00C67BAF"/>
    <w:rsid w:val="00C70B4A"/>
    <w:rsid w:val="00C71AB7"/>
    <w:rsid w:val="00C74868"/>
    <w:rsid w:val="00C900E0"/>
    <w:rsid w:val="00C93E65"/>
    <w:rsid w:val="00C945FD"/>
    <w:rsid w:val="00C979BB"/>
    <w:rsid w:val="00CA2CA7"/>
    <w:rsid w:val="00CA3464"/>
    <w:rsid w:val="00CA7C8C"/>
    <w:rsid w:val="00CB0339"/>
    <w:rsid w:val="00CB1F04"/>
    <w:rsid w:val="00CB7043"/>
    <w:rsid w:val="00CC12C7"/>
    <w:rsid w:val="00CC17EE"/>
    <w:rsid w:val="00CC41F3"/>
    <w:rsid w:val="00CD18BF"/>
    <w:rsid w:val="00CD2142"/>
    <w:rsid w:val="00CD2B98"/>
    <w:rsid w:val="00CE19F9"/>
    <w:rsid w:val="00CE1D47"/>
    <w:rsid w:val="00CE2394"/>
    <w:rsid w:val="00CE589B"/>
    <w:rsid w:val="00CE6AEF"/>
    <w:rsid w:val="00CF213A"/>
    <w:rsid w:val="00CF6FF6"/>
    <w:rsid w:val="00D00A32"/>
    <w:rsid w:val="00D04B69"/>
    <w:rsid w:val="00D06C6B"/>
    <w:rsid w:val="00D075AF"/>
    <w:rsid w:val="00D07DDE"/>
    <w:rsid w:val="00D10429"/>
    <w:rsid w:val="00D115CE"/>
    <w:rsid w:val="00D121E2"/>
    <w:rsid w:val="00D14E25"/>
    <w:rsid w:val="00D1745E"/>
    <w:rsid w:val="00D2265A"/>
    <w:rsid w:val="00D24CDB"/>
    <w:rsid w:val="00D30447"/>
    <w:rsid w:val="00D32703"/>
    <w:rsid w:val="00D40AA6"/>
    <w:rsid w:val="00D4294B"/>
    <w:rsid w:val="00D46C4E"/>
    <w:rsid w:val="00D47001"/>
    <w:rsid w:val="00D558A0"/>
    <w:rsid w:val="00D57217"/>
    <w:rsid w:val="00D61235"/>
    <w:rsid w:val="00D61AE2"/>
    <w:rsid w:val="00D63D08"/>
    <w:rsid w:val="00D65C88"/>
    <w:rsid w:val="00D717E1"/>
    <w:rsid w:val="00D718CB"/>
    <w:rsid w:val="00D7713A"/>
    <w:rsid w:val="00D77EB7"/>
    <w:rsid w:val="00D8315F"/>
    <w:rsid w:val="00D843EC"/>
    <w:rsid w:val="00D86717"/>
    <w:rsid w:val="00D868CB"/>
    <w:rsid w:val="00D8755C"/>
    <w:rsid w:val="00D90A95"/>
    <w:rsid w:val="00D93866"/>
    <w:rsid w:val="00D93B85"/>
    <w:rsid w:val="00D93D03"/>
    <w:rsid w:val="00D93D78"/>
    <w:rsid w:val="00D96928"/>
    <w:rsid w:val="00DA4A13"/>
    <w:rsid w:val="00DA4C17"/>
    <w:rsid w:val="00DA5EA4"/>
    <w:rsid w:val="00DB0B87"/>
    <w:rsid w:val="00DB17F8"/>
    <w:rsid w:val="00DB1B38"/>
    <w:rsid w:val="00DB2C3B"/>
    <w:rsid w:val="00DB5039"/>
    <w:rsid w:val="00DB7C95"/>
    <w:rsid w:val="00DC17EE"/>
    <w:rsid w:val="00DC2255"/>
    <w:rsid w:val="00DC2614"/>
    <w:rsid w:val="00DC471C"/>
    <w:rsid w:val="00DC6FF6"/>
    <w:rsid w:val="00DD2C1E"/>
    <w:rsid w:val="00DD50D2"/>
    <w:rsid w:val="00DD5F8C"/>
    <w:rsid w:val="00DE1A4B"/>
    <w:rsid w:val="00DE20D3"/>
    <w:rsid w:val="00DE26FE"/>
    <w:rsid w:val="00DE3FD2"/>
    <w:rsid w:val="00DE4052"/>
    <w:rsid w:val="00DE480C"/>
    <w:rsid w:val="00DE4FFC"/>
    <w:rsid w:val="00DF0773"/>
    <w:rsid w:val="00DF202C"/>
    <w:rsid w:val="00DF3C7A"/>
    <w:rsid w:val="00E01362"/>
    <w:rsid w:val="00E02E85"/>
    <w:rsid w:val="00E05DAB"/>
    <w:rsid w:val="00E140CB"/>
    <w:rsid w:val="00E144EC"/>
    <w:rsid w:val="00E206B3"/>
    <w:rsid w:val="00E22147"/>
    <w:rsid w:val="00E25D09"/>
    <w:rsid w:val="00E27003"/>
    <w:rsid w:val="00E30DE9"/>
    <w:rsid w:val="00E31338"/>
    <w:rsid w:val="00E34397"/>
    <w:rsid w:val="00E366A8"/>
    <w:rsid w:val="00E405C7"/>
    <w:rsid w:val="00E406AB"/>
    <w:rsid w:val="00E40F23"/>
    <w:rsid w:val="00E41C06"/>
    <w:rsid w:val="00E43DB2"/>
    <w:rsid w:val="00E47BD0"/>
    <w:rsid w:val="00E55184"/>
    <w:rsid w:val="00E557CD"/>
    <w:rsid w:val="00E57101"/>
    <w:rsid w:val="00E57431"/>
    <w:rsid w:val="00E622A0"/>
    <w:rsid w:val="00E62E61"/>
    <w:rsid w:val="00E64BDB"/>
    <w:rsid w:val="00E70253"/>
    <w:rsid w:val="00E70A5D"/>
    <w:rsid w:val="00E714E1"/>
    <w:rsid w:val="00E73602"/>
    <w:rsid w:val="00E77243"/>
    <w:rsid w:val="00E77BF6"/>
    <w:rsid w:val="00E81B93"/>
    <w:rsid w:val="00E93688"/>
    <w:rsid w:val="00E93FEE"/>
    <w:rsid w:val="00EA6BA9"/>
    <w:rsid w:val="00EA6CDF"/>
    <w:rsid w:val="00EA75A4"/>
    <w:rsid w:val="00EB3A22"/>
    <w:rsid w:val="00EB53EA"/>
    <w:rsid w:val="00EB599D"/>
    <w:rsid w:val="00EC04BF"/>
    <w:rsid w:val="00EC0596"/>
    <w:rsid w:val="00EC3472"/>
    <w:rsid w:val="00EC46E7"/>
    <w:rsid w:val="00EC5947"/>
    <w:rsid w:val="00EC6E9F"/>
    <w:rsid w:val="00EC7FF6"/>
    <w:rsid w:val="00ED4668"/>
    <w:rsid w:val="00ED7B22"/>
    <w:rsid w:val="00EE00B8"/>
    <w:rsid w:val="00EE15CD"/>
    <w:rsid w:val="00EE304A"/>
    <w:rsid w:val="00EE616C"/>
    <w:rsid w:val="00EE6345"/>
    <w:rsid w:val="00EF151A"/>
    <w:rsid w:val="00EF2A82"/>
    <w:rsid w:val="00EF7BF6"/>
    <w:rsid w:val="00F02B11"/>
    <w:rsid w:val="00F02DB1"/>
    <w:rsid w:val="00F040F2"/>
    <w:rsid w:val="00F04E68"/>
    <w:rsid w:val="00F05ADF"/>
    <w:rsid w:val="00F07372"/>
    <w:rsid w:val="00F105E1"/>
    <w:rsid w:val="00F1363D"/>
    <w:rsid w:val="00F14CD5"/>
    <w:rsid w:val="00F16D6C"/>
    <w:rsid w:val="00F17E20"/>
    <w:rsid w:val="00F20C58"/>
    <w:rsid w:val="00F22404"/>
    <w:rsid w:val="00F2418A"/>
    <w:rsid w:val="00F2726F"/>
    <w:rsid w:val="00F27969"/>
    <w:rsid w:val="00F3796A"/>
    <w:rsid w:val="00F44770"/>
    <w:rsid w:val="00F45BD3"/>
    <w:rsid w:val="00F45F61"/>
    <w:rsid w:val="00F46F90"/>
    <w:rsid w:val="00F4764B"/>
    <w:rsid w:val="00F47756"/>
    <w:rsid w:val="00F5163D"/>
    <w:rsid w:val="00F523BE"/>
    <w:rsid w:val="00F56E00"/>
    <w:rsid w:val="00F6097F"/>
    <w:rsid w:val="00F64C11"/>
    <w:rsid w:val="00F7118D"/>
    <w:rsid w:val="00F76FC7"/>
    <w:rsid w:val="00F83364"/>
    <w:rsid w:val="00F85E7D"/>
    <w:rsid w:val="00F86599"/>
    <w:rsid w:val="00F9149F"/>
    <w:rsid w:val="00F92E99"/>
    <w:rsid w:val="00F95C05"/>
    <w:rsid w:val="00F95E5F"/>
    <w:rsid w:val="00F97D57"/>
    <w:rsid w:val="00FA1D87"/>
    <w:rsid w:val="00FA5101"/>
    <w:rsid w:val="00FA5EC1"/>
    <w:rsid w:val="00FB3712"/>
    <w:rsid w:val="00FB3DAF"/>
    <w:rsid w:val="00FB4E90"/>
    <w:rsid w:val="00FB6119"/>
    <w:rsid w:val="00FC0516"/>
    <w:rsid w:val="00FC29A4"/>
    <w:rsid w:val="00FD1D06"/>
    <w:rsid w:val="00FD61A3"/>
    <w:rsid w:val="00FE1AAB"/>
    <w:rsid w:val="00FE21FB"/>
    <w:rsid w:val="00FE3A90"/>
    <w:rsid w:val="00FE4545"/>
    <w:rsid w:val="00FE54FC"/>
    <w:rsid w:val="00FE5BCE"/>
    <w:rsid w:val="00FF05E4"/>
    <w:rsid w:val="00FF0EB7"/>
    <w:rsid w:val="00FF2781"/>
    <w:rsid w:val="00FF2921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952B25B"/>
  <w15:chartTrackingRefBased/>
  <w15:docId w15:val="{3E9F9767-6FCE-4358-ABBC-2A45C60B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Pr>
      <w:sz w:val="16"/>
      <w:szCs w:val="16"/>
      <w:lang w:eastAsia="ar-SA"/>
    </w:rPr>
  </w:style>
  <w:style w:type="character" w:styleId="Hyperlink">
    <w:name w:val="Hyperlink"/>
    <w:uiPriority w:val="99"/>
    <w:unhideWhenUsed/>
    <w:rsid w:val="008A5295"/>
    <w:rPr>
      <w:color w:val="0000FF"/>
      <w:u w:val="single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customStyle="1" w:styleId="FootnoteTextChar">
    <w:name w:val="Footnote Text Char"/>
    <w:link w:val="FootnoteText"/>
    <w:uiPriority w:val="99"/>
    <w:semiHidden/>
    <w:rsid w:val="006C6817"/>
    <w:rPr>
      <w:rFonts w:cs="Traditional Arabic"/>
      <w:snapToGrid w:val="0"/>
    </w:rPr>
  </w:style>
  <w:style w:type="table" w:styleId="TableGrid">
    <w:name w:val="Table Grid"/>
    <w:basedOn w:val="TableNormal"/>
    <w:uiPriority w:val="59"/>
    <w:rsid w:val="0077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5E74"/>
    <w:pPr>
      <w:bidi w:val="0"/>
      <w:spacing w:before="100" w:beforeAutospacing="1" w:after="119"/>
    </w:pPr>
    <w:rPr>
      <w:lang w:eastAsia="en-US"/>
    </w:rPr>
  </w:style>
  <w:style w:type="character" w:styleId="CommentReference">
    <w:name w:val="annotation reference"/>
    <w:uiPriority w:val="99"/>
    <w:semiHidden/>
    <w:unhideWhenUsed/>
    <w:rsid w:val="00025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5E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25E3D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E3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25E3D"/>
    <w:rPr>
      <w:b/>
      <w:bCs/>
      <w:lang w:eastAsia="ar-SA"/>
    </w:rPr>
  </w:style>
  <w:style w:type="character" w:customStyle="1" w:styleId="Heading1Char">
    <w:name w:val="Heading 1 Char"/>
    <w:link w:val="Heading1"/>
    <w:rsid w:val="00B307B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766773162939298"/>
          <c:y val="0.1"/>
          <c:w val="0.70607028753993606"/>
          <c:h val="0.80952380952380953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inflation rate</c:v>
                </c:pt>
              </c:strCache>
            </c:strRef>
          </c:tx>
          <c:spPr>
            <a:ln w="12661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2768681210306414E-2"/>
                  <c:y val="5.9635000170433272E-2"/>
                </c:manualLayout>
              </c:layout>
              <c:spPr>
                <a:noFill/>
                <a:ln w="25322">
                  <a:noFill/>
                </a:ln>
              </c:spPr>
              <c:txPr>
                <a:bodyPr/>
                <a:lstStyle/>
                <a:p>
                  <a:pPr>
                    <a:defRPr sz="922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7B1-4E6A-B47A-0F979BED031C}"/>
                </c:ext>
              </c:extLst>
            </c:dLbl>
            <c:dLbl>
              <c:idx val="1"/>
              <c:layout>
                <c:manualLayout>
                  <c:x val="-7.4118503627107701E-2"/>
                  <c:y val="-8.5216416129801964E-2"/>
                </c:manualLayout>
              </c:layout>
              <c:spPr>
                <a:noFill/>
                <a:ln w="25322">
                  <a:noFill/>
                </a:ln>
              </c:spPr>
              <c:txPr>
                <a:bodyPr/>
                <a:lstStyle/>
                <a:p>
                  <a:pPr>
                    <a:defRPr sz="922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7B1-4E6A-B47A-0F979BED031C}"/>
                </c:ext>
              </c:extLst>
            </c:dLbl>
            <c:dLbl>
              <c:idx val="4"/>
              <c:layout>
                <c:manualLayout>
                  <c:x val="-6.9126437331185842E-2"/>
                  <c:y val="-8.1079455977093817E-2"/>
                </c:manualLayout>
              </c:layout>
              <c:spPr>
                <a:noFill/>
                <a:ln w="25322">
                  <a:noFill/>
                </a:ln>
              </c:spPr>
              <c:txPr>
                <a:bodyPr/>
                <a:lstStyle/>
                <a:p>
                  <a:pPr>
                    <a:defRPr sz="922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7B1-4E6A-B47A-0F979BED031C}"/>
                </c:ext>
              </c:extLst>
            </c:dLbl>
            <c:dLbl>
              <c:idx val="8"/>
              <c:layout>
                <c:manualLayout>
                  <c:x val="-8.5899528915324042E-2"/>
                  <c:y val="-8.1972594334799087E-2"/>
                </c:manualLayout>
              </c:layout>
              <c:spPr>
                <a:noFill/>
                <a:ln w="25322">
                  <a:noFill/>
                </a:ln>
              </c:spPr>
              <c:txPr>
                <a:bodyPr/>
                <a:lstStyle/>
                <a:p>
                  <a:pPr>
                    <a:defRPr sz="922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7B1-4E6A-B47A-0F979BED031C}"/>
                </c:ext>
              </c:extLst>
            </c:dLbl>
            <c:dLbl>
              <c:idx val="11"/>
              <c:layout>
                <c:manualLayout>
                  <c:x val="-6.4933021724833284E-2"/>
                  <c:y val="-8.5752326413743751E-2"/>
                </c:manualLayout>
              </c:layout>
              <c:spPr>
                <a:noFill/>
                <a:ln w="25322">
                  <a:noFill/>
                </a:ln>
              </c:spPr>
              <c:txPr>
                <a:bodyPr/>
                <a:lstStyle/>
                <a:p>
                  <a:pPr>
                    <a:defRPr sz="922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7B1-4E6A-B47A-0F979BED031C}"/>
                </c:ext>
              </c:extLst>
            </c:dLbl>
            <c:dLbl>
              <c:idx val="12"/>
              <c:layout>
                <c:manualLayout>
                  <c:x val="-0.16976527225665061"/>
                  <c:y val="2.972410266898462E-2"/>
                </c:manualLayout>
              </c:layout>
              <c:spPr>
                <a:noFill/>
                <a:ln w="25322">
                  <a:noFill/>
                </a:ln>
              </c:spPr>
              <c:txPr>
                <a:bodyPr/>
                <a:lstStyle/>
                <a:p>
                  <a:pPr>
                    <a:defRPr sz="922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7B1-4E6A-B47A-0F979BED031C}"/>
                </c:ext>
              </c:extLst>
            </c:dLbl>
            <c:dLbl>
              <c:idx val="13"/>
              <c:layout>
                <c:manualLayout>
                  <c:x val="-9.8878672948212398E-2"/>
                  <c:y val="6.8979922964174989E-2"/>
                </c:manualLayout>
              </c:layout>
              <c:spPr>
                <a:noFill/>
                <a:ln w="25322">
                  <a:noFill/>
                </a:ln>
              </c:spPr>
              <c:txPr>
                <a:bodyPr/>
                <a:lstStyle/>
                <a:p>
                  <a:pPr>
                    <a:defRPr sz="922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7B1-4E6A-B47A-0F979BED031C}"/>
                </c:ext>
              </c:extLst>
            </c:dLbl>
            <c:dLbl>
              <c:idx val="14"/>
              <c:layout>
                <c:manualLayout>
                  <c:x val="1.4915431376051003E-2"/>
                  <c:y val="-6.2984490575041796E-2"/>
                </c:manualLayout>
              </c:layout>
              <c:spPr>
                <a:noFill/>
                <a:ln w="25322">
                  <a:noFill/>
                </a:ln>
              </c:spPr>
              <c:txPr>
                <a:bodyPr/>
                <a:lstStyle/>
                <a:p>
                  <a:pPr>
                    <a:defRPr sz="922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7B1-4E6A-B47A-0F979BED031C}"/>
                </c:ext>
              </c:extLst>
            </c:dLbl>
            <c:dLbl>
              <c:idx val="15"/>
              <c:layout>
                <c:manualLayout>
                  <c:x val="1.4915431376051003E-2"/>
                  <c:y val="-7.4531751712854089E-2"/>
                </c:manualLayout>
              </c:layout>
              <c:spPr>
                <a:noFill/>
                <a:ln w="25322">
                  <a:noFill/>
                </a:ln>
              </c:spPr>
              <c:txPr>
                <a:bodyPr/>
                <a:lstStyle/>
                <a:p>
                  <a:pPr>
                    <a:defRPr sz="922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7B1-4E6A-B47A-0F979BED031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Sheet1!$B$1:$Q$1</c:f>
              <c:numCache>
                <c:formatCode>General</c:formatCode>
                <c:ptCount val="16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  <c:pt idx="14">
                  <c:v>2021</c:v>
                </c:pt>
                <c:pt idx="15">
                  <c:v>2022</c:v>
                </c:pt>
              </c:numCache>
            </c:numRef>
          </c:cat>
          <c:val>
            <c:numRef>
              <c:f>Sheet1!$B$2:$Q$2</c:f>
              <c:numCache>
                <c:formatCode>0.00%</c:formatCode>
                <c:ptCount val="16"/>
                <c:pt idx="0">
                  <c:v>2.2700000000000001E-2</c:v>
                </c:pt>
                <c:pt idx="1">
                  <c:v>8.1600000000000006E-2</c:v>
                </c:pt>
                <c:pt idx="2">
                  <c:v>1.5299999999999999E-2</c:v>
                </c:pt>
                <c:pt idx="3">
                  <c:v>3.3599999999999998E-2</c:v>
                </c:pt>
                <c:pt idx="4">
                  <c:v>3.6299999999999999E-2</c:v>
                </c:pt>
                <c:pt idx="5">
                  <c:v>2.5499999999999998E-2</c:v>
                </c:pt>
                <c:pt idx="6">
                  <c:v>8.8999999999999999E-3</c:v>
                </c:pt>
                <c:pt idx="7">
                  <c:v>7.7999999999999996E-3</c:v>
                </c:pt>
                <c:pt idx="8">
                  <c:v>1.7299999999999999E-2</c:v>
                </c:pt>
                <c:pt idx="9">
                  <c:v>1.7600000000000001E-2</c:v>
                </c:pt>
                <c:pt idx="10">
                  <c:v>8.8000000000000005E-3</c:v>
                </c:pt>
                <c:pt idx="11">
                  <c:v>2.2200000000000001E-2</c:v>
                </c:pt>
                <c:pt idx="12">
                  <c:v>-5.7999999999999996E-3</c:v>
                </c:pt>
                <c:pt idx="13">
                  <c:v>-4.5100000000000001E-2</c:v>
                </c:pt>
                <c:pt idx="14">
                  <c:v>2.6700000000000002E-2</c:v>
                </c:pt>
                <c:pt idx="15">
                  <c:v>7.4300000000000005E-2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17B1-4E6A-B47A-0F979BED03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958056"/>
        <c:axId val="1"/>
      </c:lineChart>
      <c:catAx>
        <c:axId val="207958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5">
            <a:solidFill>
              <a:srgbClr val="000000"/>
            </a:solidFill>
            <a:prstDash val="solid"/>
          </a:ln>
        </c:spPr>
        <c:txPr>
          <a:bodyPr rot="2820000" vert="horz"/>
          <a:lstStyle/>
          <a:p>
            <a:pPr>
              <a:defRPr sz="92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"/>
        <c:crosses val="autoZero"/>
        <c:auto val="1"/>
        <c:lblAlgn val="ctr"/>
        <c:lblOffset val="5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922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Yearly Percent Changes</a:t>
                </a:r>
              </a:p>
            </c:rich>
          </c:tx>
          <c:layout>
            <c:manualLayout>
              <c:xMode val="edge"/>
              <c:yMode val="edge"/>
              <c:x val="0"/>
              <c:y val="0.19523809523809524"/>
            </c:manualLayout>
          </c:layout>
          <c:overlay val="0"/>
          <c:spPr>
            <a:noFill/>
            <a:ln w="25322">
              <a:noFill/>
            </a:ln>
          </c:spPr>
        </c:title>
        <c:numFmt formatCode="0%" sourceLinked="0"/>
        <c:majorTickMark val="out"/>
        <c:minorTickMark val="none"/>
        <c:tickLblPos val="nextTo"/>
        <c:spPr>
          <a:ln w="316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207958056"/>
        <c:crosses val="autoZero"/>
        <c:crossBetween val="between"/>
      </c:valAx>
      <c:spPr>
        <a:noFill/>
        <a:ln w="25322">
          <a:noFill/>
        </a:ln>
      </c:spPr>
    </c:plotArea>
    <c:plotVisOnly val="1"/>
    <c:dispBlanksAs val="gap"/>
    <c:showDLblsOverMax val="0"/>
  </c:chart>
  <c:spPr>
    <a:noFill/>
    <a:ln w="9525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9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233766233766234"/>
          <c:y val="9.6618357487922704E-2"/>
          <c:w val="0.70779220779220775"/>
          <c:h val="0.8105205599300086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Price Index</c:v>
                </c:pt>
              </c:strCache>
            </c:strRef>
          </c:tx>
          <c:spPr>
            <a:ln w="12641">
              <a:solidFill>
                <a:srgbClr val="000080"/>
              </a:solidFill>
              <a:prstDash val="solid"/>
            </a:ln>
          </c:spPr>
          <c:marker>
            <c:symbol val="x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5.6883610551815789E-2"/>
                  <c:y val="7.7236909395987263E-2"/>
                </c:manualLayout>
              </c:layout>
              <c:numFmt formatCode="0.00" sourceLinked="0"/>
              <c:spPr>
                <a:noFill/>
                <a:ln w="25282">
                  <a:noFill/>
                </a:ln>
              </c:spPr>
              <c:txPr>
                <a:bodyPr/>
                <a:lstStyle/>
                <a:p>
                  <a:pPr>
                    <a:defRPr sz="796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A49-401C-A81A-C4C48D0ABCB1}"/>
                </c:ext>
              </c:extLst>
            </c:dLbl>
            <c:dLbl>
              <c:idx val="11"/>
              <c:layout>
                <c:manualLayout>
                  <c:x val="-4.335530159043588E-2"/>
                  <c:y val="-9.3371646780867346E-2"/>
                </c:manualLayout>
              </c:layout>
              <c:numFmt formatCode="0.00" sourceLinked="0"/>
              <c:spPr>
                <a:noFill/>
                <a:ln w="25282">
                  <a:noFill/>
                </a:ln>
              </c:spPr>
              <c:txPr>
                <a:bodyPr/>
                <a:lstStyle/>
                <a:p>
                  <a:pPr>
                    <a:defRPr sz="796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A49-401C-A81A-C4C48D0ABCB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93.453402209999993</c:v>
                </c:pt>
                <c:pt idx="1">
                  <c:v>94.705357219999996</c:v>
                </c:pt>
                <c:pt idx="2">
                  <c:v>94.976737439999994</c:v>
                </c:pt>
                <c:pt idx="3">
                  <c:v>97.412901489999996</c:v>
                </c:pt>
                <c:pt idx="4">
                  <c:v>97.912899429999996</c:v>
                </c:pt>
                <c:pt idx="5">
                  <c:v>98.492214779999998</c:v>
                </c:pt>
                <c:pt idx="6">
                  <c:v>99.289205719999998</c:v>
                </c:pt>
                <c:pt idx="7">
                  <c:v>100.0044128</c:v>
                </c:pt>
                <c:pt idx="8">
                  <c:v>100.9761678</c:v>
                </c:pt>
                <c:pt idx="9">
                  <c:v>100.16173689999999</c:v>
                </c:pt>
                <c:pt idx="10">
                  <c:v>99.711945439999994</c:v>
                </c:pt>
                <c:pt idx="11">
                  <c:v>99.364691519999994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A49-401C-A81A-C4C48D0ABCB1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ln w="12641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Sheet1!$B$1:$M$1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A49-401C-A81A-C4C48D0ABCB1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ln w="12641">
              <a:solidFill>
                <a:srgbClr val="FFFF00"/>
              </a:solidFill>
              <a:prstDash val="solid"/>
            </a:ln>
          </c:spPr>
          <c:marker>
            <c:symbol val="none"/>
          </c:marker>
          <c:cat>
            <c:strRef>
              <c:f>Sheet1!$B$1:$M$1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2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3A49-401C-A81A-C4C48D0ABCB1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ln w="12641">
              <a:solidFill>
                <a:srgbClr val="00FFFF"/>
              </a:solidFill>
              <a:prstDash val="solid"/>
            </a:ln>
          </c:spPr>
          <c:marker>
            <c:symbol val="none"/>
          </c:marker>
          <c:cat>
            <c:strRef>
              <c:f>Sheet1!$B$1:$M$1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Sheet1!$B$5:$M$5</c:f>
              <c:numCache>
                <c:formatCode>General</c:formatCode>
                <c:ptCount val="12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3A49-401C-A81A-C4C48D0ABC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7739776"/>
        <c:axId val="1"/>
      </c:lineChart>
      <c:catAx>
        <c:axId val="1777397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60">
            <a:solidFill>
              <a:srgbClr val="000000"/>
            </a:solidFill>
            <a:prstDash val="solid"/>
          </a:ln>
        </c:spPr>
        <c:txPr>
          <a:bodyPr rot="2640000" vert="horz"/>
          <a:lstStyle/>
          <a:p>
            <a:pPr>
              <a:defRPr sz="796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"/>
        <c:crossesAt val="95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102"/>
          <c:min val="90"/>
        </c:scaling>
        <c:delete val="0"/>
        <c:axPos val="l"/>
        <c:title>
          <c:tx>
            <c:rich>
              <a:bodyPr/>
              <a:lstStyle/>
              <a:p>
                <a:pPr>
                  <a:defRPr sz="796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Producer Price Index </a:t>
                </a:r>
              </a:p>
            </c:rich>
          </c:tx>
          <c:layout>
            <c:manualLayout>
              <c:xMode val="edge"/>
              <c:yMode val="edge"/>
              <c:x val="0"/>
              <c:y val="0.33816425120772947"/>
            </c:manualLayout>
          </c:layout>
          <c:overlay val="0"/>
          <c:spPr>
            <a:noFill/>
            <a:ln w="25282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6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77739776"/>
        <c:crosses val="autoZero"/>
        <c:crossBetween val="between"/>
        <c:majorUnit val="1"/>
      </c:valAx>
      <c:spPr>
        <a:noFill/>
        <a:ln w="25282">
          <a:noFill/>
        </a:ln>
      </c:spPr>
    </c:plotArea>
    <c:plotVisOnly val="1"/>
    <c:dispBlanksAs val="gap"/>
    <c:showDLblsOverMax val="0"/>
  </c:chart>
  <c:spPr>
    <a:noFill/>
    <a:ln w="1270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796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ar-S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1CCD-6779-4559-B22F-0DEC12CE2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2986</CharactersWithSpaces>
  <SharedDoc>false</SharedDoc>
  <HLinks>
    <vt:vector size="12" baseType="variant">
      <vt:variant>
        <vt:i4>2424865</vt:i4>
      </vt:variant>
      <vt:variant>
        <vt:i4>6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5453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dc:description/>
  <cp:lastModifiedBy>Hadeel Badran</cp:lastModifiedBy>
  <cp:revision>3</cp:revision>
  <cp:lastPrinted>2020-01-27T12:51:00Z</cp:lastPrinted>
  <dcterms:created xsi:type="dcterms:W3CDTF">2023-01-30T11:27:00Z</dcterms:created>
  <dcterms:modified xsi:type="dcterms:W3CDTF">2023-01-30T11:28:00Z</dcterms:modified>
</cp:coreProperties>
</file>