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1B1" w:rsidRPr="005551B1" w:rsidRDefault="005551B1" w:rsidP="005551B1">
      <w:pPr>
        <w:pStyle w:val="Heading1"/>
        <w:bidi w:val="0"/>
        <w:jc w:val="center"/>
        <w:rPr>
          <w:sz w:val="32"/>
          <w:szCs w:val="32"/>
        </w:rPr>
      </w:pPr>
      <w:r w:rsidRPr="005551B1">
        <w:rPr>
          <w:sz w:val="32"/>
          <w:szCs w:val="32"/>
        </w:rPr>
        <w:t>Palestinian Central Bureau of Statistics (PCBS)</w:t>
      </w:r>
    </w:p>
    <w:p w:rsidR="005551B1" w:rsidRPr="005551B1" w:rsidRDefault="005551B1" w:rsidP="005551B1">
      <w:pPr>
        <w:bidi w:val="0"/>
        <w:jc w:val="center"/>
        <w:rPr>
          <w:sz w:val="16"/>
          <w:szCs w:val="16"/>
          <w:lang w:eastAsia="en-US"/>
        </w:rPr>
      </w:pPr>
    </w:p>
    <w:p w:rsidR="005551B1" w:rsidRPr="005551B1" w:rsidRDefault="005551B1" w:rsidP="005551B1">
      <w:pPr>
        <w:spacing w:line="276" w:lineRule="auto"/>
        <w:jc w:val="center"/>
        <w:outlineLvl w:val="0"/>
        <w:rPr>
          <w:b/>
          <w:bCs/>
          <w:kern w:val="36"/>
          <w:sz w:val="32"/>
          <w:szCs w:val="32"/>
        </w:rPr>
      </w:pPr>
      <w:r w:rsidRPr="005551B1">
        <w:rPr>
          <w:b/>
          <w:bCs/>
          <w:sz w:val="32"/>
          <w:szCs w:val="32"/>
        </w:rPr>
        <w:t>Palestinian</w:t>
      </w:r>
      <w:r w:rsidRPr="005551B1">
        <w:rPr>
          <w:b/>
          <w:bCs/>
          <w:kern w:val="36"/>
          <w:sz w:val="32"/>
          <w:szCs w:val="32"/>
        </w:rPr>
        <w:t xml:space="preserve"> </w:t>
      </w:r>
      <w:r w:rsidRPr="005551B1">
        <w:rPr>
          <w:b/>
          <w:bCs/>
          <w:sz w:val="32"/>
          <w:szCs w:val="32"/>
        </w:rPr>
        <w:t xml:space="preserve">Producer Price Index, 2024 </w:t>
      </w:r>
      <w:r w:rsidRPr="005551B1">
        <w:rPr>
          <w:b/>
          <w:bCs/>
          <w:color w:val="000000"/>
          <w:sz w:val="32"/>
          <w:szCs w:val="32"/>
        </w:rPr>
        <w:t>&amp; December 12/2024</w:t>
      </w:r>
    </w:p>
    <w:p w:rsidR="005551B1" w:rsidRDefault="005551B1" w:rsidP="000B4AFF">
      <w:pPr>
        <w:bidi w:val="0"/>
        <w:jc w:val="both"/>
        <w:outlineLvl w:val="1"/>
        <w:rPr>
          <w:b/>
          <w:bCs/>
          <w:sz w:val="28"/>
          <w:szCs w:val="28"/>
        </w:rPr>
      </w:pPr>
    </w:p>
    <w:p w:rsidR="000B4AFF" w:rsidRPr="005551B1" w:rsidRDefault="000B4AFF" w:rsidP="005551B1">
      <w:pPr>
        <w:bidi w:val="0"/>
        <w:jc w:val="both"/>
        <w:outlineLvl w:val="1"/>
        <w:rPr>
          <w:b/>
          <w:bCs/>
          <w:sz w:val="28"/>
          <w:szCs w:val="28"/>
        </w:rPr>
      </w:pPr>
      <w:r w:rsidRPr="005551B1">
        <w:rPr>
          <w:b/>
          <w:bCs/>
          <w:sz w:val="28"/>
          <w:szCs w:val="28"/>
        </w:rPr>
        <w:t>Sharp Increase in the Producer Price</w:t>
      </w:r>
      <w:r w:rsidRPr="005551B1">
        <w:rPr>
          <w:rStyle w:val="FootnoteReference"/>
          <w:b/>
          <w:bCs/>
          <w:sz w:val="28"/>
          <w:szCs w:val="28"/>
        </w:rPr>
        <w:footnoteReference w:id="1"/>
      </w:r>
      <w:r w:rsidRPr="005551B1">
        <w:rPr>
          <w:b/>
          <w:bCs/>
          <w:sz w:val="28"/>
          <w:szCs w:val="28"/>
        </w:rPr>
        <w:t xml:space="preserve"> Index (PPI) during </w:t>
      </w:r>
      <w:r w:rsidR="00030F43" w:rsidRPr="005551B1">
        <w:rPr>
          <w:b/>
          <w:bCs/>
          <w:sz w:val="28"/>
          <w:szCs w:val="28"/>
        </w:rPr>
        <w:t>2024</w:t>
      </w:r>
    </w:p>
    <w:p w:rsidR="000B4AFF" w:rsidRPr="005551B1" w:rsidRDefault="000B4AFF" w:rsidP="00030F43">
      <w:pPr>
        <w:bidi w:val="0"/>
        <w:jc w:val="both"/>
        <w:rPr>
          <w:sz w:val="26"/>
          <w:szCs w:val="26"/>
        </w:rPr>
      </w:pPr>
      <w:r w:rsidRPr="005551B1">
        <w:rPr>
          <w:sz w:val="26"/>
          <w:szCs w:val="26"/>
        </w:rPr>
        <w:t xml:space="preserve">The overall </w:t>
      </w:r>
      <w:r w:rsidRPr="005551B1">
        <w:rPr>
          <w:b/>
          <w:bCs/>
          <w:sz w:val="26"/>
          <w:szCs w:val="26"/>
        </w:rPr>
        <w:t>PPI in Palestine</w:t>
      </w:r>
      <w:r w:rsidRPr="005551B1">
        <w:rPr>
          <w:sz w:val="26"/>
          <w:szCs w:val="26"/>
        </w:rPr>
        <w:t xml:space="preserve"> with its base year (2019=100) reached </w:t>
      </w:r>
      <w:r w:rsidR="00030F43" w:rsidRPr="005551B1">
        <w:rPr>
          <w:b/>
          <w:bCs/>
          <w:sz w:val="26"/>
          <w:szCs w:val="26"/>
        </w:rPr>
        <w:t>150</w:t>
      </w:r>
      <w:r w:rsidRPr="005551B1">
        <w:rPr>
          <w:b/>
          <w:bCs/>
          <w:sz w:val="26"/>
          <w:szCs w:val="26"/>
        </w:rPr>
        <w:t>.</w:t>
      </w:r>
      <w:r w:rsidR="00030F43" w:rsidRPr="005551B1">
        <w:rPr>
          <w:b/>
          <w:bCs/>
          <w:sz w:val="26"/>
          <w:szCs w:val="26"/>
        </w:rPr>
        <w:t>44</w:t>
      </w:r>
      <w:r w:rsidRPr="005551B1">
        <w:rPr>
          <w:b/>
          <w:bCs/>
          <w:sz w:val="26"/>
          <w:szCs w:val="26"/>
        </w:rPr>
        <w:t xml:space="preserve"> in </w:t>
      </w:r>
      <w:r w:rsidR="00030F43" w:rsidRPr="005551B1">
        <w:rPr>
          <w:b/>
          <w:bCs/>
          <w:sz w:val="26"/>
          <w:szCs w:val="26"/>
        </w:rPr>
        <w:t>2024</w:t>
      </w:r>
      <w:r w:rsidRPr="005551B1">
        <w:rPr>
          <w:b/>
          <w:bCs/>
          <w:sz w:val="26"/>
          <w:szCs w:val="26"/>
        </w:rPr>
        <w:t xml:space="preserve">, which indicates a sharp increase by </w:t>
      </w:r>
      <w:r w:rsidR="00030F43" w:rsidRPr="005551B1">
        <w:rPr>
          <w:b/>
          <w:bCs/>
          <w:sz w:val="26"/>
          <w:szCs w:val="26"/>
        </w:rPr>
        <w:t>35</w:t>
      </w:r>
      <w:r w:rsidRPr="005551B1">
        <w:rPr>
          <w:b/>
          <w:bCs/>
          <w:sz w:val="26"/>
          <w:szCs w:val="26"/>
        </w:rPr>
        <w:t>.</w:t>
      </w:r>
      <w:r w:rsidR="00030F43" w:rsidRPr="005551B1">
        <w:rPr>
          <w:rFonts w:hint="cs"/>
          <w:b/>
          <w:bCs/>
          <w:sz w:val="26"/>
          <w:szCs w:val="26"/>
          <w:rtl/>
        </w:rPr>
        <w:t>42</w:t>
      </w:r>
      <w:r w:rsidRPr="005551B1">
        <w:rPr>
          <w:b/>
          <w:bCs/>
          <w:sz w:val="26"/>
          <w:szCs w:val="26"/>
        </w:rPr>
        <w:t xml:space="preserve">% compared to </w:t>
      </w:r>
      <w:r w:rsidR="00030F43" w:rsidRPr="005551B1">
        <w:rPr>
          <w:b/>
          <w:bCs/>
          <w:sz w:val="26"/>
          <w:szCs w:val="26"/>
        </w:rPr>
        <w:t>2023</w:t>
      </w:r>
      <w:r w:rsidRPr="005551B1">
        <w:rPr>
          <w:sz w:val="26"/>
          <w:szCs w:val="26"/>
        </w:rPr>
        <w:t>.</w:t>
      </w:r>
    </w:p>
    <w:p w:rsidR="000B4AFF" w:rsidRPr="005551B1" w:rsidRDefault="000B4AFF" w:rsidP="000B4AFF">
      <w:pPr>
        <w:bidi w:val="0"/>
        <w:jc w:val="both"/>
        <w:rPr>
          <w:sz w:val="16"/>
          <w:szCs w:val="16"/>
        </w:rPr>
      </w:pPr>
    </w:p>
    <w:p w:rsidR="000B4AFF" w:rsidRPr="005551B1" w:rsidRDefault="000B4AFF" w:rsidP="00030F43">
      <w:pPr>
        <w:bidi w:val="0"/>
        <w:jc w:val="both"/>
        <w:outlineLvl w:val="0"/>
        <w:rPr>
          <w:sz w:val="26"/>
          <w:szCs w:val="26"/>
        </w:rPr>
      </w:pPr>
      <w:r w:rsidRPr="005551B1">
        <w:rPr>
          <w:sz w:val="26"/>
          <w:szCs w:val="26"/>
        </w:rPr>
        <w:t xml:space="preserve">Prices of PPI for </w:t>
      </w:r>
      <w:r w:rsidR="00030F43" w:rsidRPr="005551B1">
        <w:rPr>
          <w:sz w:val="26"/>
          <w:szCs w:val="26"/>
        </w:rPr>
        <w:t>2024</w:t>
      </w:r>
      <w:r w:rsidRPr="005551B1">
        <w:rPr>
          <w:sz w:val="26"/>
          <w:szCs w:val="26"/>
        </w:rPr>
        <w:t xml:space="preserve"> sharply increased due to the increase in the prices of goods </w:t>
      </w:r>
      <w:r w:rsidR="00E474B8" w:rsidRPr="005551B1">
        <w:rPr>
          <w:sz w:val="26"/>
          <w:szCs w:val="26"/>
        </w:rPr>
        <w:t xml:space="preserve">and services </w:t>
      </w:r>
      <w:r w:rsidRPr="005551B1">
        <w:rPr>
          <w:sz w:val="26"/>
          <w:szCs w:val="26"/>
        </w:rPr>
        <w:t xml:space="preserve">in the following major activities: </w:t>
      </w:r>
      <w:r w:rsidRPr="005551B1">
        <w:rPr>
          <w:b/>
          <w:bCs/>
          <w:sz w:val="26"/>
          <w:szCs w:val="26"/>
        </w:rPr>
        <w:t xml:space="preserve">Agriculture, forestry and fishing activities by </w:t>
      </w:r>
      <w:r w:rsidR="00030F43" w:rsidRPr="005551B1">
        <w:rPr>
          <w:b/>
          <w:bCs/>
          <w:sz w:val="26"/>
          <w:szCs w:val="26"/>
        </w:rPr>
        <w:t>99</w:t>
      </w:r>
      <w:r w:rsidRPr="005551B1">
        <w:rPr>
          <w:b/>
          <w:bCs/>
          <w:sz w:val="26"/>
          <w:szCs w:val="26"/>
        </w:rPr>
        <w:t>.</w:t>
      </w:r>
      <w:r w:rsidR="00030F43" w:rsidRPr="005551B1">
        <w:rPr>
          <w:b/>
          <w:bCs/>
          <w:sz w:val="26"/>
          <w:szCs w:val="26"/>
        </w:rPr>
        <w:t>14</w:t>
      </w:r>
      <w:r w:rsidRPr="005551B1">
        <w:rPr>
          <w:b/>
          <w:bCs/>
          <w:sz w:val="26"/>
          <w:szCs w:val="26"/>
        </w:rPr>
        <w:t xml:space="preserve">%, </w:t>
      </w:r>
      <w:r w:rsidR="00030F43" w:rsidRPr="005551B1">
        <w:rPr>
          <w:b/>
          <w:bCs/>
          <w:sz w:val="26"/>
          <w:szCs w:val="26"/>
        </w:rPr>
        <w:t xml:space="preserve">Manufacturing activities by 7.52%, Water supply; sewerage, waste management and remediation activities by 3.80%, and </w:t>
      </w:r>
      <w:r w:rsidRPr="005551B1">
        <w:rPr>
          <w:b/>
          <w:bCs/>
          <w:sz w:val="26"/>
          <w:szCs w:val="26"/>
        </w:rPr>
        <w:t xml:space="preserve">Electricity, gas, steam and air conditioning supply activities by </w:t>
      </w:r>
      <w:r w:rsidR="00030F43" w:rsidRPr="005551B1">
        <w:rPr>
          <w:b/>
          <w:bCs/>
          <w:sz w:val="26"/>
          <w:szCs w:val="26"/>
        </w:rPr>
        <w:t>2</w:t>
      </w:r>
      <w:r w:rsidRPr="005551B1">
        <w:rPr>
          <w:b/>
          <w:bCs/>
          <w:sz w:val="26"/>
          <w:szCs w:val="26"/>
        </w:rPr>
        <w:t>.</w:t>
      </w:r>
      <w:r w:rsidR="00030F43" w:rsidRPr="005551B1">
        <w:rPr>
          <w:b/>
          <w:bCs/>
          <w:sz w:val="26"/>
          <w:szCs w:val="26"/>
        </w:rPr>
        <w:t>77%</w:t>
      </w:r>
      <w:r w:rsidR="00030F43" w:rsidRPr="005551B1">
        <w:rPr>
          <w:sz w:val="26"/>
          <w:szCs w:val="26"/>
        </w:rPr>
        <w:t>. While,</w:t>
      </w:r>
      <w:r w:rsidR="00030F43" w:rsidRPr="005551B1">
        <w:rPr>
          <w:b/>
          <w:bCs/>
          <w:sz w:val="26"/>
          <w:szCs w:val="26"/>
        </w:rPr>
        <w:t xml:space="preserve"> Mining</w:t>
      </w:r>
      <w:r w:rsidRPr="005551B1">
        <w:rPr>
          <w:b/>
          <w:bCs/>
          <w:sz w:val="26"/>
          <w:szCs w:val="26"/>
        </w:rPr>
        <w:t xml:space="preserve"> and quarrying activities </w:t>
      </w:r>
      <w:r w:rsidR="00030F43" w:rsidRPr="005551B1">
        <w:rPr>
          <w:b/>
          <w:bCs/>
          <w:sz w:val="26"/>
          <w:szCs w:val="26"/>
        </w:rPr>
        <w:t xml:space="preserve">decreased </w:t>
      </w:r>
      <w:r w:rsidRPr="005551B1">
        <w:rPr>
          <w:b/>
          <w:bCs/>
          <w:sz w:val="26"/>
          <w:szCs w:val="26"/>
        </w:rPr>
        <w:t xml:space="preserve">by </w:t>
      </w:r>
      <w:r w:rsidR="00030F43" w:rsidRPr="005551B1">
        <w:rPr>
          <w:b/>
          <w:bCs/>
          <w:sz w:val="26"/>
          <w:szCs w:val="26"/>
        </w:rPr>
        <w:t>1</w:t>
      </w:r>
      <w:r w:rsidRPr="005551B1">
        <w:rPr>
          <w:b/>
          <w:bCs/>
          <w:sz w:val="26"/>
          <w:szCs w:val="26"/>
        </w:rPr>
        <w:t>.</w:t>
      </w:r>
      <w:r w:rsidR="00030F43" w:rsidRPr="005551B1">
        <w:rPr>
          <w:b/>
          <w:bCs/>
          <w:sz w:val="26"/>
          <w:szCs w:val="26"/>
        </w:rPr>
        <w:t>03</w:t>
      </w:r>
      <w:r w:rsidRPr="005551B1">
        <w:rPr>
          <w:b/>
          <w:bCs/>
          <w:sz w:val="26"/>
          <w:szCs w:val="26"/>
        </w:rPr>
        <w:t>%</w:t>
      </w:r>
      <w:r w:rsidR="00030F43" w:rsidRPr="005551B1">
        <w:rPr>
          <w:b/>
          <w:bCs/>
          <w:sz w:val="26"/>
          <w:szCs w:val="26"/>
        </w:rPr>
        <w:t xml:space="preserve"> </w:t>
      </w:r>
      <w:r w:rsidRPr="005551B1">
        <w:rPr>
          <w:sz w:val="26"/>
          <w:szCs w:val="26"/>
        </w:rPr>
        <w:t xml:space="preserve">in </w:t>
      </w:r>
      <w:r w:rsidR="00030F43" w:rsidRPr="005551B1">
        <w:rPr>
          <w:sz w:val="26"/>
          <w:szCs w:val="26"/>
        </w:rPr>
        <w:t>2024</w:t>
      </w:r>
      <w:r w:rsidRPr="005551B1">
        <w:rPr>
          <w:sz w:val="26"/>
          <w:szCs w:val="26"/>
        </w:rPr>
        <w:t xml:space="preserve"> compared to </w:t>
      </w:r>
      <w:r w:rsidR="00030F43" w:rsidRPr="005551B1">
        <w:rPr>
          <w:sz w:val="26"/>
          <w:szCs w:val="26"/>
        </w:rPr>
        <w:t>2023</w:t>
      </w:r>
      <w:r w:rsidRPr="005551B1">
        <w:rPr>
          <w:sz w:val="26"/>
          <w:szCs w:val="26"/>
        </w:rPr>
        <w:t xml:space="preserve">. </w:t>
      </w:r>
    </w:p>
    <w:p w:rsidR="000B4AFF" w:rsidRPr="005551B1" w:rsidRDefault="000B4AFF" w:rsidP="000B4AFF">
      <w:pPr>
        <w:bidi w:val="0"/>
        <w:jc w:val="both"/>
        <w:outlineLvl w:val="0"/>
        <w:rPr>
          <w:sz w:val="16"/>
          <w:szCs w:val="16"/>
        </w:rPr>
      </w:pPr>
    </w:p>
    <w:p w:rsidR="000B4AFF" w:rsidRPr="005551B1" w:rsidRDefault="000B4AFF" w:rsidP="00030F43">
      <w:pPr>
        <w:bidi w:val="0"/>
        <w:jc w:val="both"/>
        <w:outlineLvl w:val="0"/>
        <w:rPr>
          <w:b/>
          <w:bCs/>
          <w:sz w:val="26"/>
          <w:szCs w:val="26"/>
        </w:rPr>
      </w:pPr>
      <w:r w:rsidRPr="005551B1">
        <w:rPr>
          <w:sz w:val="26"/>
          <w:szCs w:val="26"/>
        </w:rPr>
        <w:t xml:space="preserve">The prices of </w:t>
      </w:r>
      <w:r w:rsidRPr="005551B1">
        <w:rPr>
          <w:b/>
          <w:bCs/>
          <w:sz w:val="26"/>
          <w:szCs w:val="26"/>
        </w:rPr>
        <w:t xml:space="preserve">locally consumed products sharply increased by </w:t>
      </w:r>
      <w:r w:rsidR="00030F43" w:rsidRPr="005551B1">
        <w:rPr>
          <w:b/>
          <w:bCs/>
          <w:sz w:val="26"/>
          <w:szCs w:val="26"/>
        </w:rPr>
        <w:t>38</w:t>
      </w:r>
      <w:r w:rsidRPr="005551B1">
        <w:rPr>
          <w:b/>
          <w:bCs/>
          <w:sz w:val="26"/>
          <w:szCs w:val="26"/>
        </w:rPr>
        <w:t>.</w:t>
      </w:r>
      <w:r w:rsidR="00030F43" w:rsidRPr="005551B1">
        <w:rPr>
          <w:b/>
          <w:bCs/>
          <w:sz w:val="26"/>
          <w:szCs w:val="26"/>
        </w:rPr>
        <w:t>55</w:t>
      </w:r>
      <w:r w:rsidRPr="005551B1">
        <w:rPr>
          <w:b/>
          <w:bCs/>
          <w:sz w:val="26"/>
          <w:szCs w:val="26"/>
        </w:rPr>
        <w:t xml:space="preserve">% </w:t>
      </w:r>
      <w:r w:rsidRPr="005551B1">
        <w:rPr>
          <w:sz w:val="26"/>
          <w:szCs w:val="26"/>
        </w:rPr>
        <w:t xml:space="preserve">and the prices of </w:t>
      </w:r>
      <w:r w:rsidRPr="005551B1">
        <w:rPr>
          <w:b/>
          <w:bCs/>
          <w:sz w:val="26"/>
          <w:szCs w:val="26"/>
        </w:rPr>
        <w:t xml:space="preserve">local exported products increased by </w:t>
      </w:r>
      <w:r w:rsidR="00030F43" w:rsidRPr="005551B1">
        <w:rPr>
          <w:b/>
          <w:bCs/>
          <w:sz w:val="26"/>
          <w:szCs w:val="26"/>
        </w:rPr>
        <w:t>5</w:t>
      </w:r>
      <w:r w:rsidRPr="005551B1">
        <w:rPr>
          <w:b/>
          <w:bCs/>
          <w:sz w:val="26"/>
          <w:szCs w:val="26"/>
        </w:rPr>
        <w:t>.</w:t>
      </w:r>
      <w:r w:rsidR="00030F43" w:rsidRPr="005551B1">
        <w:rPr>
          <w:b/>
          <w:bCs/>
          <w:sz w:val="26"/>
          <w:szCs w:val="26"/>
        </w:rPr>
        <w:t>69</w:t>
      </w:r>
      <w:r w:rsidRPr="005551B1">
        <w:rPr>
          <w:b/>
          <w:bCs/>
          <w:sz w:val="26"/>
          <w:szCs w:val="26"/>
        </w:rPr>
        <w:t>%</w:t>
      </w:r>
      <w:r w:rsidRPr="005551B1">
        <w:rPr>
          <w:sz w:val="26"/>
          <w:szCs w:val="26"/>
        </w:rPr>
        <w:t xml:space="preserve">. </w:t>
      </w:r>
    </w:p>
    <w:p w:rsidR="000B4AFF" w:rsidRPr="005551B1" w:rsidRDefault="000B4AFF" w:rsidP="000B4AFF">
      <w:pPr>
        <w:bidi w:val="0"/>
        <w:jc w:val="both"/>
        <w:rPr>
          <w:b/>
          <w:bCs/>
          <w:sz w:val="16"/>
          <w:szCs w:val="16"/>
        </w:rPr>
      </w:pPr>
    </w:p>
    <w:p w:rsidR="000B4AFF" w:rsidRPr="005551B1" w:rsidRDefault="000B4AFF" w:rsidP="00030F43">
      <w:pPr>
        <w:jc w:val="center"/>
        <w:rPr>
          <w:b/>
          <w:bCs/>
          <w:sz w:val="28"/>
          <w:szCs w:val="28"/>
        </w:rPr>
      </w:pPr>
      <w:r w:rsidRPr="005551B1">
        <w:rPr>
          <w:b/>
          <w:bCs/>
          <w:sz w:val="28"/>
          <w:szCs w:val="28"/>
        </w:rPr>
        <w:t xml:space="preserve">Yearly Percent Changes in PPI in Palestine for </w:t>
      </w:r>
      <w:r w:rsidR="00030F43" w:rsidRPr="005551B1">
        <w:rPr>
          <w:b/>
          <w:bCs/>
          <w:sz w:val="28"/>
          <w:szCs w:val="28"/>
        </w:rPr>
        <w:t>2014</w:t>
      </w:r>
      <w:r w:rsidRPr="005551B1">
        <w:rPr>
          <w:b/>
          <w:bCs/>
          <w:sz w:val="28"/>
          <w:szCs w:val="28"/>
        </w:rPr>
        <w:t xml:space="preserve"> – </w:t>
      </w:r>
      <w:r w:rsidR="00030F43" w:rsidRPr="005551B1">
        <w:rPr>
          <w:b/>
          <w:bCs/>
          <w:sz w:val="28"/>
          <w:szCs w:val="28"/>
        </w:rPr>
        <w:t>2024</w:t>
      </w:r>
    </w:p>
    <w:p w:rsidR="000B4AFF" w:rsidRPr="002E2B07" w:rsidRDefault="000B4AFF" w:rsidP="000B4AFF">
      <w:pPr>
        <w:jc w:val="center"/>
        <w:rPr>
          <w:rFonts w:hint="cs"/>
          <w:b/>
          <w:bCs/>
          <w:sz w:val="8"/>
          <w:szCs w:val="8"/>
        </w:rPr>
      </w:pPr>
    </w:p>
    <w:p w:rsidR="000B4AFF" w:rsidRDefault="00B062EE" w:rsidP="005551B1">
      <w:pPr>
        <w:bidi w:val="0"/>
        <w:jc w:val="center"/>
        <w:outlineLvl w:val="1"/>
        <w:rPr>
          <w:b/>
          <w:bCs/>
        </w:rPr>
      </w:pPr>
      <w:r>
        <w:rPr>
          <w:b/>
          <w:bCs/>
          <w:noProof/>
          <w:lang w:val="en-GB" w:eastAsia="en-GB"/>
        </w:rPr>
        <w:drawing>
          <wp:inline distT="0" distB="0" distL="0" distR="0">
            <wp:extent cx="3267075" cy="2095500"/>
            <wp:effectExtent l="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E3F35" w:rsidRPr="005551B1" w:rsidRDefault="007E3F35" w:rsidP="00F92447">
      <w:pPr>
        <w:bidi w:val="0"/>
        <w:jc w:val="both"/>
        <w:outlineLvl w:val="1"/>
        <w:rPr>
          <w:b/>
          <w:bCs/>
          <w:sz w:val="16"/>
          <w:szCs w:val="16"/>
        </w:rPr>
      </w:pPr>
    </w:p>
    <w:p w:rsidR="00636553" w:rsidRPr="005551B1" w:rsidRDefault="00AB5831" w:rsidP="007E3F35">
      <w:pPr>
        <w:bidi w:val="0"/>
        <w:jc w:val="both"/>
        <w:outlineLvl w:val="1"/>
        <w:rPr>
          <w:b/>
          <w:bCs/>
          <w:sz w:val="28"/>
          <w:szCs w:val="28"/>
        </w:rPr>
      </w:pPr>
      <w:r w:rsidRPr="005551B1">
        <w:rPr>
          <w:b/>
          <w:bCs/>
          <w:sz w:val="28"/>
          <w:szCs w:val="28"/>
        </w:rPr>
        <w:t xml:space="preserve">Sharp </w:t>
      </w:r>
      <w:r w:rsidR="00D1192D" w:rsidRPr="005551B1">
        <w:rPr>
          <w:b/>
          <w:bCs/>
          <w:sz w:val="28"/>
          <w:szCs w:val="28"/>
        </w:rPr>
        <w:t>De</w:t>
      </w:r>
      <w:r w:rsidR="006E7164" w:rsidRPr="005551B1">
        <w:rPr>
          <w:b/>
          <w:bCs/>
          <w:sz w:val="28"/>
          <w:szCs w:val="28"/>
        </w:rPr>
        <w:t>crease</w:t>
      </w:r>
      <w:r w:rsidR="00636553" w:rsidRPr="005551B1">
        <w:rPr>
          <w:b/>
          <w:bCs/>
          <w:sz w:val="28"/>
          <w:szCs w:val="28"/>
        </w:rPr>
        <w:t xml:space="preserve"> in the Producer Price Index (PPI) during </w:t>
      </w:r>
      <w:r w:rsidR="00030F43" w:rsidRPr="005551B1">
        <w:rPr>
          <w:b/>
          <w:bCs/>
          <w:sz w:val="28"/>
          <w:szCs w:val="28"/>
        </w:rPr>
        <w:t>December</w:t>
      </w:r>
      <w:r w:rsidR="00B51BD7" w:rsidRPr="005551B1">
        <w:rPr>
          <w:b/>
          <w:bCs/>
          <w:sz w:val="28"/>
          <w:szCs w:val="28"/>
        </w:rPr>
        <w:t xml:space="preserve"> </w:t>
      </w:r>
      <w:r w:rsidR="0008412E" w:rsidRPr="005551B1">
        <w:rPr>
          <w:b/>
          <w:bCs/>
          <w:sz w:val="28"/>
          <w:szCs w:val="28"/>
        </w:rPr>
        <w:t>2024</w:t>
      </w:r>
    </w:p>
    <w:p w:rsidR="00EA74CA" w:rsidRPr="005551B1" w:rsidRDefault="00EA74CA" w:rsidP="007E3F35">
      <w:pPr>
        <w:pStyle w:val="BodyText2"/>
        <w:bidi w:val="0"/>
        <w:spacing w:after="0" w:line="240" w:lineRule="auto"/>
        <w:jc w:val="both"/>
        <w:rPr>
          <w:sz w:val="26"/>
          <w:szCs w:val="26"/>
        </w:rPr>
      </w:pPr>
      <w:r w:rsidRPr="005551B1">
        <w:rPr>
          <w:sz w:val="26"/>
          <w:szCs w:val="26"/>
        </w:rPr>
        <w:t xml:space="preserve">The overall Producer Price Index (PPI) for Palestine with its base year (2019 = 100) reached </w:t>
      </w:r>
      <w:r w:rsidR="007E3F35" w:rsidRPr="005551B1">
        <w:rPr>
          <w:sz w:val="26"/>
          <w:szCs w:val="26"/>
        </w:rPr>
        <w:t>165</w:t>
      </w:r>
      <w:r w:rsidR="004547F6" w:rsidRPr="005551B1">
        <w:rPr>
          <w:sz w:val="26"/>
          <w:szCs w:val="26"/>
        </w:rPr>
        <w:t>.</w:t>
      </w:r>
      <w:r w:rsidR="00AB5831" w:rsidRPr="005551B1">
        <w:rPr>
          <w:sz w:val="26"/>
          <w:szCs w:val="26"/>
        </w:rPr>
        <w:t>87</w:t>
      </w:r>
      <w:r w:rsidRPr="005551B1">
        <w:rPr>
          <w:sz w:val="26"/>
          <w:szCs w:val="26"/>
        </w:rPr>
        <w:t xml:space="preserve"> in </w:t>
      </w:r>
      <w:r w:rsidR="00030F43" w:rsidRPr="005551B1">
        <w:rPr>
          <w:sz w:val="26"/>
          <w:szCs w:val="26"/>
        </w:rPr>
        <w:t>December</w:t>
      </w:r>
      <w:r w:rsidRPr="005551B1">
        <w:rPr>
          <w:sz w:val="26"/>
          <w:szCs w:val="26"/>
        </w:rPr>
        <w:t xml:space="preserve"> </w:t>
      </w:r>
      <w:r w:rsidR="0008412E" w:rsidRPr="005551B1">
        <w:rPr>
          <w:sz w:val="26"/>
          <w:szCs w:val="26"/>
        </w:rPr>
        <w:t>2024</w:t>
      </w:r>
      <w:r w:rsidRPr="005551B1">
        <w:rPr>
          <w:sz w:val="26"/>
          <w:szCs w:val="26"/>
        </w:rPr>
        <w:t xml:space="preserve">, as it </w:t>
      </w:r>
      <w:r w:rsidR="00D1192D" w:rsidRPr="005551B1">
        <w:rPr>
          <w:sz w:val="26"/>
          <w:szCs w:val="26"/>
        </w:rPr>
        <w:t>de</w:t>
      </w:r>
      <w:r w:rsidR="006E7164" w:rsidRPr="005551B1">
        <w:rPr>
          <w:sz w:val="26"/>
          <w:szCs w:val="26"/>
        </w:rPr>
        <w:t>creased</w:t>
      </w:r>
      <w:r w:rsidR="00F163FD" w:rsidRPr="005551B1">
        <w:rPr>
          <w:sz w:val="26"/>
          <w:szCs w:val="26"/>
        </w:rPr>
        <w:t xml:space="preserve"> </w:t>
      </w:r>
      <w:r w:rsidRPr="005551B1">
        <w:rPr>
          <w:sz w:val="26"/>
          <w:szCs w:val="26"/>
        </w:rPr>
        <w:t xml:space="preserve">by </w:t>
      </w:r>
      <w:r w:rsidR="00AB5831" w:rsidRPr="005551B1">
        <w:rPr>
          <w:sz w:val="26"/>
          <w:szCs w:val="26"/>
        </w:rPr>
        <w:t>5</w:t>
      </w:r>
      <w:r w:rsidR="007D32FE" w:rsidRPr="005551B1">
        <w:rPr>
          <w:sz w:val="26"/>
          <w:szCs w:val="26"/>
        </w:rPr>
        <w:t>.</w:t>
      </w:r>
      <w:r w:rsidR="00AB5831" w:rsidRPr="005551B1">
        <w:rPr>
          <w:sz w:val="26"/>
          <w:szCs w:val="26"/>
        </w:rPr>
        <w:t>77</w:t>
      </w:r>
      <w:r w:rsidRPr="005551B1">
        <w:rPr>
          <w:sz w:val="26"/>
          <w:szCs w:val="26"/>
        </w:rPr>
        <w:t xml:space="preserve">% compared to </w:t>
      </w:r>
      <w:r w:rsidR="00030F43" w:rsidRPr="005551B1">
        <w:rPr>
          <w:sz w:val="26"/>
          <w:szCs w:val="26"/>
        </w:rPr>
        <w:t>November</w:t>
      </w:r>
      <w:r w:rsidR="00D1192D" w:rsidRPr="005551B1">
        <w:rPr>
          <w:sz w:val="26"/>
          <w:szCs w:val="26"/>
        </w:rPr>
        <w:t xml:space="preserve"> </w:t>
      </w:r>
      <w:r w:rsidR="00BF4670" w:rsidRPr="005551B1">
        <w:rPr>
          <w:sz w:val="26"/>
          <w:szCs w:val="26"/>
        </w:rPr>
        <w:t>2024</w:t>
      </w:r>
      <w:r w:rsidRPr="005551B1">
        <w:rPr>
          <w:sz w:val="26"/>
          <w:szCs w:val="26"/>
        </w:rPr>
        <w:t>.</w:t>
      </w:r>
    </w:p>
    <w:p w:rsidR="00EA74CA" w:rsidRPr="005551B1" w:rsidRDefault="00EA74CA" w:rsidP="00EA74CA">
      <w:pPr>
        <w:pStyle w:val="BodyText2"/>
        <w:bidi w:val="0"/>
        <w:spacing w:after="0" w:line="240" w:lineRule="auto"/>
        <w:jc w:val="both"/>
        <w:rPr>
          <w:b/>
          <w:bCs/>
          <w:sz w:val="16"/>
          <w:szCs w:val="16"/>
        </w:rPr>
      </w:pPr>
    </w:p>
    <w:p w:rsidR="00D1192D" w:rsidRPr="005551B1" w:rsidRDefault="00D1192D" w:rsidP="00D1192D">
      <w:pPr>
        <w:pStyle w:val="BodyText2"/>
        <w:bidi w:val="0"/>
        <w:spacing w:after="0" w:line="240" w:lineRule="auto"/>
        <w:jc w:val="both"/>
        <w:rPr>
          <w:b/>
          <w:bCs/>
          <w:sz w:val="28"/>
          <w:szCs w:val="28"/>
        </w:rPr>
      </w:pPr>
      <w:r w:rsidRPr="005551B1">
        <w:rPr>
          <w:b/>
          <w:bCs/>
          <w:sz w:val="28"/>
          <w:szCs w:val="28"/>
        </w:rPr>
        <w:t xml:space="preserve">PPI for locally consumed products during </w:t>
      </w:r>
      <w:r w:rsidR="00030F43" w:rsidRPr="005551B1">
        <w:rPr>
          <w:b/>
          <w:bCs/>
          <w:sz w:val="28"/>
          <w:szCs w:val="28"/>
        </w:rPr>
        <w:t>December</w:t>
      </w:r>
      <w:r w:rsidRPr="005551B1">
        <w:rPr>
          <w:b/>
          <w:bCs/>
          <w:sz w:val="28"/>
          <w:szCs w:val="28"/>
        </w:rPr>
        <w:t xml:space="preserve"> 2024 </w:t>
      </w:r>
    </w:p>
    <w:p w:rsidR="00D1192D" w:rsidRPr="005551B1" w:rsidRDefault="00D1192D" w:rsidP="00AB5831">
      <w:pPr>
        <w:pStyle w:val="BodyText2"/>
        <w:bidi w:val="0"/>
        <w:spacing w:after="0" w:line="240" w:lineRule="auto"/>
        <w:jc w:val="both"/>
        <w:rPr>
          <w:sz w:val="26"/>
          <w:szCs w:val="26"/>
        </w:rPr>
      </w:pPr>
      <w:r w:rsidRPr="005551B1">
        <w:rPr>
          <w:sz w:val="26"/>
          <w:szCs w:val="26"/>
        </w:rPr>
        <w:t xml:space="preserve">Producer Price Index for locally consumed products (2019 = 100) reached </w:t>
      </w:r>
      <w:r w:rsidR="00AB5831" w:rsidRPr="005551B1">
        <w:rPr>
          <w:sz w:val="26"/>
          <w:szCs w:val="26"/>
        </w:rPr>
        <w:t>170</w:t>
      </w:r>
      <w:r w:rsidRPr="005551B1">
        <w:rPr>
          <w:sz w:val="26"/>
          <w:szCs w:val="26"/>
        </w:rPr>
        <w:t>.</w:t>
      </w:r>
      <w:r w:rsidR="00AB5831" w:rsidRPr="005551B1">
        <w:rPr>
          <w:sz w:val="26"/>
          <w:szCs w:val="26"/>
        </w:rPr>
        <w:t>82</w:t>
      </w:r>
      <w:r w:rsidRPr="005551B1">
        <w:rPr>
          <w:sz w:val="26"/>
          <w:szCs w:val="26"/>
        </w:rPr>
        <w:t xml:space="preserve"> in </w:t>
      </w:r>
      <w:r w:rsidR="00030F43" w:rsidRPr="005551B1">
        <w:rPr>
          <w:sz w:val="26"/>
          <w:szCs w:val="26"/>
        </w:rPr>
        <w:t>December</w:t>
      </w:r>
      <w:r w:rsidRPr="005551B1">
        <w:rPr>
          <w:sz w:val="26"/>
          <w:szCs w:val="26"/>
        </w:rPr>
        <w:t xml:space="preserve"> 2024, which indicates a decrease of </w:t>
      </w:r>
      <w:r w:rsidR="00AB5831" w:rsidRPr="005551B1">
        <w:rPr>
          <w:sz w:val="26"/>
          <w:szCs w:val="26"/>
        </w:rPr>
        <w:t>5</w:t>
      </w:r>
      <w:r w:rsidRPr="005551B1">
        <w:rPr>
          <w:sz w:val="26"/>
          <w:szCs w:val="26"/>
        </w:rPr>
        <w:t>.</w:t>
      </w:r>
      <w:r w:rsidR="00AB5831" w:rsidRPr="005551B1">
        <w:rPr>
          <w:sz w:val="26"/>
          <w:szCs w:val="26"/>
        </w:rPr>
        <w:t>87</w:t>
      </w:r>
      <w:r w:rsidRPr="005551B1">
        <w:rPr>
          <w:sz w:val="26"/>
          <w:szCs w:val="26"/>
        </w:rPr>
        <w:t xml:space="preserve">% compared to </w:t>
      </w:r>
      <w:r w:rsidR="00030F43" w:rsidRPr="005551B1">
        <w:rPr>
          <w:sz w:val="26"/>
          <w:szCs w:val="26"/>
        </w:rPr>
        <w:t>November</w:t>
      </w:r>
      <w:r w:rsidRPr="005551B1">
        <w:rPr>
          <w:sz w:val="26"/>
          <w:szCs w:val="26"/>
        </w:rPr>
        <w:t xml:space="preserve"> 2024.</w:t>
      </w:r>
    </w:p>
    <w:p w:rsidR="00D1192D" w:rsidRPr="005551B1" w:rsidRDefault="00D1192D" w:rsidP="00D1192D">
      <w:pPr>
        <w:pStyle w:val="BodyText2"/>
        <w:bidi w:val="0"/>
        <w:spacing w:after="0" w:line="240" w:lineRule="auto"/>
        <w:jc w:val="both"/>
        <w:rPr>
          <w:sz w:val="16"/>
          <w:szCs w:val="16"/>
        </w:rPr>
      </w:pPr>
    </w:p>
    <w:p w:rsidR="00EA74CA" w:rsidRPr="005551B1" w:rsidRDefault="00EA74CA" w:rsidP="00D1192D">
      <w:pPr>
        <w:pStyle w:val="BodyText2"/>
        <w:bidi w:val="0"/>
        <w:spacing w:after="0" w:line="240" w:lineRule="auto"/>
        <w:jc w:val="both"/>
        <w:rPr>
          <w:b/>
          <w:bCs/>
          <w:sz w:val="28"/>
          <w:szCs w:val="28"/>
        </w:rPr>
      </w:pPr>
      <w:r w:rsidRPr="005551B1">
        <w:rPr>
          <w:b/>
          <w:bCs/>
          <w:sz w:val="28"/>
          <w:szCs w:val="28"/>
        </w:rPr>
        <w:t xml:space="preserve">PPI for local exported products during </w:t>
      </w:r>
      <w:r w:rsidR="00030F43" w:rsidRPr="005551B1">
        <w:rPr>
          <w:b/>
          <w:bCs/>
          <w:sz w:val="28"/>
          <w:szCs w:val="28"/>
        </w:rPr>
        <w:t>December</w:t>
      </w:r>
      <w:r w:rsidR="00D1192D" w:rsidRPr="005551B1">
        <w:rPr>
          <w:b/>
          <w:bCs/>
          <w:sz w:val="28"/>
          <w:szCs w:val="28"/>
        </w:rPr>
        <w:t xml:space="preserve"> </w:t>
      </w:r>
      <w:r w:rsidR="0008412E" w:rsidRPr="005551B1">
        <w:rPr>
          <w:b/>
          <w:bCs/>
          <w:sz w:val="28"/>
          <w:szCs w:val="28"/>
        </w:rPr>
        <w:t>2024</w:t>
      </w:r>
    </w:p>
    <w:p w:rsidR="00EA74CA" w:rsidRPr="005551B1" w:rsidRDefault="00EA74CA" w:rsidP="00AB5831">
      <w:pPr>
        <w:pStyle w:val="BodyText2"/>
        <w:bidi w:val="0"/>
        <w:spacing w:after="0" w:line="240" w:lineRule="auto"/>
        <w:jc w:val="both"/>
        <w:rPr>
          <w:sz w:val="26"/>
          <w:szCs w:val="26"/>
        </w:rPr>
      </w:pPr>
      <w:r w:rsidRPr="005551B1">
        <w:rPr>
          <w:sz w:val="26"/>
          <w:szCs w:val="26"/>
        </w:rPr>
        <w:t>Producer Price Index for local exported products (</w:t>
      </w:r>
      <w:r w:rsidRPr="005551B1">
        <w:rPr>
          <w:color w:val="000000"/>
          <w:sz w:val="26"/>
          <w:szCs w:val="26"/>
        </w:rPr>
        <w:t>2019</w:t>
      </w:r>
      <w:r w:rsidRPr="005551B1">
        <w:rPr>
          <w:sz w:val="26"/>
          <w:szCs w:val="26"/>
        </w:rPr>
        <w:t xml:space="preserve"> = 100) reached </w:t>
      </w:r>
      <w:r w:rsidR="00AB5831" w:rsidRPr="005551B1">
        <w:rPr>
          <w:sz w:val="26"/>
          <w:szCs w:val="26"/>
        </w:rPr>
        <w:t>119</w:t>
      </w:r>
      <w:r w:rsidR="004547F6" w:rsidRPr="005551B1">
        <w:rPr>
          <w:sz w:val="26"/>
          <w:szCs w:val="26"/>
        </w:rPr>
        <w:t>.</w:t>
      </w:r>
      <w:r w:rsidR="00AB5831" w:rsidRPr="005551B1">
        <w:rPr>
          <w:sz w:val="26"/>
          <w:szCs w:val="26"/>
        </w:rPr>
        <w:t>68</w:t>
      </w:r>
      <w:r w:rsidRPr="005551B1">
        <w:rPr>
          <w:sz w:val="26"/>
          <w:szCs w:val="26"/>
        </w:rPr>
        <w:t xml:space="preserve"> in </w:t>
      </w:r>
      <w:r w:rsidR="00030F43" w:rsidRPr="005551B1">
        <w:rPr>
          <w:sz w:val="26"/>
          <w:szCs w:val="26"/>
        </w:rPr>
        <w:t>December</w:t>
      </w:r>
      <w:r w:rsidR="00D1192D" w:rsidRPr="005551B1">
        <w:rPr>
          <w:sz w:val="26"/>
          <w:szCs w:val="26"/>
        </w:rPr>
        <w:t xml:space="preserve"> </w:t>
      </w:r>
      <w:r w:rsidR="0008412E" w:rsidRPr="005551B1">
        <w:rPr>
          <w:sz w:val="26"/>
          <w:szCs w:val="26"/>
        </w:rPr>
        <w:t>2024</w:t>
      </w:r>
      <w:r w:rsidRPr="005551B1">
        <w:rPr>
          <w:sz w:val="26"/>
          <w:szCs w:val="26"/>
        </w:rPr>
        <w:t xml:space="preserve">, which indicates </w:t>
      </w:r>
      <w:r w:rsidR="00BE0336" w:rsidRPr="005551B1">
        <w:rPr>
          <w:sz w:val="26"/>
          <w:szCs w:val="26"/>
        </w:rPr>
        <w:t>a</w:t>
      </w:r>
      <w:r w:rsidRPr="005551B1">
        <w:rPr>
          <w:sz w:val="26"/>
          <w:szCs w:val="26"/>
        </w:rPr>
        <w:t xml:space="preserve"> </w:t>
      </w:r>
      <w:r w:rsidR="00D1192D" w:rsidRPr="005551B1">
        <w:rPr>
          <w:sz w:val="26"/>
          <w:szCs w:val="26"/>
        </w:rPr>
        <w:t>de</w:t>
      </w:r>
      <w:r w:rsidR="00BE0336" w:rsidRPr="005551B1">
        <w:rPr>
          <w:sz w:val="26"/>
          <w:szCs w:val="26"/>
        </w:rPr>
        <w:t>crease</w:t>
      </w:r>
      <w:r w:rsidRPr="005551B1">
        <w:rPr>
          <w:sz w:val="26"/>
          <w:szCs w:val="26"/>
        </w:rPr>
        <w:t xml:space="preserve"> </w:t>
      </w:r>
      <w:r w:rsidRPr="005551B1">
        <w:rPr>
          <w:color w:val="000000"/>
          <w:sz w:val="26"/>
          <w:szCs w:val="26"/>
        </w:rPr>
        <w:t>of</w:t>
      </w:r>
      <w:r w:rsidRPr="005551B1">
        <w:rPr>
          <w:sz w:val="26"/>
          <w:szCs w:val="26"/>
        </w:rPr>
        <w:t xml:space="preserve"> </w:t>
      </w:r>
      <w:r w:rsidR="00AB5831" w:rsidRPr="005551B1">
        <w:rPr>
          <w:sz w:val="26"/>
          <w:szCs w:val="26"/>
        </w:rPr>
        <w:t>4</w:t>
      </w:r>
      <w:r w:rsidR="007D32FE" w:rsidRPr="005551B1">
        <w:rPr>
          <w:sz w:val="26"/>
          <w:szCs w:val="26"/>
        </w:rPr>
        <w:t>.</w:t>
      </w:r>
      <w:r w:rsidR="00AB5831" w:rsidRPr="005551B1">
        <w:rPr>
          <w:sz w:val="26"/>
          <w:szCs w:val="26"/>
        </w:rPr>
        <w:t>33</w:t>
      </w:r>
      <w:r w:rsidRPr="005551B1">
        <w:rPr>
          <w:sz w:val="26"/>
          <w:szCs w:val="26"/>
        </w:rPr>
        <w:t xml:space="preserve">% compared to </w:t>
      </w:r>
      <w:r w:rsidR="00030F43" w:rsidRPr="005551B1">
        <w:rPr>
          <w:sz w:val="26"/>
          <w:szCs w:val="26"/>
        </w:rPr>
        <w:t>November</w:t>
      </w:r>
      <w:r w:rsidR="00D1192D" w:rsidRPr="005551B1">
        <w:rPr>
          <w:sz w:val="26"/>
          <w:szCs w:val="26"/>
        </w:rPr>
        <w:t xml:space="preserve"> </w:t>
      </w:r>
      <w:r w:rsidR="00BF4670" w:rsidRPr="005551B1">
        <w:rPr>
          <w:sz w:val="26"/>
          <w:szCs w:val="26"/>
        </w:rPr>
        <w:t>2024</w:t>
      </w:r>
      <w:r w:rsidRPr="005551B1">
        <w:rPr>
          <w:sz w:val="26"/>
          <w:szCs w:val="26"/>
        </w:rPr>
        <w:t>.</w:t>
      </w:r>
    </w:p>
    <w:p w:rsidR="003535CC" w:rsidRDefault="003535CC" w:rsidP="003535CC">
      <w:pPr>
        <w:pStyle w:val="BodyText2"/>
        <w:bidi w:val="0"/>
        <w:spacing w:after="0" w:line="240" w:lineRule="auto"/>
        <w:jc w:val="both"/>
        <w:rPr>
          <w:sz w:val="16"/>
          <w:szCs w:val="16"/>
        </w:rPr>
      </w:pPr>
    </w:p>
    <w:p w:rsidR="005551B1" w:rsidRDefault="005551B1" w:rsidP="005551B1">
      <w:pPr>
        <w:pStyle w:val="BodyText2"/>
        <w:bidi w:val="0"/>
        <w:spacing w:after="0" w:line="240" w:lineRule="auto"/>
        <w:jc w:val="both"/>
        <w:rPr>
          <w:sz w:val="16"/>
          <w:szCs w:val="16"/>
        </w:rPr>
      </w:pPr>
    </w:p>
    <w:p w:rsidR="005551B1" w:rsidRDefault="005551B1" w:rsidP="005551B1">
      <w:pPr>
        <w:pStyle w:val="BodyText2"/>
        <w:bidi w:val="0"/>
        <w:spacing w:after="0" w:line="240" w:lineRule="auto"/>
        <w:jc w:val="both"/>
        <w:rPr>
          <w:sz w:val="16"/>
          <w:szCs w:val="16"/>
        </w:rPr>
      </w:pPr>
    </w:p>
    <w:p w:rsidR="005551B1" w:rsidRDefault="005551B1" w:rsidP="005551B1">
      <w:pPr>
        <w:pStyle w:val="BodyText2"/>
        <w:bidi w:val="0"/>
        <w:spacing w:after="0" w:line="240" w:lineRule="auto"/>
        <w:jc w:val="both"/>
        <w:rPr>
          <w:sz w:val="16"/>
          <w:szCs w:val="16"/>
        </w:rPr>
      </w:pPr>
    </w:p>
    <w:p w:rsidR="005551B1" w:rsidRDefault="005551B1" w:rsidP="005551B1">
      <w:pPr>
        <w:pStyle w:val="BodyText2"/>
        <w:bidi w:val="0"/>
        <w:spacing w:after="0" w:line="240" w:lineRule="auto"/>
        <w:jc w:val="both"/>
        <w:rPr>
          <w:sz w:val="16"/>
          <w:szCs w:val="16"/>
        </w:rPr>
      </w:pPr>
    </w:p>
    <w:p w:rsidR="005551B1" w:rsidRDefault="005551B1" w:rsidP="005551B1">
      <w:pPr>
        <w:pStyle w:val="BodyText2"/>
        <w:bidi w:val="0"/>
        <w:spacing w:after="0" w:line="240" w:lineRule="auto"/>
        <w:jc w:val="both"/>
        <w:rPr>
          <w:sz w:val="16"/>
          <w:szCs w:val="16"/>
        </w:rPr>
      </w:pPr>
    </w:p>
    <w:p w:rsidR="00591152" w:rsidRDefault="00591152" w:rsidP="00D1192D">
      <w:pPr>
        <w:pStyle w:val="BodyText2"/>
        <w:bidi w:val="0"/>
        <w:spacing w:after="0" w:line="240" w:lineRule="auto"/>
        <w:jc w:val="both"/>
        <w:rPr>
          <w:sz w:val="26"/>
          <w:szCs w:val="26"/>
        </w:rPr>
      </w:pPr>
    </w:p>
    <w:p w:rsidR="00EA74CA" w:rsidRPr="005551B1" w:rsidRDefault="00EA74CA" w:rsidP="00591152">
      <w:pPr>
        <w:pStyle w:val="BodyText2"/>
        <w:bidi w:val="0"/>
        <w:spacing w:after="0" w:line="240" w:lineRule="auto"/>
        <w:jc w:val="both"/>
        <w:rPr>
          <w:sz w:val="26"/>
          <w:szCs w:val="26"/>
        </w:rPr>
      </w:pPr>
      <w:r w:rsidRPr="005551B1">
        <w:rPr>
          <w:sz w:val="26"/>
          <w:szCs w:val="26"/>
        </w:rPr>
        <w:t xml:space="preserve">The changes of PPI for </w:t>
      </w:r>
      <w:r w:rsidR="00030F43" w:rsidRPr="005551B1">
        <w:rPr>
          <w:sz w:val="26"/>
          <w:szCs w:val="26"/>
        </w:rPr>
        <w:t>December</w:t>
      </w:r>
      <w:r w:rsidR="00D1192D" w:rsidRPr="005551B1">
        <w:rPr>
          <w:sz w:val="26"/>
          <w:szCs w:val="26"/>
        </w:rPr>
        <w:t xml:space="preserve"> </w:t>
      </w:r>
      <w:r w:rsidR="0008412E" w:rsidRPr="005551B1">
        <w:rPr>
          <w:sz w:val="26"/>
          <w:szCs w:val="26"/>
        </w:rPr>
        <w:t>2024</w:t>
      </w:r>
      <w:r w:rsidRPr="005551B1">
        <w:rPr>
          <w:sz w:val="26"/>
          <w:szCs w:val="26"/>
        </w:rPr>
        <w:t xml:space="preserve"> were traced back to changes in prices of the following major activities compared to the previous month: </w:t>
      </w:r>
    </w:p>
    <w:p w:rsidR="00EA74CA" w:rsidRPr="003C5FBA" w:rsidRDefault="00EA74CA" w:rsidP="00EA74CA">
      <w:pPr>
        <w:pStyle w:val="BodyText2"/>
        <w:tabs>
          <w:tab w:val="right" w:pos="3544"/>
          <w:tab w:val="right" w:pos="3686"/>
        </w:tabs>
        <w:bidi w:val="0"/>
        <w:spacing w:after="0" w:line="240" w:lineRule="auto"/>
        <w:jc w:val="both"/>
        <w:rPr>
          <w:color w:val="000000"/>
          <w:sz w:val="8"/>
          <w:szCs w:val="8"/>
        </w:rPr>
      </w:pPr>
    </w:p>
    <w:tbl>
      <w:tblPr>
        <w:tblW w:w="5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2"/>
        <w:gridCol w:w="2449"/>
      </w:tblGrid>
      <w:tr w:rsidR="00EA74CA" w:rsidRPr="003C5FBA" w:rsidTr="005551B1">
        <w:trPr>
          <w:trHeight w:val="399"/>
          <w:jc w:val="center"/>
        </w:trPr>
        <w:tc>
          <w:tcPr>
            <w:tcW w:w="3342" w:type="dxa"/>
            <w:shd w:val="clear" w:color="auto" w:fill="auto"/>
            <w:vAlign w:val="center"/>
          </w:tcPr>
          <w:p w:rsidR="00EA74CA" w:rsidRPr="003C5FBA" w:rsidRDefault="00EA74CA" w:rsidP="00124954">
            <w:pPr>
              <w:pStyle w:val="BodyText2"/>
              <w:bidi w:val="0"/>
              <w:spacing w:after="0" w:line="240" w:lineRule="auto"/>
              <w:jc w:val="center"/>
            </w:pP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color w:val="000000"/>
              </w:rPr>
              <w:t>Major Activities</w:t>
            </w:r>
          </w:p>
        </w:tc>
        <w:tc>
          <w:tcPr>
            <w:tcW w:w="2449" w:type="dxa"/>
            <w:shd w:val="clear" w:color="auto" w:fill="auto"/>
            <w:vAlign w:val="center"/>
          </w:tcPr>
          <w:p w:rsidR="00EA74CA" w:rsidRPr="003C5FBA" w:rsidRDefault="004759F0" w:rsidP="004759F0">
            <w:pPr>
              <w:pStyle w:val="BodyText2"/>
              <w:bidi w:val="0"/>
              <w:spacing w:after="0" w:line="240" w:lineRule="auto"/>
              <w:ind w:right="-108"/>
              <w:jc w:val="center"/>
            </w:pPr>
            <w:r w:rsidRPr="003C5FBA">
              <w:rPr>
                <w:b/>
                <w:bCs/>
              </w:rPr>
              <w:t xml:space="preserve">    Percent</w:t>
            </w:r>
            <w:r w:rsidR="00EA74CA" w:rsidRPr="003C5FBA">
              <w:rPr>
                <w:b/>
                <w:bCs/>
              </w:rPr>
              <w:t xml:space="preserve"> Change</w:t>
            </w:r>
            <w:r w:rsidRPr="003C5FBA">
              <w:rPr>
                <w:b/>
                <w:bCs/>
              </w:rPr>
              <w:t xml:space="preserve"> %</w:t>
            </w:r>
          </w:p>
        </w:tc>
      </w:tr>
      <w:tr w:rsidR="00EA7619" w:rsidRPr="003C5FBA" w:rsidTr="005551B1">
        <w:trPr>
          <w:trHeight w:val="399"/>
          <w:jc w:val="center"/>
        </w:trPr>
        <w:tc>
          <w:tcPr>
            <w:tcW w:w="3342" w:type="dxa"/>
            <w:shd w:val="clear" w:color="auto" w:fill="auto"/>
            <w:vAlign w:val="center"/>
          </w:tcPr>
          <w:p w:rsidR="00EA7619" w:rsidRPr="003C5FBA" w:rsidRDefault="00EA7619" w:rsidP="00EA7619">
            <w:pPr>
              <w:pStyle w:val="BodyText2"/>
              <w:bidi w:val="0"/>
              <w:spacing w:after="0" w:line="240" w:lineRule="auto"/>
              <w:jc w:val="both"/>
            </w:pPr>
            <w:r w:rsidRPr="003C5FBA">
              <w:rPr>
                <w:color w:val="000000"/>
              </w:rPr>
              <w:t xml:space="preserve">Agriculture, forestry and fishing </w:t>
            </w:r>
          </w:p>
        </w:tc>
        <w:tc>
          <w:tcPr>
            <w:tcW w:w="2449" w:type="dxa"/>
            <w:shd w:val="clear" w:color="auto" w:fill="auto"/>
            <w:vAlign w:val="center"/>
          </w:tcPr>
          <w:p w:rsidR="00EA7619" w:rsidRPr="003C5FBA" w:rsidRDefault="00D1192D" w:rsidP="005551B1">
            <w:pPr>
              <w:pStyle w:val="BodyText2"/>
              <w:tabs>
                <w:tab w:val="right" w:pos="165"/>
              </w:tabs>
              <w:bidi w:val="0"/>
              <w:spacing w:after="0" w:line="240" w:lineRule="auto"/>
              <w:jc w:val="center"/>
            </w:pPr>
            <w:r>
              <w:t>-</w:t>
            </w:r>
            <w:r w:rsidR="00EA7619" w:rsidRPr="003C5FBA">
              <w:t xml:space="preserve"> </w:t>
            </w:r>
            <w:r w:rsidR="00AB5831">
              <w:t>10</w:t>
            </w:r>
            <w:r w:rsidR="007D32FE" w:rsidRPr="003C5FBA">
              <w:t>.</w:t>
            </w:r>
            <w:r w:rsidR="00AB5831">
              <w:t>62</w:t>
            </w:r>
            <w:r w:rsidR="00EA7619" w:rsidRPr="003C5FBA">
              <w:t>%</w:t>
            </w:r>
          </w:p>
        </w:tc>
      </w:tr>
      <w:tr w:rsidR="00AB5831" w:rsidRPr="003C5FBA" w:rsidTr="005551B1">
        <w:trPr>
          <w:trHeight w:val="399"/>
          <w:jc w:val="center"/>
        </w:trPr>
        <w:tc>
          <w:tcPr>
            <w:tcW w:w="3342" w:type="dxa"/>
            <w:shd w:val="clear" w:color="auto" w:fill="auto"/>
            <w:vAlign w:val="center"/>
          </w:tcPr>
          <w:p w:rsidR="00AB5831" w:rsidRPr="003C5FBA" w:rsidRDefault="00AB5831" w:rsidP="00AB5831">
            <w:pPr>
              <w:pStyle w:val="BodyText2"/>
              <w:bidi w:val="0"/>
              <w:spacing w:after="0" w:line="240" w:lineRule="auto"/>
              <w:jc w:val="both"/>
              <w:rPr>
                <w:rFonts w:hint="cs"/>
                <w:rtl/>
              </w:rPr>
            </w:pPr>
            <w:r w:rsidRPr="003C5FBA">
              <w:t>Electricity, gas, steam and air conditioning supply</w:t>
            </w:r>
          </w:p>
        </w:tc>
        <w:tc>
          <w:tcPr>
            <w:tcW w:w="2449" w:type="dxa"/>
            <w:shd w:val="clear" w:color="auto" w:fill="auto"/>
            <w:vAlign w:val="center"/>
          </w:tcPr>
          <w:p w:rsidR="00AB5831" w:rsidRPr="003C5FBA" w:rsidRDefault="00AB5831" w:rsidP="005551B1">
            <w:pPr>
              <w:pStyle w:val="BodyText2"/>
              <w:tabs>
                <w:tab w:val="right" w:pos="219"/>
                <w:tab w:val="right" w:pos="885"/>
              </w:tabs>
              <w:bidi w:val="0"/>
              <w:spacing w:after="0" w:line="240" w:lineRule="auto"/>
              <w:jc w:val="center"/>
            </w:pPr>
            <w:r>
              <w:t>- 3</w:t>
            </w:r>
            <w:r w:rsidRPr="003C5FBA">
              <w:t>.</w:t>
            </w:r>
            <w:r>
              <w:t>11</w:t>
            </w:r>
            <w:r w:rsidRPr="003C5FBA">
              <w:t>%</w:t>
            </w:r>
          </w:p>
        </w:tc>
      </w:tr>
      <w:tr w:rsidR="00D111C0" w:rsidRPr="003C5FBA" w:rsidTr="005551B1">
        <w:trPr>
          <w:trHeight w:val="399"/>
          <w:jc w:val="center"/>
        </w:trPr>
        <w:tc>
          <w:tcPr>
            <w:tcW w:w="3342" w:type="dxa"/>
            <w:shd w:val="clear" w:color="auto" w:fill="auto"/>
            <w:vAlign w:val="center"/>
          </w:tcPr>
          <w:p w:rsidR="00D111C0" w:rsidRPr="003C5FBA" w:rsidRDefault="00D111C0" w:rsidP="00D111C0">
            <w:pPr>
              <w:pStyle w:val="BodyText2"/>
              <w:bidi w:val="0"/>
              <w:spacing w:after="0" w:line="240" w:lineRule="auto"/>
              <w:jc w:val="both"/>
              <w:rPr>
                <w:sz w:val="2"/>
                <w:szCs w:val="2"/>
              </w:rPr>
            </w:pPr>
          </w:p>
          <w:p w:rsidR="00D111C0" w:rsidRPr="003C5FBA" w:rsidRDefault="00D111C0" w:rsidP="00D111C0">
            <w:pPr>
              <w:pStyle w:val="BodyText2"/>
              <w:bidi w:val="0"/>
              <w:spacing w:after="0" w:line="240" w:lineRule="auto"/>
              <w:jc w:val="both"/>
            </w:pPr>
            <w:r w:rsidRPr="003C5FBA">
              <w:t>Water supply; sewerage, waste management and remediation activities</w:t>
            </w:r>
          </w:p>
        </w:tc>
        <w:tc>
          <w:tcPr>
            <w:tcW w:w="2449" w:type="dxa"/>
            <w:shd w:val="clear" w:color="auto" w:fill="auto"/>
            <w:vAlign w:val="center"/>
          </w:tcPr>
          <w:p w:rsidR="00D111C0" w:rsidRPr="003C5FBA" w:rsidRDefault="00D1192D" w:rsidP="005551B1">
            <w:pPr>
              <w:pStyle w:val="BodyText2"/>
              <w:tabs>
                <w:tab w:val="right" w:pos="165"/>
              </w:tabs>
              <w:bidi w:val="0"/>
              <w:spacing w:after="0" w:line="240" w:lineRule="auto"/>
              <w:jc w:val="center"/>
            </w:pPr>
            <w:r>
              <w:t>-</w:t>
            </w:r>
            <w:r w:rsidR="00D111C0" w:rsidRPr="003C5FBA">
              <w:t xml:space="preserve"> </w:t>
            </w:r>
            <w:r w:rsidR="00AB5831">
              <w:t>0</w:t>
            </w:r>
            <w:r w:rsidR="00D111C0" w:rsidRPr="003C5FBA">
              <w:t>.</w:t>
            </w:r>
            <w:r w:rsidR="00AB5831">
              <w:t>46</w:t>
            </w:r>
            <w:r w:rsidR="00D111C0" w:rsidRPr="003C5FBA">
              <w:t>%</w:t>
            </w:r>
          </w:p>
        </w:tc>
      </w:tr>
      <w:tr w:rsidR="00B853F1" w:rsidRPr="003C5FBA" w:rsidTr="005551B1">
        <w:trPr>
          <w:trHeight w:val="399"/>
          <w:jc w:val="center"/>
        </w:trPr>
        <w:tc>
          <w:tcPr>
            <w:tcW w:w="3342" w:type="dxa"/>
            <w:shd w:val="clear" w:color="auto" w:fill="auto"/>
            <w:vAlign w:val="center"/>
          </w:tcPr>
          <w:p w:rsidR="00B853F1" w:rsidRPr="003C5FBA" w:rsidRDefault="00B853F1" w:rsidP="00B853F1">
            <w:pPr>
              <w:pStyle w:val="BodyText2"/>
              <w:bidi w:val="0"/>
              <w:spacing w:after="0" w:line="240" w:lineRule="auto"/>
              <w:jc w:val="both"/>
            </w:pPr>
            <w:r w:rsidRPr="003C5FBA">
              <w:rPr>
                <w:color w:val="000000"/>
              </w:rPr>
              <w:t>Mining and quarrying</w:t>
            </w:r>
          </w:p>
        </w:tc>
        <w:tc>
          <w:tcPr>
            <w:tcW w:w="2449" w:type="dxa"/>
            <w:shd w:val="clear" w:color="auto" w:fill="auto"/>
            <w:vAlign w:val="center"/>
          </w:tcPr>
          <w:p w:rsidR="00B853F1" w:rsidRPr="003C5FBA" w:rsidRDefault="00B853F1" w:rsidP="005551B1">
            <w:pPr>
              <w:pStyle w:val="BodyText2"/>
              <w:tabs>
                <w:tab w:val="right" w:pos="165"/>
              </w:tabs>
              <w:bidi w:val="0"/>
              <w:spacing w:after="0" w:line="240" w:lineRule="auto"/>
              <w:jc w:val="center"/>
            </w:pPr>
            <w:r w:rsidRPr="003C5FBA">
              <w:t>0.</w:t>
            </w:r>
            <w:r>
              <w:t>00</w:t>
            </w:r>
            <w:r w:rsidRPr="003C5FBA">
              <w:t>%</w:t>
            </w:r>
          </w:p>
        </w:tc>
      </w:tr>
      <w:tr w:rsidR="00B853F1" w:rsidRPr="003C5FBA" w:rsidTr="005551B1">
        <w:trPr>
          <w:trHeight w:val="399"/>
          <w:jc w:val="center"/>
        </w:trPr>
        <w:tc>
          <w:tcPr>
            <w:tcW w:w="3342" w:type="dxa"/>
            <w:shd w:val="clear" w:color="auto" w:fill="auto"/>
            <w:vAlign w:val="center"/>
          </w:tcPr>
          <w:p w:rsidR="00B853F1" w:rsidRPr="007E3F35" w:rsidRDefault="00B853F1" w:rsidP="00B853F1">
            <w:pPr>
              <w:pStyle w:val="BodyText2"/>
              <w:bidi w:val="0"/>
              <w:spacing w:after="0" w:line="240" w:lineRule="auto"/>
              <w:jc w:val="both"/>
              <w:rPr>
                <w:color w:val="000000"/>
              </w:rPr>
            </w:pPr>
            <w:r w:rsidRPr="007E3F35">
              <w:rPr>
                <w:color w:val="000000"/>
              </w:rPr>
              <w:t>Manufacturing</w:t>
            </w:r>
          </w:p>
        </w:tc>
        <w:tc>
          <w:tcPr>
            <w:tcW w:w="2449" w:type="dxa"/>
            <w:shd w:val="clear" w:color="auto" w:fill="auto"/>
            <w:vAlign w:val="center"/>
          </w:tcPr>
          <w:p w:rsidR="00B853F1" w:rsidRPr="007E3F35" w:rsidRDefault="00D1192D" w:rsidP="005551B1">
            <w:pPr>
              <w:pStyle w:val="BodyText2"/>
              <w:tabs>
                <w:tab w:val="right" w:pos="225"/>
                <w:tab w:val="right" w:pos="480"/>
                <w:tab w:val="right" w:pos="885"/>
              </w:tabs>
              <w:bidi w:val="0"/>
              <w:spacing w:after="0" w:line="240" w:lineRule="auto"/>
              <w:ind w:right="-108"/>
              <w:jc w:val="center"/>
            </w:pPr>
            <w:r w:rsidRPr="007E3F35">
              <w:t>+</w:t>
            </w:r>
            <w:r w:rsidR="00B853F1" w:rsidRPr="007E3F35">
              <w:t xml:space="preserve"> 0.</w:t>
            </w:r>
            <w:r w:rsidR="00AB5831" w:rsidRPr="007E3F35">
              <w:t>19</w:t>
            </w:r>
            <w:r w:rsidR="00B853F1" w:rsidRPr="007E3F35">
              <w:t>%</w:t>
            </w:r>
          </w:p>
        </w:tc>
      </w:tr>
    </w:tbl>
    <w:p w:rsidR="005551B1" w:rsidRPr="005551B1" w:rsidRDefault="005551B1" w:rsidP="000B4AFF">
      <w:pPr>
        <w:autoSpaceDE w:val="0"/>
        <w:autoSpaceDN w:val="0"/>
        <w:bidi w:val="0"/>
        <w:adjustRightInd w:val="0"/>
        <w:spacing w:line="276" w:lineRule="auto"/>
        <w:jc w:val="both"/>
        <w:rPr>
          <w:rFonts w:cs="Simplified Arabic"/>
          <w:snapToGrid w:val="0"/>
          <w:color w:val="000000"/>
          <w:sz w:val="16"/>
          <w:szCs w:val="16"/>
        </w:rPr>
      </w:pPr>
    </w:p>
    <w:p w:rsidR="000B4AFF" w:rsidRPr="005551B1" w:rsidRDefault="000B4AFF" w:rsidP="005551B1">
      <w:pPr>
        <w:autoSpaceDE w:val="0"/>
        <w:autoSpaceDN w:val="0"/>
        <w:bidi w:val="0"/>
        <w:adjustRightInd w:val="0"/>
        <w:spacing w:line="276" w:lineRule="auto"/>
        <w:jc w:val="both"/>
        <w:rPr>
          <w:rFonts w:cs="Simplified Arabic"/>
          <w:snapToGrid w:val="0"/>
          <w:color w:val="000000"/>
          <w:sz w:val="26"/>
          <w:szCs w:val="26"/>
        </w:rPr>
      </w:pPr>
      <w:r w:rsidRPr="005551B1">
        <w:rPr>
          <w:rFonts w:cs="Simplified Arabic"/>
          <w:snapToGrid w:val="0"/>
          <w:color w:val="000000"/>
          <w:sz w:val="26"/>
          <w:szCs w:val="26"/>
        </w:rPr>
        <w:t>The t</w:t>
      </w:r>
      <w:bookmarkStart w:id="0" w:name="_GoBack"/>
      <w:r w:rsidRPr="005551B1">
        <w:rPr>
          <w:rFonts w:cs="Simplified Arabic"/>
          <w:snapToGrid w:val="0"/>
          <w:color w:val="000000"/>
          <w:sz w:val="26"/>
          <w:szCs w:val="26"/>
        </w:rPr>
        <w:t>able shows monthly perc</w:t>
      </w:r>
      <w:bookmarkEnd w:id="0"/>
      <w:r w:rsidRPr="005551B1">
        <w:rPr>
          <w:rFonts w:cs="Simplified Arabic"/>
          <w:snapToGrid w:val="0"/>
          <w:color w:val="000000"/>
          <w:sz w:val="26"/>
          <w:szCs w:val="26"/>
        </w:rPr>
        <w:t xml:space="preserve">ent changes in Palestinian PPI for the months:                            January – </w:t>
      </w:r>
      <w:r w:rsidRPr="005551B1">
        <w:rPr>
          <w:sz w:val="26"/>
          <w:szCs w:val="26"/>
        </w:rPr>
        <w:t xml:space="preserve">December </w:t>
      </w:r>
      <w:r w:rsidR="00030F43" w:rsidRPr="005551B1">
        <w:rPr>
          <w:rFonts w:cs="Simplified Arabic"/>
          <w:snapToGrid w:val="0"/>
          <w:color w:val="000000"/>
          <w:sz w:val="26"/>
          <w:szCs w:val="26"/>
        </w:rPr>
        <w:t>2024</w:t>
      </w:r>
      <w:r w:rsidRPr="005551B1">
        <w:rPr>
          <w:rFonts w:cs="Simplified Arabic"/>
          <w:snapToGrid w:val="0"/>
          <w:color w:val="000000"/>
          <w:sz w:val="26"/>
          <w:szCs w:val="26"/>
        </w:rPr>
        <w:t>:</w:t>
      </w:r>
    </w:p>
    <w:p w:rsidR="000B4AFF" w:rsidRPr="009022DC" w:rsidRDefault="000B4AFF" w:rsidP="000B4AFF">
      <w:pPr>
        <w:autoSpaceDE w:val="0"/>
        <w:autoSpaceDN w:val="0"/>
        <w:bidi w:val="0"/>
        <w:adjustRightInd w:val="0"/>
        <w:spacing w:line="276" w:lineRule="auto"/>
        <w:jc w:val="both"/>
        <w:rPr>
          <w:rFonts w:cs="Simplified Arabic"/>
          <w:snapToGrid w:val="0"/>
          <w:color w:val="000000"/>
          <w:sz w:val="8"/>
          <w:szCs w:val="8"/>
        </w:rPr>
      </w:pPr>
    </w:p>
    <w:tbl>
      <w:tblPr>
        <w:tblW w:w="5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1326"/>
        <w:gridCol w:w="1326"/>
        <w:gridCol w:w="1326"/>
      </w:tblGrid>
      <w:tr w:rsidR="000B4AFF" w:rsidRPr="005551B1" w:rsidTr="005551B1">
        <w:trPr>
          <w:trHeight w:val="549"/>
          <w:tblHeader/>
          <w:jc w:val="center"/>
        </w:trPr>
        <w:tc>
          <w:tcPr>
            <w:tcW w:w="1474" w:type="dxa"/>
            <w:vAlign w:val="center"/>
          </w:tcPr>
          <w:p w:rsidR="000B4AFF" w:rsidRPr="005551B1" w:rsidRDefault="000B4AFF" w:rsidP="00664AE0">
            <w:pPr>
              <w:autoSpaceDE w:val="0"/>
              <w:autoSpaceDN w:val="0"/>
              <w:bidi w:val="0"/>
              <w:adjustRightInd w:val="0"/>
              <w:spacing w:line="276" w:lineRule="auto"/>
              <w:jc w:val="center"/>
              <w:rPr>
                <w:b/>
                <w:bCs/>
                <w:snapToGrid w:val="0"/>
                <w:color w:val="000000"/>
              </w:rPr>
            </w:pPr>
            <w:r w:rsidRPr="005551B1">
              <w:rPr>
                <w:b/>
                <w:bCs/>
                <w:snapToGrid w:val="0"/>
                <w:color w:val="000000"/>
              </w:rPr>
              <w:t>Month</w:t>
            </w:r>
          </w:p>
        </w:tc>
        <w:tc>
          <w:tcPr>
            <w:tcW w:w="1326" w:type="dxa"/>
          </w:tcPr>
          <w:p w:rsidR="000B4AFF" w:rsidRPr="005551B1" w:rsidRDefault="000B4AFF" w:rsidP="00664AE0">
            <w:pPr>
              <w:autoSpaceDE w:val="0"/>
              <w:autoSpaceDN w:val="0"/>
              <w:bidi w:val="0"/>
              <w:adjustRightInd w:val="0"/>
              <w:spacing w:line="276" w:lineRule="auto"/>
              <w:jc w:val="center"/>
              <w:rPr>
                <w:b/>
                <w:bCs/>
                <w:snapToGrid w:val="0"/>
                <w:color w:val="000000"/>
              </w:rPr>
            </w:pPr>
            <w:r w:rsidRPr="005551B1">
              <w:rPr>
                <w:b/>
                <w:bCs/>
                <w:snapToGrid w:val="0"/>
                <w:color w:val="000000"/>
              </w:rPr>
              <w:t>Local Products</w:t>
            </w:r>
          </w:p>
        </w:tc>
        <w:tc>
          <w:tcPr>
            <w:tcW w:w="1326" w:type="dxa"/>
          </w:tcPr>
          <w:p w:rsidR="000B4AFF" w:rsidRPr="005551B1" w:rsidRDefault="000B4AFF" w:rsidP="00664AE0">
            <w:pPr>
              <w:autoSpaceDE w:val="0"/>
              <w:autoSpaceDN w:val="0"/>
              <w:bidi w:val="0"/>
              <w:adjustRightInd w:val="0"/>
              <w:spacing w:line="276" w:lineRule="auto"/>
              <w:jc w:val="center"/>
              <w:rPr>
                <w:b/>
                <w:bCs/>
                <w:snapToGrid w:val="0"/>
                <w:color w:val="000000"/>
              </w:rPr>
            </w:pPr>
            <w:r w:rsidRPr="005551B1">
              <w:rPr>
                <w:b/>
                <w:bCs/>
                <w:snapToGrid w:val="0"/>
                <w:color w:val="000000"/>
              </w:rPr>
              <w:t>Exported Products</w:t>
            </w:r>
          </w:p>
        </w:tc>
        <w:tc>
          <w:tcPr>
            <w:tcW w:w="1326" w:type="dxa"/>
          </w:tcPr>
          <w:p w:rsidR="000B4AFF" w:rsidRPr="005551B1" w:rsidRDefault="000B4AFF" w:rsidP="00664AE0">
            <w:pPr>
              <w:autoSpaceDE w:val="0"/>
              <w:autoSpaceDN w:val="0"/>
              <w:bidi w:val="0"/>
              <w:adjustRightInd w:val="0"/>
              <w:spacing w:line="276" w:lineRule="auto"/>
              <w:jc w:val="center"/>
              <w:rPr>
                <w:b/>
                <w:bCs/>
                <w:snapToGrid w:val="0"/>
                <w:color w:val="000000"/>
              </w:rPr>
            </w:pPr>
            <w:r w:rsidRPr="005551B1">
              <w:rPr>
                <w:b/>
                <w:bCs/>
                <w:snapToGrid w:val="0"/>
                <w:color w:val="000000"/>
              </w:rPr>
              <w:t>All Products</w:t>
            </w:r>
          </w:p>
        </w:tc>
      </w:tr>
      <w:tr w:rsidR="00AB5831" w:rsidRPr="005551B1" w:rsidTr="005551B1">
        <w:trPr>
          <w:trHeight w:val="274"/>
          <w:tblHeader/>
          <w:jc w:val="center"/>
        </w:trPr>
        <w:tc>
          <w:tcPr>
            <w:tcW w:w="1474" w:type="dxa"/>
            <w:vAlign w:val="center"/>
          </w:tcPr>
          <w:p w:rsidR="00AB5831" w:rsidRPr="005551B1" w:rsidRDefault="00AB5831" w:rsidP="00AB5831">
            <w:pPr>
              <w:autoSpaceDE w:val="0"/>
              <w:autoSpaceDN w:val="0"/>
              <w:bidi w:val="0"/>
              <w:adjustRightInd w:val="0"/>
              <w:spacing w:line="276" w:lineRule="auto"/>
              <w:rPr>
                <w:snapToGrid w:val="0"/>
                <w:color w:val="000000"/>
              </w:rPr>
            </w:pPr>
            <w:r w:rsidRPr="005551B1">
              <w:rPr>
                <w:snapToGrid w:val="0"/>
                <w:color w:val="000000"/>
              </w:rPr>
              <w:t>January</w:t>
            </w:r>
          </w:p>
        </w:tc>
        <w:tc>
          <w:tcPr>
            <w:tcW w:w="1326" w:type="dxa"/>
            <w:shd w:val="clear" w:color="auto" w:fill="auto"/>
            <w:vAlign w:val="bottom"/>
          </w:tcPr>
          <w:p w:rsidR="00AB5831" w:rsidRPr="005551B1" w:rsidRDefault="00AB5831" w:rsidP="005551B1">
            <w:pPr>
              <w:bidi w:val="0"/>
              <w:jc w:val="center"/>
              <w:rPr>
                <w:color w:val="000000"/>
                <w:lang w:eastAsia="en-US"/>
              </w:rPr>
            </w:pPr>
            <w:r w:rsidRPr="005551B1">
              <w:rPr>
                <w:color w:val="000000"/>
              </w:rPr>
              <w:t>6.10</w:t>
            </w:r>
          </w:p>
        </w:tc>
        <w:tc>
          <w:tcPr>
            <w:tcW w:w="1326" w:type="dxa"/>
            <w:shd w:val="clear" w:color="auto" w:fill="auto"/>
            <w:vAlign w:val="bottom"/>
          </w:tcPr>
          <w:p w:rsidR="00AB5831" w:rsidRPr="005551B1" w:rsidRDefault="00AB5831" w:rsidP="005551B1">
            <w:pPr>
              <w:bidi w:val="0"/>
              <w:jc w:val="center"/>
              <w:rPr>
                <w:color w:val="000000"/>
              </w:rPr>
            </w:pPr>
            <w:r w:rsidRPr="005551B1">
              <w:rPr>
                <w:color w:val="000000"/>
              </w:rPr>
              <w:t>-0.82</w:t>
            </w:r>
          </w:p>
        </w:tc>
        <w:tc>
          <w:tcPr>
            <w:tcW w:w="1326" w:type="dxa"/>
            <w:shd w:val="clear" w:color="auto" w:fill="auto"/>
            <w:vAlign w:val="bottom"/>
          </w:tcPr>
          <w:p w:rsidR="00AB5831" w:rsidRPr="005551B1" w:rsidRDefault="00AB5831" w:rsidP="005551B1">
            <w:pPr>
              <w:bidi w:val="0"/>
              <w:jc w:val="center"/>
              <w:rPr>
                <w:color w:val="000000"/>
              </w:rPr>
            </w:pPr>
            <w:r w:rsidRPr="005551B1">
              <w:rPr>
                <w:color w:val="000000"/>
              </w:rPr>
              <w:t>5.51</w:t>
            </w:r>
          </w:p>
        </w:tc>
      </w:tr>
      <w:tr w:rsidR="00AB5831" w:rsidRPr="005551B1" w:rsidTr="005551B1">
        <w:trPr>
          <w:trHeight w:val="274"/>
          <w:tblHeader/>
          <w:jc w:val="center"/>
        </w:trPr>
        <w:tc>
          <w:tcPr>
            <w:tcW w:w="1474" w:type="dxa"/>
            <w:vAlign w:val="center"/>
          </w:tcPr>
          <w:p w:rsidR="00AB5831" w:rsidRPr="005551B1" w:rsidRDefault="00AB5831" w:rsidP="00AB5831">
            <w:pPr>
              <w:autoSpaceDE w:val="0"/>
              <w:autoSpaceDN w:val="0"/>
              <w:bidi w:val="0"/>
              <w:adjustRightInd w:val="0"/>
              <w:spacing w:line="276" w:lineRule="auto"/>
              <w:rPr>
                <w:snapToGrid w:val="0"/>
                <w:color w:val="000000"/>
              </w:rPr>
            </w:pPr>
            <w:r w:rsidRPr="005551B1">
              <w:rPr>
                <w:snapToGrid w:val="0"/>
                <w:color w:val="000000"/>
              </w:rPr>
              <w:t>February</w:t>
            </w:r>
          </w:p>
        </w:tc>
        <w:tc>
          <w:tcPr>
            <w:tcW w:w="1326" w:type="dxa"/>
            <w:shd w:val="clear" w:color="auto" w:fill="auto"/>
            <w:vAlign w:val="bottom"/>
          </w:tcPr>
          <w:p w:rsidR="00AB5831" w:rsidRPr="005551B1" w:rsidRDefault="00AB5831" w:rsidP="005551B1">
            <w:pPr>
              <w:bidi w:val="0"/>
              <w:jc w:val="center"/>
              <w:rPr>
                <w:color w:val="000000"/>
              </w:rPr>
            </w:pPr>
            <w:r w:rsidRPr="005551B1">
              <w:rPr>
                <w:color w:val="000000"/>
              </w:rPr>
              <w:t>4.21</w:t>
            </w:r>
          </w:p>
        </w:tc>
        <w:tc>
          <w:tcPr>
            <w:tcW w:w="1326" w:type="dxa"/>
            <w:shd w:val="clear" w:color="auto" w:fill="auto"/>
            <w:vAlign w:val="bottom"/>
          </w:tcPr>
          <w:p w:rsidR="00AB5831" w:rsidRPr="005551B1" w:rsidRDefault="00AB5831" w:rsidP="005551B1">
            <w:pPr>
              <w:bidi w:val="0"/>
              <w:jc w:val="center"/>
              <w:rPr>
                <w:color w:val="000000"/>
              </w:rPr>
            </w:pPr>
            <w:r w:rsidRPr="005551B1">
              <w:rPr>
                <w:color w:val="000000"/>
              </w:rPr>
              <w:t>1.23</w:t>
            </w:r>
          </w:p>
        </w:tc>
        <w:tc>
          <w:tcPr>
            <w:tcW w:w="1326" w:type="dxa"/>
            <w:shd w:val="clear" w:color="auto" w:fill="auto"/>
            <w:vAlign w:val="bottom"/>
          </w:tcPr>
          <w:p w:rsidR="00AB5831" w:rsidRPr="005551B1" w:rsidRDefault="00AB5831" w:rsidP="005551B1">
            <w:pPr>
              <w:bidi w:val="0"/>
              <w:jc w:val="center"/>
              <w:rPr>
                <w:color w:val="000000"/>
              </w:rPr>
            </w:pPr>
            <w:r w:rsidRPr="005551B1">
              <w:rPr>
                <w:color w:val="000000"/>
              </w:rPr>
              <w:t>3.97</w:t>
            </w:r>
          </w:p>
        </w:tc>
      </w:tr>
      <w:tr w:rsidR="00AB5831" w:rsidRPr="005551B1" w:rsidTr="005551B1">
        <w:trPr>
          <w:trHeight w:val="261"/>
          <w:tblHeader/>
          <w:jc w:val="center"/>
        </w:trPr>
        <w:tc>
          <w:tcPr>
            <w:tcW w:w="1474" w:type="dxa"/>
            <w:vAlign w:val="center"/>
          </w:tcPr>
          <w:p w:rsidR="00AB5831" w:rsidRPr="005551B1" w:rsidRDefault="00AB5831" w:rsidP="00AB5831">
            <w:pPr>
              <w:autoSpaceDE w:val="0"/>
              <w:autoSpaceDN w:val="0"/>
              <w:bidi w:val="0"/>
              <w:adjustRightInd w:val="0"/>
              <w:spacing w:line="276" w:lineRule="auto"/>
              <w:rPr>
                <w:snapToGrid w:val="0"/>
                <w:color w:val="000000"/>
              </w:rPr>
            </w:pPr>
            <w:r w:rsidRPr="005551B1">
              <w:rPr>
                <w:snapToGrid w:val="0"/>
                <w:color w:val="000000"/>
              </w:rPr>
              <w:t>March</w:t>
            </w:r>
          </w:p>
        </w:tc>
        <w:tc>
          <w:tcPr>
            <w:tcW w:w="1326" w:type="dxa"/>
            <w:shd w:val="clear" w:color="auto" w:fill="auto"/>
            <w:vAlign w:val="bottom"/>
          </w:tcPr>
          <w:p w:rsidR="00AB5831" w:rsidRPr="005551B1" w:rsidRDefault="00AB5831" w:rsidP="005551B1">
            <w:pPr>
              <w:bidi w:val="0"/>
              <w:jc w:val="center"/>
              <w:rPr>
                <w:color w:val="000000"/>
              </w:rPr>
            </w:pPr>
            <w:r w:rsidRPr="005551B1">
              <w:rPr>
                <w:color w:val="000000"/>
              </w:rPr>
              <w:t>5.39</w:t>
            </w:r>
          </w:p>
        </w:tc>
        <w:tc>
          <w:tcPr>
            <w:tcW w:w="1326" w:type="dxa"/>
            <w:shd w:val="clear" w:color="auto" w:fill="auto"/>
            <w:vAlign w:val="bottom"/>
          </w:tcPr>
          <w:p w:rsidR="00AB5831" w:rsidRPr="005551B1" w:rsidRDefault="00AB5831" w:rsidP="005551B1">
            <w:pPr>
              <w:bidi w:val="0"/>
              <w:jc w:val="center"/>
              <w:rPr>
                <w:color w:val="000000"/>
              </w:rPr>
            </w:pPr>
            <w:r w:rsidRPr="005551B1">
              <w:rPr>
                <w:color w:val="000000"/>
              </w:rPr>
              <w:t>0.43</w:t>
            </w:r>
          </w:p>
        </w:tc>
        <w:tc>
          <w:tcPr>
            <w:tcW w:w="1326" w:type="dxa"/>
            <w:shd w:val="clear" w:color="auto" w:fill="auto"/>
            <w:vAlign w:val="bottom"/>
          </w:tcPr>
          <w:p w:rsidR="00AB5831" w:rsidRPr="005551B1" w:rsidRDefault="00AB5831" w:rsidP="005551B1">
            <w:pPr>
              <w:bidi w:val="0"/>
              <w:jc w:val="center"/>
              <w:rPr>
                <w:color w:val="000000"/>
              </w:rPr>
            </w:pPr>
            <w:r w:rsidRPr="005551B1">
              <w:rPr>
                <w:color w:val="000000"/>
              </w:rPr>
              <w:t>5.00</w:t>
            </w:r>
          </w:p>
        </w:tc>
      </w:tr>
      <w:tr w:rsidR="00AB5831" w:rsidRPr="005551B1" w:rsidTr="005551B1">
        <w:trPr>
          <w:trHeight w:val="274"/>
          <w:tblHeader/>
          <w:jc w:val="center"/>
        </w:trPr>
        <w:tc>
          <w:tcPr>
            <w:tcW w:w="1474" w:type="dxa"/>
            <w:vAlign w:val="center"/>
          </w:tcPr>
          <w:p w:rsidR="00AB5831" w:rsidRPr="005551B1" w:rsidRDefault="00AB5831" w:rsidP="00AB5831">
            <w:pPr>
              <w:autoSpaceDE w:val="0"/>
              <w:autoSpaceDN w:val="0"/>
              <w:bidi w:val="0"/>
              <w:adjustRightInd w:val="0"/>
              <w:spacing w:line="276" w:lineRule="auto"/>
              <w:rPr>
                <w:snapToGrid w:val="0"/>
                <w:color w:val="000000"/>
              </w:rPr>
            </w:pPr>
            <w:r w:rsidRPr="005551B1">
              <w:rPr>
                <w:snapToGrid w:val="0"/>
                <w:color w:val="000000"/>
              </w:rPr>
              <w:t>April</w:t>
            </w:r>
          </w:p>
        </w:tc>
        <w:tc>
          <w:tcPr>
            <w:tcW w:w="1326" w:type="dxa"/>
            <w:shd w:val="clear" w:color="auto" w:fill="auto"/>
            <w:vAlign w:val="bottom"/>
          </w:tcPr>
          <w:p w:rsidR="00AB5831" w:rsidRPr="005551B1" w:rsidRDefault="00AB5831" w:rsidP="005551B1">
            <w:pPr>
              <w:bidi w:val="0"/>
              <w:jc w:val="center"/>
              <w:rPr>
                <w:color w:val="000000"/>
              </w:rPr>
            </w:pPr>
            <w:r w:rsidRPr="005551B1">
              <w:rPr>
                <w:color w:val="000000"/>
              </w:rPr>
              <w:t>-5.36</w:t>
            </w:r>
          </w:p>
        </w:tc>
        <w:tc>
          <w:tcPr>
            <w:tcW w:w="1326" w:type="dxa"/>
            <w:shd w:val="clear" w:color="auto" w:fill="auto"/>
            <w:vAlign w:val="bottom"/>
          </w:tcPr>
          <w:p w:rsidR="00AB5831" w:rsidRPr="005551B1" w:rsidRDefault="00AB5831" w:rsidP="005551B1">
            <w:pPr>
              <w:bidi w:val="0"/>
              <w:jc w:val="center"/>
              <w:rPr>
                <w:color w:val="000000"/>
              </w:rPr>
            </w:pPr>
            <w:r w:rsidRPr="005551B1">
              <w:rPr>
                <w:color w:val="000000"/>
              </w:rPr>
              <w:t>-1.15</w:t>
            </w:r>
          </w:p>
        </w:tc>
        <w:tc>
          <w:tcPr>
            <w:tcW w:w="1326" w:type="dxa"/>
            <w:shd w:val="clear" w:color="auto" w:fill="auto"/>
            <w:vAlign w:val="bottom"/>
          </w:tcPr>
          <w:p w:rsidR="00AB5831" w:rsidRPr="005551B1" w:rsidRDefault="00AB5831" w:rsidP="005551B1">
            <w:pPr>
              <w:bidi w:val="0"/>
              <w:jc w:val="center"/>
              <w:rPr>
                <w:color w:val="000000"/>
              </w:rPr>
            </w:pPr>
            <w:r w:rsidRPr="005551B1">
              <w:rPr>
                <w:color w:val="000000"/>
              </w:rPr>
              <w:t>-5.04</w:t>
            </w:r>
          </w:p>
        </w:tc>
      </w:tr>
      <w:tr w:rsidR="00AB5831" w:rsidRPr="005551B1" w:rsidTr="005551B1">
        <w:trPr>
          <w:trHeight w:val="274"/>
          <w:tblHeader/>
          <w:jc w:val="center"/>
        </w:trPr>
        <w:tc>
          <w:tcPr>
            <w:tcW w:w="1474" w:type="dxa"/>
            <w:vAlign w:val="center"/>
          </w:tcPr>
          <w:p w:rsidR="00AB5831" w:rsidRPr="005551B1" w:rsidRDefault="00AB5831" w:rsidP="00AB5831">
            <w:pPr>
              <w:autoSpaceDE w:val="0"/>
              <w:autoSpaceDN w:val="0"/>
              <w:bidi w:val="0"/>
              <w:adjustRightInd w:val="0"/>
              <w:spacing w:line="276" w:lineRule="auto"/>
              <w:rPr>
                <w:snapToGrid w:val="0"/>
                <w:color w:val="000000"/>
              </w:rPr>
            </w:pPr>
            <w:r w:rsidRPr="005551B1">
              <w:rPr>
                <w:snapToGrid w:val="0"/>
                <w:color w:val="000000"/>
              </w:rPr>
              <w:t>May</w:t>
            </w:r>
          </w:p>
        </w:tc>
        <w:tc>
          <w:tcPr>
            <w:tcW w:w="1326" w:type="dxa"/>
            <w:shd w:val="clear" w:color="auto" w:fill="auto"/>
            <w:vAlign w:val="bottom"/>
          </w:tcPr>
          <w:p w:rsidR="00AB5831" w:rsidRPr="005551B1" w:rsidRDefault="00AB5831" w:rsidP="005551B1">
            <w:pPr>
              <w:bidi w:val="0"/>
              <w:jc w:val="center"/>
              <w:rPr>
                <w:color w:val="000000"/>
              </w:rPr>
            </w:pPr>
            <w:r w:rsidRPr="005551B1">
              <w:rPr>
                <w:color w:val="000000"/>
              </w:rPr>
              <w:t>-3.41</w:t>
            </w:r>
          </w:p>
        </w:tc>
        <w:tc>
          <w:tcPr>
            <w:tcW w:w="1326" w:type="dxa"/>
            <w:shd w:val="clear" w:color="auto" w:fill="auto"/>
            <w:vAlign w:val="bottom"/>
          </w:tcPr>
          <w:p w:rsidR="00AB5831" w:rsidRPr="005551B1" w:rsidRDefault="00AB5831" w:rsidP="005551B1">
            <w:pPr>
              <w:bidi w:val="0"/>
              <w:jc w:val="center"/>
              <w:rPr>
                <w:color w:val="000000"/>
              </w:rPr>
            </w:pPr>
            <w:r w:rsidRPr="005551B1">
              <w:rPr>
                <w:color w:val="000000"/>
              </w:rPr>
              <w:t>-2.08</w:t>
            </w:r>
          </w:p>
        </w:tc>
        <w:tc>
          <w:tcPr>
            <w:tcW w:w="1326" w:type="dxa"/>
            <w:shd w:val="clear" w:color="auto" w:fill="auto"/>
            <w:vAlign w:val="bottom"/>
          </w:tcPr>
          <w:p w:rsidR="00AB5831" w:rsidRPr="005551B1" w:rsidRDefault="00AB5831" w:rsidP="005551B1">
            <w:pPr>
              <w:bidi w:val="0"/>
              <w:jc w:val="center"/>
              <w:rPr>
                <w:color w:val="000000"/>
              </w:rPr>
            </w:pPr>
            <w:r w:rsidRPr="005551B1">
              <w:rPr>
                <w:color w:val="000000"/>
              </w:rPr>
              <w:t>-3.30</w:t>
            </w:r>
          </w:p>
        </w:tc>
      </w:tr>
      <w:tr w:rsidR="00AB5831" w:rsidRPr="005551B1" w:rsidTr="005551B1">
        <w:trPr>
          <w:trHeight w:val="274"/>
          <w:tblHeader/>
          <w:jc w:val="center"/>
        </w:trPr>
        <w:tc>
          <w:tcPr>
            <w:tcW w:w="1474" w:type="dxa"/>
            <w:vAlign w:val="center"/>
          </w:tcPr>
          <w:p w:rsidR="00AB5831" w:rsidRPr="005551B1" w:rsidRDefault="00AB5831" w:rsidP="00AB5831">
            <w:pPr>
              <w:autoSpaceDE w:val="0"/>
              <w:autoSpaceDN w:val="0"/>
              <w:bidi w:val="0"/>
              <w:adjustRightInd w:val="0"/>
              <w:spacing w:line="276" w:lineRule="auto"/>
              <w:rPr>
                <w:snapToGrid w:val="0"/>
                <w:color w:val="000000"/>
              </w:rPr>
            </w:pPr>
            <w:r w:rsidRPr="005551B1">
              <w:rPr>
                <w:snapToGrid w:val="0"/>
                <w:color w:val="000000"/>
              </w:rPr>
              <w:t>June</w:t>
            </w:r>
          </w:p>
        </w:tc>
        <w:tc>
          <w:tcPr>
            <w:tcW w:w="1326" w:type="dxa"/>
            <w:shd w:val="clear" w:color="auto" w:fill="auto"/>
            <w:vAlign w:val="bottom"/>
          </w:tcPr>
          <w:p w:rsidR="00AB5831" w:rsidRPr="005551B1" w:rsidRDefault="00AB5831" w:rsidP="005551B1">
            <w:pPr>
              <w:bidi w:val="0"/>
              <w:jc w:val="center"/>
              <w:rPr>
                <w:color w:val="000000"/>
              </w:rPr>
            </w:pPr>
            <w:r w:rsidRPr="005551B1">
              <w:rPr>
                <w:color w:val="000000"/>
              </w:rPr>
              <w:t>-</w:t>
            </w:r>
            <w:r w:rsidR="009167A3" w:rsidRPr="005551B1">
              <w:rPr>
                <w:color w:val="000000"/>
              </w:rPr>
              <w:t>0</w:t>
            </w:r>
            <w:r w:rsidRPr="005551B1">
              <w:rPr>
                <w:color w:val="000000"/>
              </w:rPr>
              <w:t>.</w:t>
            </w:r>
            <w:r w:rsidR="009167A3" w:rsidRPr="005551B1">
              <w:rPr>
                <w:color w:val="000000"/>
              </w:rPr>
              <w:t>91</w:t>
            </w:r>
          </w:p>
        </w:tc>
        <w:tc>
          <w:tcPr>
            <w:tcW w:w="1326" w:type="dxa"/>
            <w:shd w:val="clear" w:color="auto" w:fill="auto"/>
            <w:vAlign w:val="bottom"/>
          </w:tcPr>
          <w:p w:rsidR="00AB5831" w:rsidRPr="005551B1" w:rsidRDefault="00AB5831" w:rsidP="005551B1">
            <w:pPr>
              <w:bidi w:val="0"/>
              <w:jc w:val="center"/>
              <w:rPr>
                <w:color w:val="000000"/>
              </w:rPr>
            </w:pPr>
            <w:r w:rsidRPr="005551B1">
              <w:rPr>
                <w:color w:val="000000"/>
              </w:rPr>
              <w:t>-0.39</w:t>
            </w:r>
          </w:p>
        </w:tc>
        <w:tc>
          <w:tcPr>
            <w:tcW w:w="1326" w:type="dxa"/>
            <w:shd w:val="clear" w:color="auto" w:fill="auto"/>
            <w:vAlign w:val="bottom"/>
          </w:tcPr>
          <w:p w:rsidR="00AB5831" w:rsidRPr="005551B1" w:rsidRDefault="00AB5831" w:rsidP="005551B1">
            <w:pPr>
              <w:bidi w:val="0"/>
              <w:jc w:val="center"/>
              <w:rPr>
                <w:color w:val="000000"/>
              </w:rPr>
            </w:pPr>
            <w:r w:rsidRPr="005551B1">
              <w:rPr>
                <w:color w:val="000000"/>
              </w:rPr>
              <w:t>-0.87</w:t>
            </w:r>
          </w:p>
        </w:tc>
      </w:tr>
      <w:tr w:rsidR="00AB5831" w:rsidRPr="005551B1" w:rsidTr="005551B1">
        <w:trPr>
          <w:trHeight w:val="274"/>
          <w:tblHeader/>
          <w:jc w:val="center"/>
        </w:trPr>
        <w:tc>
          <w:tcPr>
            <w:tcW w:w="1474" w:type="dxa"/>
            <w:vAlign w:val="center"/>
          </w:tcPr>
          <w:p w:rsidR="00AB5831" w:rsidRPr="005551B1" w:rsidRDefault="00AB5831" w:rsidP="00AB5831">
            <w:pPr>
              <w:autoSpaceDE w:val="0"/>
              <w:autoSpaceDN w:val="0"/>
              <w:bidi w:val="0"/>
              <w:adjustRightInd w:val="0"/>
              <w:spacing w:line="276" w:lineRule="auto"/>
              <w:rPr>
                <w:snapToGrid w:val="0"/>
                <w:color w:val="000000"/>
              </w:rPr>
            </w:pPr>
            <w:r w:rsidRPr="005551B1">
              <w:rPr>
                <w:snapToGrid w:val="0"/>
                <w:color w:val="000000"/>
              </w:rPr>
              <w:t>July</w:t>
            </w:r>
          </w:p>
        </w:tc>
        <w:tc>
          <w:tcPr>
            <w:tcW w:w="1326" w:type="dxa"/>
            <w:shd w:val="clear" w:color="auto" w:fill="auto"/>
            <w:vAlign w:val="bottom"/>
          </w:tcPr>
          <w:p w:rsidR="00AB5831" w:rsidRPr="005551B1" w:rsidRDefault="00AB5831" w:rsidP="005551B1">
            <w:pPr>
              <w:bidi w:val="0"/>
              <w:jc w:val="center"/>
              <w:rPr>
                <w:color w:val="000000"/>
              </w:rPr>
            </w:pPr>
            <w:r w:rsidRPr="005551B1">
              <w:rPr>
                <w:color w:val="000000"/>
              </w:rPr>
              <w:t>2.31</w:t>
            </w:r>
          </w:p>
        </w:tc>
        <w:tc>
          <w:tcPr>
            <w:tcW w:w="1326" w:type="dxa"/>
            <w:shd w:val="clear" w:color="auto" w:fill="auto"/>
            <w:vAlign w:val="bottom"/>
          </w:tcPr>
          <w:p w:rsidR="00AB5831" w:rsidRPr="005551B1" w:rsidRDefault="00AB5831" w:rsidP="005551B1">
            <w:pPr>
              <w:bidi w:val="0"/>
              <w:jc w:val="center"/>
              <w:rPr>
                <w:color w:val="000000"/>
              </w:rPr>
            </w:pPr>
            <w:r w:rsidRPr="005551B1">
              <w:rPr>
                <w:color w:val="000000"/>
              </w:rPr>
              <w:t>1.55</w:t>
            </w:r>
          </w:p>
        </w:tc>
        <w:tc>
          <w:tcPr>
            <w:tcW w:w="1326" w:type="dxa"/>
            <w:shd w:val="clear" w:color="auto" w:fill="auto"/>
            <w:vAlign w:val="bottom"/>
          </w:tcPr>
          <w:p w:rsidR="00AB5831" w:rsidRPr="005551B1" w:rsidRDefault="00AB5831" w:rsidP="005551B1">
            <w:pPr>
              <w:bidi w:val="0"/>
              <w:jc w:val="center"/>
              <w:rPr>
                <w:color w:val="000000"/>
              </w:rPr>
            </w:pPr>
            <w:r w:rsidRPr="005551B1">
              <w:rPr>
                <w:color w:val="000000"/>
              </w:rPr>
              <w:t>2.25</w:t>
            </w:r>
          </w:p>
        </w:tc>
      </w:tr>
      <w:tr w:rsidR="00AB5831" w:rsidRPr="005551B1" w:rsidTr="005551B1">
        <w:trPr>
          <w:trHeight w:val="274"/>
          <w:tblHeader/>
          <w:jc w:val="center"/>
        </w:trPr>
        <w:tc>
          <w:tcPr>
            <w:tcW w:w="1474" w:type="dxa"/>
            <w:vAlign w:val="center"/>
          </w:tcPr>
          <w:p w:rsidR="00AB5831" w:rsidRPr="005551B1" w:rsidRDefault="00AB5831" w:rsidP="00AB5831">
            <w:pPr>
              <w:autoSpaceDE w:val="0"/>
              <w:autoSpaceDN w:val="0"/>
              <w:bidi w:val="0"/>
              <w:adjustRightInd w:val="0"/>
              <w:spacing w:line="276" w:lineRule="auto"/>
              <w:rPr>
                <w:snapToGrid w:val="0"/>
                <w:color w:val="000000"/>
              </w:rPr>
            </w:pPr>
            <w:r w:rsidRPr="005551B1">
              <w:rPr>
                <w:snapToGrid w:val="0"/>
                <w:color w:val="000000"/>
              </w:rPr>
              <w:t>August</w:t>
            </w:r>
          </w:p>
        </w:tc>
        <w:tc>
          <w:tcPr>
            <w:tcW w:w="1326" w:type="dxa"/>
            <w:shd w:val="clear" w:color="auto" w:fill="auto"/>
            <w:vAlign w:val="bottom"/>
          </w:tcPr>
          <w:p w:rsidR="00AB5831" w:rsidRPr="005551B1" w:rsidRDefault="00AB5831" w:rsidP="005551B1">
            <w:pPr>
              <w:bidi w:val="0"/>
              <w:jc w:val="center"/>
              <w:rPr>
                <w:color w:val="000000"/>
              </w:rPr>
            </w:pPr>
            <w:r w:rsidRPr="005551B1">
              <w:rPr>
                <w:color w:val="000000"/>
              </w:rPr>
              <w:t>10.45</w:t>
            </w:r>
          </w:p>
        </w:tc>
        <w:tc>
          <w:tcPr>
            <w:tcW w:w="1326" w:type="dxa"/>
            <w:shd w:val="clear" w:color="auto" w:fill="auto"/>
            <w:vAlign w:val="bottom"/>
          </w:tcPr>
          <w:p w:rsidR="00AB5831" w:rsidRPr="005551B1" w:rsidRDefault="00AB5831" w:rsidP="005551B1">
            <w:pPr>
              <w:bidi w:val="0"/>
              <w:jc w:val="center"/>
              <w:rPr>
                <w:color w:val="000000"/>
              </w:rPr>
            </w:pPr>
            <w:r w:rsidRPr="005551B1">
              <w:rPr>
                <w:color w:val="000000"/>
              </w:rPr>
              <w:t>2.29</w:t>
            </w:r>
          </w:p>
        </w:tc>
        <w:tc>
          <w:tcPr>
            <w:tcW w:w="1326" w:type="dxa"/>
            <w:shd w:val="clear" w:color="auto" w:fill="auto"/>
            <w:vAlign w:val="bottom"/>
          </w:tcPr>
          <w:p w:rsidR="00AB5831" w:rsidRPr="005551B1" w:rsidRDefault="00AB5831" w:rsidP="005551B1">
            <w:pPr>
              <w:bidi w:val="0"/>
              <w:jc w:val="center"/>
              <w:rPr>
                <w:color w:val="000000"/>
              </w:rPr>
            </w:pPr>
            <w:r w:rsidRPr="005551B1">
              <w:rPr>
                <w:color w:val="000000"/>
              </w:rPr>
              <w:t>9.80</w:t>
            </w:r>
          </w:p>
        </w:tc>
      </w:tr>
      <w:tr w:rsidR="00AB5831" w:rsidRPr="005551B1" w:rsidTr="005551B1">
        <w:trPr>
          <w:trHeight w:val="261"/>
          <w:tblHeader/>
          <w:jc w:val="center"/>
        </w:trPr>
        <w:tc>
          <w:tcPr>
            <w:tcW w:w="1474" w:type="dxa"/>
            <w:vAlign w:val="center"/>
          </w:tcPr>
          <w:p w:rsidR="00AB5831" w:rsidRPr="005551B1" w:rsidRDefault="00AB5831" w:rsidP="00AB5831">
            <w:pPr>
              <w:autoSpaceDE w:val="0"/>
              <w:autoSpaceDN w:val="0"/>
              <w:bidi w:val="0"/>
              <w:adjustRightInd w:val="0"/>
              <w:spacing w:line="276" w:lineRule="auto"/>
              <w:rPr>
                <w:snapToGrid w:val="0"/>
                <w:color w:val="000000"/>
              </w:rPr>
            </w:pPr>
            <w:r w:rsidRPr="005551B1">
              <w:rPr>
                <w:snapToGrid w:val="0"/>
                <w:color w:val="000000"/>
              </w:rPr>
              <w:t>September</w:t>
            </w:r>
          </w:p>
        </w:tc>
        <w:tc>
          <w:tcPr>
            <w:tcW w:w="1326" w:type="dxa"/>
            <w:shd w:val="clear" w:color="auto" w:fill="auto"/>
            <w:vAlign w:val="bottom"/>
          </w:tcPr>
          <w:p w:rsidR="00AB5831" w:rsidRPr="005551B1" w:rsidRDefault="00AB5831" w:rsidP="005551B1">
            <w:pPr>
              <w:bidi w:val="0"/>
              <w:jc w:val="center"/>
              <w:rPr>
                <w:color w:val="000000"/>
              </w:rPr>
            </w:pPr>
            <w:r w:rsidRPr="005551B1">
              <w:rPr>
                <w:color w:val="000000"/>
              </w:rPr>
              <w:t>16.42</w:t>
            </w:r>
          </w:p>
        </w:tc>
        <w:tc>
          <w:tcPr>
            <w:tcW w:w="1326" w:type="dxa"/>
            <w:shd w:val="clear" w:color="auto" w:fill="auto"/>
            <w:vAlign w:val="bottom"/>
          </w:tcPr>
          <w:p w:rsidR="00AB5831" w:rsidRPr="005551B1" w:rsidRDefault="00AB5831" w:rsidP="005551B1">
            <w:pPr>
              <w:bidi w:val="0"/>
              <w:jc w:val="center"/>
              <w:rPr>
                <w:color w:val="000000"/>
              </w:rPr>
            </w:pPr>
            <w:r w:rsidRPr="005551B1">
              <w:rPr>
                <w:color w:val="000000"/>
              </w:rPr>
              <w:t>6.29</w:t>
            </w:r>
          </w:p>
        </w:tc>
        <w:tc>
          <w:tcPr>
            <w:tcW w:w="1326" w:type="dxa"/>
            <w:shd w:val="clear" w:color="auto" w:fill="auto"/>
            <w:vAlign w:val="bottom"/>
          </w:tcPr>
          <w:p w:rsidR="00AB5831" w:rsidRPr="005551B1" w:rsidRDefault="00AB5831" w:rsidP="005551B1">
            <w:pPr>
              <w:bidi w:val="0"/>
              <w:jc w:val="center"/>
              <w:rPr>
                <w:color w:val="000000"/>
              </w:rPr>
            </w:pPr>
            <w:r w:rsidRPr="005551B1">
              <w:rPr>
                <w:color w:val="000000"/>
              </w:rPr>
              <w:t>15.67</w:t>
            </w:r>
          </w:p>
        </w:tc>
      </w:tr>
      <w:tr w:rsidR="00AB5831" w:rsidRPr="005551B1" w:rsidTr="005551B1">
        <w:trPr>
          <w:trHeight w:val="274"/>
          <w:tblHeader/>
          <w:jc w:val="center"/>
        </w:trPr>
        <w:tc>
          <w:tcPr>
            <w:tcW w:w="1474" w:type="dxa"/>
            <w:vAlign w:val="center"/>
          </w:tcPr>
          <w:p w:rsidR="00AB5831" w:rsidRPr="005551B1" w:rsidRDefault="0049685C" w:rsidP="00AB5831">
            <w:pPr>
              <w:autoSpaceDE w:val="0"/>
              <w:autoSpaceDN w:val="0"/>
              <w:bidi w:val="0"/>
              <w:adjustRightInd w:val="0"/>
              <w:spacing w:line="276" w:lineRule="auto"/>
              <w:rPr>
                <w:snapToGrid w:val="0"/>
                <w:color w:val="000000"/>
              </w:rPr>
            </w:pPr>
            <w:r w:rsidRPr="005551B1">
              <w:rPr>
                <w:snapToGrid w:val="0"/>
                <w:color w:val="000000"/>
              </w:rPr>
              <w:t>October</w:t>
            </w:r>
          </w:p>
        </w:tc>
        <w:tc>
          <w:tcPr>
            <w:tcW w:w="1326" w:type="dxa"/>
            <w:shd w:val="clear" w:color="auto" w:fill="auto"/>
            <w:vAlign w:val="bottom"/>
          </w:tcPr>
          <w:p w:rsidR="00AB5831" w:rsidRPr="005551B1" w:rsidRDefault="00AB5831" w:rsidP="005551B1">
            <w:pPr>
              <w:bidi w:val="0"/>
              <w:jc w:val="center"/>
              <w:rPr>
                <w:color w:val="000000"/>
              </w:rPr>
            </w:pPr>
            <w:r w:rsidRPr="005551B1">
              <w:rPr>
                <w:color w:val="000000"/>
              </w:rPr>
              <w:t>2.80</w:t>
            </w:r>
          </w:p>
        </w:tc>
        <w:tc>
          <w:tcPr>
            <w:tcW w:w="1326" w:type="dxa"/>
            <w:shd w:val="clear" w:color="auto" w:fill="auto"/>
            <w:vAlign w:val="bottom"/>
          </w:tcPr>
          <w:p w:rsidR="00AB5831" w:rsidRPr="005551B1" w:rsidRDefault="00AB5831" w:rsidP="005551B1">
            <w:pPr>
              <w:bidi w:val="0"/>
              <w:jc w:val="center"/>
              <w:rPr>
                <w:color w:val="000000"/>
              </w:rPr>
            </w:pPr>
            <w:r w:rsidRPr="005551B1">
              <w:rPr>
                <w:color w:val="000000"/>
              </w:rPr>
              <w:t>3.60</w:t>
            </w:r>
          </w:p>
        </w:tc>
        <w:tc>
          <w:tcPr>
            <w:tcW w:w="1326" w:type="dxa"/>
            <w:shd w:val="clear" w:color="auto" w:fill="auto"/>
            <w:vAlign w:val="bottom"/>
          </w:tcPr>
          <w:p w:rsidR="00AB5831" w:rsidRPr="005551B1" w:rsidRDefault="00AB5831" w:rsidP="005551B1">
            <w:pPr>
              <w:bidi w:val="0"/>
              <w:jc w:val="center"/>
              <w:rPr>
                <w:color w:val="000000"/>
              </w:rPr>
            </w:pPr>
            <w:r w:rsidRPr="005551B1">
              <w:rPr>
                <w:color w:val="000000"/>
              </w:rPr>
              <w:t>2.85</w:t>
            </w:r>
          </w:p>
        </w:tc>
      </w:tr>
      <w:tr w:rsidR="0049685C" w:rsidRPr="005551B1" w:rsidTr="005551B1">
        <w:trPr>
          <w:trHeight w:val="274"/>
          <w:tblHeader/>
          <w:jc w:val="center"/>
        </w:trPr>
        <w:tc>
          <w:tcPr>
            <w:tcW w:w="1474" w:type="dxa"/>
            <w:vAlign w:val="center"/>
          </w:tcPr>
          <w:p w:rsidR="0049685C" w:rsidRPr="005551B1" w:rsidRDefault="0049685C" w:rsidP="0049685C">
            <w:pPr>
              <w:autoSpaceDE w:val="0"/>
              <w:autoSpaceDN w:val="0"/>
              <w:bidi w:val="0"/>
              <w:adjustRightInd w:val="0"/>
              <w:spacing w:line="276" w:lineRule="auto"/>
              <w:rPr>
                <w:snapToGrid w:val="0"/>
                <w:color w:val="000000"/>
              </w:rPr>
            </w:pPr>
            <w:r w:rsidRPr="005551B1">
              <w:rPr>
                <w:snapToGrid w:val="0"/>
                <w:color w:val="000000"/>
              </w:rPr>
              <w:t>November</w:t>
            </w:r>
          </w:p>
        </w:tc>
        <w:tc>
          <w:tcPr>
            <w:tcW w:w="1326" w:type="dxa"/>
            <w:shd w:val="clear" w:color="auto" w:fill="auto"/>
            <w:vAlign w:val="bottom"/>
          </w:tcPr>
          <w:p w:rsidR="0049685C" w:rsidRPr="005551B1" w:rsidRDefault="0049685C" w:rsidP="005551B1">
            <w:pPr>
              <w:bidi w:val="0"/>
              <w:jc w:val="center"/>
              <w:rPr>
                <w:color w:val="000000"/>
              </w:rPr>
            </w:pPr>
            <w:r w:rsidRPr="005551B1">
              <w:rPr>
                <w:color w:val="000000"/>
              </w:rPr>
              <w:t>-1.16</w:t>
            </w:r>
          </w:p>
        </w:tc>
        <w:tc>
          <w:tcPr>
            <w:tcW w:w="1326" w:type="dxa"/>
            <w:shd w:val="clear" w:color="auto" w:fill="auto"/>
            <w:vAlign w:val="bottom"/>
          </w:tcPr>
          <w:p w:rsidR="0049685C" w:rsidRPr="005551B1" w:rsidRDefault="0049685C" w:rsidP="005551B1">
            <w:pPr>
              <w:bidi w:val="0"/>
              <w:jc w:val="center"/>
              <w:rPr>
                <w:color w:val="000000"/>
              </w:rPr>
            </w:pPr>
            <w:r w:rsidRPr="005551B1">
              <w:rPr>
                <w:color w:val="000000"/>
              </w:rPr>
              <w:t>-0.22</w:t>
            </w:r>
          </w:p>
        </w:tc>
        <w:tc>
          <w:tcPr>
            <w:tcW w:w="1326" w:type="dxa"/>
            <w:shd w:val="clear" w:color="auto" w:fill="auto"/>
            <w:vAlign w:val="bottom"/>
          </w:tcPr>
          <w:p w:rsidR="0049685C" w:rsidRPr="005551B1" w:rsidRDefault="0049685C" w:rsidP="005551B1">
            <w:pPr>
              <w:bidi w:val="0"/>
              <w:jc w:val="center"/>
              <w:rPr>
                <w:color w:val="000000"/>
              </w:rPr>
            </w:pPr>
            <w:r w:rsidRPr="005551B1">
              <w:rPr>
                <w:color w:val="000000"/>
              </w:rPr>
              <w:t>-1.10</w:t>
            </w:r>
          </w:p>
        </w:tc>
      </w:tr>
      <w:tr w:rsidR="0049685C" w:rsidRPr="005551B1" w:rsidTr="005551B1">
        <w:trPr>
          <w:trHeight w:val="274"/>
          <w:tblHeader/>
          <w:jc w:val="center"/>
        </w:trPr>
        <w:tc>
          <w:tcPr>
            <w:tcW w:w="1474" w:type="dxa"/>
            <w:vAlign w:val="center"/>
          </w:tcPr>
          <w:p w:rsidR="0049685C" w:rsidRPr="005551B1" w:rsidRDefault="0049685C" w:rsidP="0049685C">
            <w:pPr>
              <w:autoSpaceDE w:val="0"/>
              <w:autoSpaceDN w:val="0"/>
              <w:bidi w:val="0"/>
              <w:adjustRightInd w:val="0"/>
              <w:spacing w:line="276" w:lineRule="auto"/>
              <w:rPr>
                <w:snapToGrid w:val="0"/>
                <w:color w:val="000000"/>
              </w:rPr>
            </w:pPr>
            <w:r w:rsidRPr="005551B1">
              <w:rPr>
                <w:snapToGrid w:val="0"/>
                <w:color w:val="000000"/>
              </w:rPr>
              <w:t>December</w:t>
            </w:r>
          </w:p>
        </w:tc>
        <w:tc>
          <w:tcPr>
            <w:tcW w:w="1326" w:type="dxa"/>
            <w:shd w:val="clear" w:color="auto" w:fill="auto"/>
            <w:vAlign w:val="bottom"/>
          </w:tcPr>
          <w:p w:rsidR="0049685C" w:rsidRPr="005551B1" w:rsidRDefault="0049685C" w:rsidP="005551B1">
            <w:pPr>
              <w:bidi w:val="0"/>
              <w:jc w:val="center"/>
              <w:rPr>
                <w:color w:val="000000"/>
              </w:rPr>
            </w:pPr>
            <w:r w:rsidRPr="005551B1">
              <w:rPr>
                <w:color w:val="000000"/>
              </w:rPr>
              <w:t>-5.87</w:t>
            </w:r>
          </w:p>
        </w:tc>
        <w:tc>
          <w:tcPr>
            <w:tcW w:w="1326" w:type="dxa"/>
            <w:shd w:val="clear" w:color="auto" w:fill="auto"/>
            <w:vAlign w:val="bottom"/>
          </w:tcPr>
          <w:p w:rsidR="0049685C" w:rsidRPr="005551B1" w:rsidRDefault="0049685C" w:rsidP="005551B1">
            <w:pPr>
              <w:bidi w:val="0"/>
              <w:jc w:val="center"/>
              <w:rPr>
                <w:color w:val="000000"/>
              </w:rPr>
            </w:pPr>
            <w:r w:rsidRPr="005551B1">
              <w:rPr>
                <w:color w:val="000000"/>
              </w:rPr>
              <w:t>-4.33</w:t>
            </w:r>
          </w:p>
        </w:tc>
        <w:tc>
          <w:tcPr>
            <w:tcW w:w="1326" w:type="dxa"/>
            <w:shd w:val="clear" w:color="auto" w:fill="auto"/>
            <w:vAlign w:val="bottom"/>
          </w:tcPr>
          <w:p w:rsidR="0049685C" w:rsidRPr="005551B1" w:rsidRDefault="0049685C" w:rsidP="005551B1">
            <w:pPr>
              <w:bidi w:val="0"/>
              <w:jc w:val="center"/>
              <w:rPr>
                <w:color w:val="000000"/>
              </w:rPr>
            </w:pPr>
            <w:r w:rsidRPr="005551B1">
              <w:rPr>
                <w:color w:val="000000"/>
              </w:rPr>
              <w:t>-5.77</w:t>
            </w:r>
          </w:p>
        </w:tc>
      </w:tr>
      <w:tr w:rsidR="00AB5831" w:rsidRPr="005551B1" w:rsidTr="005551B1">
        <w:trPr>
          <w:trHeight w:val="549"/>
          <w:tblHeader/>
          <w:jc w:val="center"/>
        </w:trPr>
        <w:tc>
          <w:tcPr>
            <w:tcW w:w="1474" w:type="dxa"/>
            <w:vAlign w:val="center"/>
          </w:tcPr>
          <w:p w:rsidR="00AB5831" w:rsidRPr="005551B1" w:rsidRDefault="00AB5831" w:rsidP="00AB5831">
            <w:pPr>
              <w:autoSpaceDE w:val="0"/>
              <w:autoSpaceDN w:val="0"/>
              <w:bidi w:val="0"/>
              <w:adjustRightInd w:val="0"/>
              <w:spacing w:line="276" w:lineRule="auto"/>
              <w:rPr>
                <w:b/>
                <w:bCs/>
                <w:snapToGrid w:val="0"/>
                <w:color w:val="000000"/>
              </w:rPr>
            </w:pPr>
            <w:r w:rsidRPr="005551B1">
              <w:rPr>
                <w:b/>
                <w:bCs/>
                <w:snapToGrid w:val="0"/>
                <w:color w:val="000000"/>
              </w:rPr>
              <w:t>2024 Com. 2023</w:t>
            </w:r>
          </w:p>
        </w:tc>
        <w:tc>
          <w:tcPr>
            <w:tcW w:w="1326" w:type="dxa"/>
            <w:vAlign w:val="center"/>
          </w:tcPr>
          <w:p w:rsidR="00AB5831" w:rsidRPr="005551B1" w:rsidRDefault="00AB5831" w:rsidP="005551B1">
            <w:pPr>
              <w:pStyle w:val="Header"/>
              <w:ind w:right="-180"/>
              <w:jc w:val="center"/>
              <w:rPr>
                <w:rFonts w:cs="Times New Roman"/>
                <w:b/>
                <w:bCs/>
                <w:snapToGrid/>
                <w:color w:val="000000"/>
                <w:sz w:val="24"/>
                <w:szCs w:val="24"/>
                <w:rtl/>
                <w:lang w:eastAsia="ar-SA"/>
              </w:rPr>
            </w:pPr>
            <w:r w:rsidRPr="005551B1">
              <w:rPr>
                <w:rFonts w:cs="Times New Roman"/>
                <w:b/>
                <w:bCs/>
                <w:snapToGrid/>
                <w:color w:val="000000"/>
                <w:sz w:val="24"/>
                <w:szCs w:val="24"/>
                <w:rtl/>
                <w:lang w:eastAsia="ar-SA"/>
              </w:rPr>
              <w:t>38.55</w:t>
            </w:r>
          </w:p>
        </w:tc>
        <w:tc>
          <w:tcPr>
            <w:tcW w:w="1326" w:type="dxa"/>
            <w:vAlign w:val="center"/>
          </w:tcPr>
          <w:p w:rsidR="00AB5831" w:rsidRPr="005551B1" w:rsidRDefault="00AB5831" w:rsidP="005551B1">
            <w:pPr>
              <w:pStyle w:val="Header"/>
              <w:ind w:right="-180"/>
              <w:jc w:val="center"/>
              <w:rPr>
                <w:rFonts w:cs="Times New Roman"/>
                <w:b/>
                <w:bCs/>
                <w:snapToGrid/>
                <w:color w:val="000000"/>
                <w:sz w:val="24"/>
                <w:szCs w:val="24"/>
                <w:rtl/>
                <w:lang w:eastAsia="ar-SA"/>
              </w:rPr>
            </w:pPr>
            <w:r w:rsidRPr="005551B1">
              <w:rPr>
                <w:rFonts w:cs="Times New Roman"/>
                <w:b/>
                <w:bCs/>
                <w:snapToGrid/>
                <w:color w:val="000000"/>
                <w:sz w:val="24"/>
                <w:szCs w:val="24"/>
                <w:rtl/>
                <w:lang w:eastAsia="ar-SA"/>
              </w:rPr>
              <w:t>5.69</w:t>
            </w:r>
          </w:p>
        </w:tc>
        <w:tc>
          <w:tcPr>
            <w:tcW w:w="1326" w:type="dxa"/>
            <w:vAlign w:val="center"/>
          </w:tcPr>
          <w:p w:rsidR="00AB5831" w:rsidRPr="005551B1" w:rsidRDefault="00AB5831" w:rsidP="005551B1">
            <w:pPr>
              <w:pStyle w:val="Header"/>
              <w:ind w:right="-180"/>
              <w:jc w:val="center"/>
              <w:rPr>
                <w:rFonts w:cs="Times New Roman"/>
                <w:b/>
                <w:bCs/>
                <w:snapToGrid/>
                <w:color w:val="000000"/>
                <w:sz w:val="24"/>
                <w:szCs w:val="24"/>
                <w:rtl/>
                <w:lang w:eastAsia="ar-SA"/>
              </w:rPr>
            </w:pPr>
            <w:r w:rsidRPr="005551B1">
              <w:rPr>
                <w:rFonts w:cs="Times New Roman"/>
                <w:b/>
                <w:bCs/>
                <w:snapToGrid/>
                <w:color w:val="000000"/>
                <w:sz w:val="24"/>
                <w:szCs w:val="24"/>
                <w:rtl/>
                <w:lang w:eastAsia="ar-SA"/>
              </w:rPr>
              <w:t>35.42</w:t>
            </w:r>
          </w:p>
        </w:tc>
      </w:tr>
    </w:tbl>
    <w:p w:rsidR="000B4AFF" w:rsidRPr="00591152" w:rsidRDefault="000B4AFF" w:rsidP="00591152">
      <w:pPr>
        <w:bidi w:val="0"/>
        <w:spacing w:line="276" w:lineRule="auto"/>
        <w:jc w:val="center"/>
        <w:rPr>
          <w:b/>
          <w:bCs/>
          <w:sz w:val="8"/>
          <w:szCs w:val="8"/>
        </w:rPr>
      </w:pPr>
    </w:p>
    <w:p w:rsidR="005551B1" w:rsidRDefault="000B4AFF" w:rsidP="000B4AFF">
      <w:pPr>
        <w:bidi w:val="0"/>
        <w:spacing w:line="276" w:lineRule="auto"/>
        <w:jc w:val="center"/>
        <w:rPr>
          <w:b/>
          <w:bCs/>
          <w:sz w:val="28"/>
          <w:szCs w:val="28"/>
        </w:rPr>
      </w:pPr>
      <w:r w:rsidRPr="005551B1">
        <w:rPr>
          <w:b/>
          <w:bCs/>
          <w:sz w:val="28"/>
          <w:szCs w:val="28"/>
        </w:rPr>
        <w:t>The trend line of the PPI in Palestine, for the months:</w:t>
      </w:r>
    </w:p>
    <w:p w:rsidR="000B4AFF" w:rsidRPr="005551B1" w:rsidRDefault="000B4AFF" w:rsidP="005551B1">
      <w:pPr>
        <w:bidi w:val="0"/>
        <w:spacing w:line="276" w:lineRule="auto"/>
        <w:jc w:val="center"/>
        <w:rPr>
          <w:b/>
          <w:bCs/>
          <w:sz w:val="28"/>
          <w:szCs w:val="28"/>
        </w:rPr>
      </w:pPr>
      <w:r w:rsidRPr="005551B1">
        <w:rPr>
          <w:b/>
          <w:bCs/>
          <w:sz w:val="28"/>
          <w:szCs w:val="28"/>
        </w:rPr>
        <w:t xml:space="preserve"> January -</w:t>
      </w:r>
      <w:r w:rsidRPr="005551B1">
        <w:rPr>
          <w:b/>
          <w:bCs/>
          <w:color w:val="000000"/>
          <w:sz w:val="28"/>
          <w:szCs w:val="28"/>
        </w:rPr>
        <w:t xml:space="preserve"> Dec</w:t>
      </w:r>
      <w:r w:rsidRPr="005551B1">
        <w:rPr>
          <w:b/>
          <w:bCs/>
          <w:sz w:val="28"/>
          <w:szCs w:val="28"/>
        </w:rPr>
        <w:t xml:space="preserve">ember </w:t>
      </w:r>
      <w:r w:rsidR="00030F43" w:rsidRPr="005551B1">
        <w:rPr>
          <w:b/>
          <w:bCs/>
          <w:color w:val="000000"/>
          <w:sz w:val="28"/>
          <w:szCs w:val="28"/>
        </w:rPr>
        <w:t>2024</w:t>
      </w:r>
      <w:r w:rsidR="005551B1">
        <w:rPr>
          <w:b/>
          <w:bCs/>
          <w:sz w:val="28"/>
          <w:szCs w:val="28"/>
        </w:rPr>
        <w:t xml:space="preserve"> </w:t>
      </w:r>
      <w:r w:rsidRPr="005551B1">
        <w:rPr>
          <w:b/>
          <w:bCs/>
          <w:sz w:val="28"/>
          <w:szCs w:val="28"/>
        </w:rPr>
        <w:t>(Base Year 2019 = 100)</w:t>
      </w:r>
    </w:p>
    <w:p w:rsidR="000B4AFF" w:rsidRPr="005551B1" w:rsidRDefault="000B4AFF" w:rsidP="000B4AFF">
      <w:pPr>
        <w:bidi w:val="0"/>
        <w:spacing w:line="276" w:lineRule="auto"/>
        <w:ind w:left="4111" w:hanging="4111"/>
        <w:rPr>
          <w:b/>
          <w:bCs/>
          <w:sz w:val="2"/>
          <w:szCs w:val="2"/>
        </w:rPr>
      </w:pPr>
    </w:p>
    <w:p w:rsidR="000B4AFF" w:rsidRPr="00AC15DE" w:rsidRDefault="00B062EE" w:rsidP="005551B1">
      <w:pPr>
        <w:pStyle w:val="BodyText2"/>
        <w:bidi w:val="0"/>
        <w:spacing w:after="0" w:line="240" w:lineRule="auto"/>
        <w:jc w:val="center"/>
        <w:rPr>
          <w:sz w:val="20"/>
          <w:szCs w:val="20"/>
        </w:rPr>
      </w:pPr>
      <w:r>
        <w:rPr>
          <w:noProof/>
          <w:lang w:val="en-GB" w:eastAsia="en-GB"/>
        </w:rPr>
        <w:drawing>
          <wp:inline distT="0" distB="0" distL="0" distR="0">
            <wp:extent cx="3390900" cy="2095500"/>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91152" w:rsidRDefault="00591152" w:rsidP="008A77E1">
      <w:pPr>
        <w:pStyle w:val="NormalWeb"/>
        <w:spacing w:after="0"/>
        <w:rPr>
          <w:b/>
          <w:bCs/>
        </w:rPr>
      </w:pPr>
    </w:p>
    <w:p w:rsidR="00EA74CA" w:rsidRPr="005551B1" w:rsidRDefault="00EA74CA" w:rsidP="008A77E1">
      <w:pPr>
        <w:pStyle w:val="NormalWeb"/>
        <w:spacing w:after="0"/>
        <w:rPr>
          <w:b/>
          <w:bCs/>
        </w:rPr>
      </w:pPr>
      <w:r w:rsidRPr="005551B1">
        <w:rPr>
          <w:b/>
          <w:bCs/>
        </w:rPr>
        <w:t>Notice for Users:</w:t>
      </w:r>
    </w:p>
    <w:p w:rsidR="00EA74CA" w:rsidRPr="003C5FBA" w:rsidRDefault="00464086" w:rsidP="00B26413">
      <w:pPr>
        <w:numPr>
          <w:ilvl w:val="0"/>
          <w:numId w:val="13"/>
        </w:numPr>
        <w:bidi w:val="0"/>
        <w:spacing w:before="100" w:beforeAutospacing="1"/>
        <w:ind w:left="284" w:hanging="284"/>
        <w:jc w:val="both"/>
        <w:rPr>
          <w:sz w:val="22"/>
          <w:szCs w:val="22"/>
          <w:lang w:eastAsia="en-US"/>
        </w:rPr>
      </w:pPr>
      <w:r w:rsidRPr="003C5FBA">
        <w:rPr>
          <w:sz w:val="22"/>
          <w:szCs w:val="22"/>
          <w:lang w:eastAsia="en-US"/>
        </w:rPr>
        <w:t>The data collection process for agricultural commodities, which was collected in the same reference month,</w:t>
      </w:r>
      <w:r w:rsidR="004A7494" w:rsidRPr="003C5FBA">
        <w:rPr>
          <w:sz w:val="22"/>
          <w:szCs w:val="22"/>
          <w:lang w:eastAsia="en-US"/>
        </w:rPr>
        <w:t xml:space="preserve"> was complete for the West Bank.</w:t>
      </w:r>
      <w:r w:rsidRPr="003C5FBA">
        <w:rPr>
          <w:sz w:val="22"/>
          <w:szCs w:val="22"/>
          <w:lang w:eastAsia="en-US"/>
        </w:rPr>
        <w:t xml:space="preserve"> Due to the Israeli occupation aggression against Gaza Strip since </w:t>
      </w:r>
      <w:r w:rsidR="009167A3">
        <w:rPr>
          <w:sz w:val="22"/>
          <w:szCs w:val="22"/>
          <w:lang w:eastAsia="en-US"/>
        </w:rPr>
        <w:t>October</w:t>
      </w:r>
      <w:r w:rsidRPr="003C5FBA">
        <w:rPr>
          <w:sz w:val="22"/>
          <w:szCs w:val="22"/>
          <w:lang w:eastAsia="en-US"/>
        </w:rPr>
        <w:t xml:space="preserve"> 7th, </w:t>
      </w:r>
      <w:r w:rsidR="00B26413">
        <w:rPr>
          <w:sz w:val="22"/>
          <w:szCs w:val="22"/>
          <w:lang w:eastAsia="en-US"/>
        </w:rPr>
        <w:t>2023</w:t>
      </w:r>
      <w:r w:rsidRPr="003C5FBA">
        <w:rPr>
          <w:sz w:val="22"/>
          <w:szCs w:val="22"/>
          <w:lang w:eastAsia="en-US"/>
        </w:rPr>
        <w:t xml:space="preserve">, the data for </w:t>
      </w:r>
      <w:r w:rsidR="00030F43">
        <w:rPr>
          <w:sz w:val="22"/>
          <w:szCs w:val="22"/>
          <w:lang w:eastAsia="en-US"/>
        </w:rPr>
        <w:t>December</w:t>
      </w:r>
      <w:r w:rsidRPr="003C5FBA">
        <w:rPr>
          <w:sz w:val="22"/>
          <w:szCs w:val="22"/>
          <w:lang w:eastAsia="en-US"/>
        </w:rPr>
        <w:t xml:space="preserve"> 2024, were collected through direct phone contact with PCBS fieldworkers working in Gaza Strip focusing on high relative importance within the main major groups in the </w:t>
      </w:r>
      <w:r w:rsidR="000E4BDB" w:rsidRPr="003C5FBA">
        <w:rPr>
          <w:sz w:val="22"/>
          <w:szCs w:val="22"/>
          <w:lang w:eastAsia="en-US"/>
        </w:rPr>
        <w:t>producer</w:t>
      </w:r>
      <w:r w:rsidRPr="003C5FBA">
        <w:rPr>
          <w:sz w:val="22"/>
          <w:szCs w:val="22"/>
          <w:lang w:eastAsia="en-US"/>
        </w:rPr>
        <w:t xml:space="preserve"> price index.</w:t>
      </w:r>
    </w:p>
    <w:p w:rsidR="00646670" w:rsidRPr="003C5FBA" w:rsidRDefault="00B9567D" w:rsidP="00B26413">
      <w:pPr>
        <w:numPr>
          <w:ilvl w:val="0"/>
          <w:numId w:val="13"/>
        </w:numPr>
        <w:bidi w:val="0"/>
        <w:spacing w:before="100" w:beforeAutospacing="1"/>
        <w:ind w:left="284" w:hanging="284"/>
        <w:jc w:val="both"/>
        <w:rPr>
          <w:sz w:val="22"/>
          <w:szCs w:val="22"/>
          <w:lang w:eastAsia="en-US"/>
        </w:rPr>
      </w:pPr>
      <w:r w:rsidRPr="003C5FBA">
        <w:rPr>
          <w:sz w:val="22"/>
          <w:szCs w:val="22"/>
          <w:lang w:eastAsia="en-US"/>
        </w:rPr>
        <w:t xml:space="preserve">The process of collecting data on industrial goods for the West Bank sample of industrial establishments was complete for </w:t>
      </w:r>
      <w:r w:rsidR="00030F43">
        <w:rPr>
          <w:sz w:val="22"/>
          <w:szCs w:val="22"/>
          <w:lang w:eastAsia="en-US"/>
        </w:rPr>
        <w:t>December</w:t>
      </w:r>
      <w:r w:rsidR="00791B35" w:rsidRPr="003C5FBA">
        <w:rPr>
          <w:sz w:val="22"/>
          <w:szCs w:val="22"/>
          <w:lang w:eastAsia="en-US"/>
        </w:rPr>
        <w:t xml:space="preserve"> </w:t>
      </w:r>
      <w:r w:rsidR="0008412E" w:rsidRPr="003C5FBA">
        <w:rPr>
          <w:sz w:val="22"/>
          <w:szCs w:val="22"/>
          <w:lang w:eastAsia="en-US"/>
        </w:rPr>
        <w:t>2024</w:t>
      </w:r>
      <w:r w:rsidRPr="003C5FBA">
        <w:rPr>
          <w:sz w:val="22"/>
          <w:szCs w:val="22"/>
          <w:lang w:eastAsia="en-US"/>
        </w:rPr>
        <w:t xml:space="preserve">, while in Gaza Strip; the data of all industrial establishments was estimated due to the accelerated Israeli escalation witnessed in Gaza Strip on </w:t>
      </w:r>
      <w:r w:rsidR="009167A3">
        <w:rPr>
          <w:sz w:val="22"/>
          <w:szCs w:val="22"/>
          <w:lang w:eastAsia="en-US"/>
        </w:rPr>
        <w:t>October</w:t>
      </w:r>
      <w:r w:rsidR="00C5056D" w:rsidRPr="003C5FBA">
        <w:rPr>
          <w:sz w:val="22"/>
          <w:szCs w:val="22"/>
          <w:lang w:eastAsia="en-US"/>
        </w:rPr>
        <w:t xml:space="preserve"> 7 </w:t>
      </w:r>
      <w:r w:rsidRPr="003C5FBA">
        <w:rPr>
          <w:sz w:val="22"/>
          <w:szCs w:val="22"/>
          <w:lang w:eastAsia="en-US"/>
        </w:rPr>
        <w:t xml:space="preserve">during </w:t>
      </w:r>
      <w:r w:rsidR="00B26413">
        <w:rPr>
          <w:sz w:val="22"/>
          <w:szCs w:val="22"/>
          <w:lang w:eastAsia="en-US"/>
        </w:rPr>
        <w:t>2023</w:t>
      </w:r>
      <w:r w:rsidRPr="003C5FBA">
        <w:rPr>
          <w:sz w:val="22"/>
          <w:szCs w:val="22"/>
          <w:lang w:eastAsia="en-US"/>
        </w:rPr>
        <w:t xml:space="preserve"> against all aspects of society</w:t>
      </w:r>
      <w:r w:rsidR="00EA74CA" w:rsidRPr="003C5FBA">
        <w:rPr>
          <w:sz w:val="22"/>
          <w:szCs w:val="22"/>
          <w:lang w:eastAsia="en-US"/>
        </w:rPr>
        <w:t>.</w:t>
      </w:r>
    </w:p>
    <w:p w:rsidR="00EA74CA" w:rsidRPr="003C5FBA" w:rsidRDefault="00EA74CA" w:rsidP="00646670">
      <w:pPr>
        <w:numPr>
          <w:ilvl w:val="0"/>
          <w:numId w:val="13"/>
        </w:numPr>
        <w:bidi w:val="0"/>
        <w:spacing w:before="100" w:beforeAutospacing="1"/>
        <w:ind w:left="284" w:hanging="284"/>
        <w:jc w:val="both"/>
        <w:rPr>
          <w:sz w:val="22"/>
          <w:szCs w:val="22"/>
          <w:lang w:eastAsia="en-US"/>
        </w:rPr>
      </w:pPr>
      <w:r w:rsidRPr="003C5FBA">
        <w:rPr>
          <w:sz w:val="22"/>
          <w:szCs w:val="22"/>
          <w:lang w:eastAsia="en-US"/>
        </w:rPr>
        <w:t>International recommendations were followed in estimating the missing data, which are mentioned in Price Index guide. Moreover, the (Group Relative Method) is one of the best methods used to estimate the missing data, which is the process of estimating the prices based on the change in the prices of the remaining sources for the same category. Accordingly, in case of the closure of an entire source on a temporary basis, all the prices of that source are estimated based on the change in the prices of the sources that share the same items, which are collected from that source.</w:t>
      </w:r>
    </w:p>
    <w:p w:rsidR="0087065E" w:rsidRDefault="00EA74CA" w:rsidP="003C54FC">
      <w:pPr>
        <w:numPr>
          <w:ilvl w:val="0"/>
          <w:numId w:val="13"/>
        </w:numPr>
        <w:bidi w:val="0"/>
        <w:spacing w:before="100" w:beforeAutospacing="1"/>
        <w:ind w:left="284" w:hanging="284"/>
        <w:jc w:val="both"/>
        <w:rPr>
          <w:sz w:val="22"/>
          <w:szCs w:val="22"/>
          <w:lang w:eastAsia="en-US"/>
        </w:rPr>
      </w:pPr>
      <w:r w:rsidRPr="003C5FBA">
        <w:rPr>
          <w:sz w:val="22"/>
          <w:szCs w:val="22"/>
          <w:lang w:eastAsia="en-US"/>
        </w:rPr>
        <w:t>The estimate is also used at the (Next Level Up in Aggregatio</w:t>
      </w:r>
      <w:r w:rsidR="00646670" w:rsidRPr="003C5FBA">
        <w:rPr>
          <w:sz w:val="22"/>
          <w:szCs w:val="22"/>
          <w:lang w:eastAsia="en-US"/>
        </w:rPr>
        <w:t>n) in case of the disappearance</w:t>
      </w:r>
      <w:r w:rsidRPr="003C5FBA">
        <w:rPr>
          <w:sz w:val="22"/>
          <w:szCs w:val="22"/>
          <w:lang w:eastAsia="en-US"/>
        </w:rPr>
        <w:t xml:space="preserve"> of the index for a whole sub-group or a higher group reaching up to the major groups that constitute the index.</w:t>
      </w:r>
    </w:p>
    <w:p w:rsidR="003C54FC" w:rsidRPr="003C54FC" w:rsidRDefault="003C54FC" w:rsidP="003C54FC">
      <w:pPr>
        <w:bidi w:val="0"/>
        <w:spacing w:before="100" w:beforeAutospacing="1"/>
        <w:jc w:val="both"/>
        <w:rPr>
          <w:sz w:val="22"/>
          <w:szCs w:val="22"/>
          <w:lang w:eastAsia="en-US"/>
        </w:rPr>
      </w:pPr>
    </w:p>
    <w:p w:rsidR="002B4A04" w:rsidRDefault="002B4A04" w:rsidP="008A77E1">
      <w:pPr>
        <w:bidi w:val="0"/>
        <w:jc w:val="both"/>
        <w:rPr>
          <w:b/>
          <w:bCs/>
          <w:sz w:val="20"/>
          <w:szCs w:val="20"/>
        </w:rPr>
      </w:pPr>
    </w:p>
    <w:sectPr w:rsidR="002B4A04" w:rsidSect="005551B1">
      <w:footerReference w:type="even" r:id="rId10"/>
      <w:footerReference w:type="default" r:id="rId11"/>
      <w:pgSz w:w="11907" w:h="16840" w:code="9"/>
      <w:pgMar w:top="851" w:right="1134" w:bottom="1134" w:left="1134" w:header="426" w:footer="720" w:gutter="0"/>
      <w:pgNumType w:start="1"/>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C99" w:rsidRDefault="00C44C99">
      <w:r>
        <w:separator/>
      </w:r>
    </w:p>
  </w:endnote>
  <w:endnote w:type="continuationSeparator" w:id="0">
    <w:p w:rsidR="00C44C99" w:rsidRDefault="00C44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E9" w:rsidRDefault="00082FE9">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82FE9" w:rsidRDefault="00082FE9">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1B1" w:rsidRDefault="005551B1">
    <w:pPr>
      <w:pStyle w:val="Footer"/>
      <w:jc w:val="center"/>
    </w:pPr>
    <w:r>
      <w:fldChar w:fldCharType="begin"/>
    </w:r>
    <w:r>
      <w:instrText xml:space="preserve"> PAGE   \* MERGEFORMAT </w:instrText>
    </w:r>
    <w:r>
      <w:fldChar w:fldCharType="separate"/>
    </w:r>
    <w:r w:rsidR="00B062EE">
      <w:rPr>
        <w:noProof/>
        <w:rtl/>
      </w:rPr>
      <w:t>2</w:t>
    </w:r>
    <w:r>
      <w:rPr>
        <w:noProof/>
      </w:rPr>
      <w:fldChar w:fldCharType="end"/>
    </w:r>
  </w:p>
  <w:p w:rsidR="005551B1" w:rsidRDefault="00555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C99" w:rsidRDefault="00C44C99">
      <w:r>
        <w:separator/>
      </w:r>
    </w:p>
  </w:footnote>
  <w:footnote w:type="continuationSeparator" w:id="0">
    <w:p w:rsidR="00C44C99" w:rsidRDefault="00C44C99">
      <w:r>
        <w:continuationSeparator/>
      </w:r>
    </w:p>
  </w:footnote>
  <w:footnote w:id="1">
    <w:p w:rsidR="000B4AFF" w:rsidRDefault="000B4AFF" w:rsidP="000B4AFF">
      <w:pPr>
        <w:pStyle w:val="BodyText2"/>
        <w:bidi w:val="0"/>
        <w:spacing w:after="0" w:line="240" w:lineRule="auto"/>
        <w:jc w:val="both"/>
        <w:rPr>
          <w:sz w:val="20"/>
          <w:szCs w:val="20"/>
        </w:rPr>
      </w:pPr>
      <w:r>
        <w:rPr>
          <w:rStyle w:val="FootnoteReference"/>
        </w:rPr>
        <w:footnoteRef/>
      </w:r>
      <w:r>
        <w:rPr>
          <w:rtl/>
        </w:rPr>
        <w:t xml:space="preserve"> </w:t>
      </w:r>
      <w:r w:rsidRPr="0053589B">
        <w:rPr>
          <w:sz w:val="20"/>
          <w:szCs w:val="20"/>
        </w:rPr>
        <w:t>The producer’s price is the amount receivable by the producer from the purchaser for a unit of a good or service produced as output minus any VAT, or similar deductible tax, invoiced to the purchaser. The producer’s prices exclude any transport charges invoiced separately by the producer.</w:t>
      </w:r>
    </w:p>
    <w:p w:rsidR="000B4AFF" w:rsidRPr="00430332" w:rsidRDefault="000B4AFF" w:rsidP="000B4AFF">
      <w:pPr>
        <w:pStyle w:val="FootnoteText"/>
        <w:rPr>
          <w:rFonts w:hint="cs"/>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CB336B6"/>
    <w:multiLevelType w:val="hybridMultilevel"/>
    <w:tmpl w:val="C2CA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4F967DDB"/>
    <w:multiLevelType w:val="hybridMultilevel"/>
    <w:tmpl w:val="12326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5BDF5102"/>
    <w:multiLevelType w:val="hybridMultilevel"/>
    <w:tmpl w:val="C368044C"/>
    <w:lvl w:ilvl="0" w:tplc="926CAFFC">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8622915"/>
    <w:multiLevelType w:val="hybridMultilevel"/>
    <w:tmpl w:val="9EE099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BB02BF"/>
    <w:multiLevelType w:val="hybridMultilevel"/>
    <w:tmpl w:val="F522B8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F644A2"/>
    <w:multiLevelType w:val="hybridMultilevel"/>
    <w:tmpl w:val="B5C623F6"/>
    <w:lvl w:ilvl="0" w:tplc="3E304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1"/>
  </w:num>
  <w:num w:numId="5">
    <w:abstractNumId w:val="5"/>
  </w:num>
  <w:num w:numId="6">
    <w:abstractNumId w:val="7"/>
  </w:num>
  <w:num w:numId="7">
    <w:abstractNumId w:val="9"/>
  </w:num>
  <w:num w:numId="8">
    <w:abstractNumId w:val="8"/>
  </w:num>
  <w:num w:numId="9">
    <w:abstractNumId w:val="14"/>
  </w:num>
  <w:num w:numId="10">
    <w:abstractNumId w:val="3"/>
  </w:num>
  <w:num w:numId="11">
    <w:abstractNumId w:val="11"/>
  </w:num>
  <w:num w:numId="12">
    <w:abstractNumId w:val="4"/>
  </w:num>
  <w:num w:numId="13">
    <w:abstractNumId w:val="6"/>
  </w:num>
  <w:num w:numId="14">
    <w:abstractNumId w:val="13"/>
  </w:num>
  <w:num w:numId="15">
    <w:abstractNumId w:val="12"/>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F4"/>
    <w:rsid w:val="00000B9A"/>
    <w:rsid w:val="00003F4F"/>
    <w:rsid w:val="000057E0"/>
    <w:rsid w:val="00006C15"/>
    <w:rsid w:val="00006CFF"/>
    <w:rsid w:val="00014838"/>
    <w:rsid w:val="000208EA"/>
    <w:rsid w:val="000213BD"/>
    <w:rsid w:val="0002292F"/>
    <w:rsid w:val="00024421"/>
    <w:rsid w:val="00025E3D"/>
    <w:rsid w:val="00026F85"/>
    <w:rsid w:val="00027CED"/>
    <w:rsid w:val="000301FE"/>
    <w:rsid w:val="00030F43"/>
    <w:rsid w:val="00032FC3"/>
    <w:rsid w:val="00033860"/>
    <w:rsid w:val="00035815"/>
    <w:rsid w:val="00036AA3"/>
    <w:rsid w:val="00037BB8"/>
    <w:rsid w:val="00037F32"/>
    <w:rsid w:val="000403E9"/>
    <w:rsid w:val="000417B9"/>
    <w:rsid w:val="000510A8"/>
    <w:rsid w:val="0006019B"/>
    <w:rsid w:val="00060397"/>
    <w:rsid w:val="00064272"/>
    <w:rsid w:val="00064FFD"/>
    <w:rsid w:val="000651CC"/>
    <w:rsid w:val="00065870"/>
    <w:rsid w:val="00066AC1"/>
    <w:rsid w:val="00070B0C"/>
    <w:rsid w:val="00073300"/>
    <w:rsid w:val="00074DC2"/>
    <w:rsid w:val="00076365"/>
    <w:rsid w:val="0008018B"/>
    <w:rsid w:val="00080CF7"/>
    <w:rsid w:val="00082FE9"/>
    <w:rsid w:val="0008412E"/>
    <w:rsid w:val="0008698E"/>
    <w:rsid w:val="00092143"/>
    <w:rsid w:val="000936E7"/>
    <w:rsid w:val="00093776"/>
    <w:rsid w:val="000A1216"/>
    <w:rsid w:val="000A1646"/>
    <w:rsid w:val="000A1B8F"/>
    <w:rsid w:val="000A528A"/>
    <w:rsid w:val="000B4AFF"/>
    <w:rsid w:val="000B7F77"/>
    <w:rsid w:val="000C04A3"/>
    <w:rsid w:val="000C1A04"/>
    <w:rsid w:val="000C6337"/>
    <w:rsid w:val="000C6536"/>
    <w:rsid w:val="000C7E63"/>
    <w:rsid w:val="000D1524"/>
    <w:rsid w:val="000D2DD5"/>
    <w:rsid w:val="000D56C0"/>
    <w:rsid w:val="000E0998"/>
    <w:rsid w:val="000E2FBF"/>
    <w:rsid w:val="000E4BDB"/>
    <w:rsid w:val="000E5791"/>
    <w:rsid w:val="000E5E6C"/>
    <w:rsid w:val="000E5FC2"/>
    <w:rsid w:val="000E6773"/>
    <w:rsid w:val="000E721B"/>
    <w:rsid w:val="000F2B31"/>
    <w:rsid w:val="000F2BB8"/>
    <w:rsid w:val="000F58B5"/>
    <w:rsid w:val="00106D91"/>
    <w:rsid w:val="001101B4"/>
    <w:rsid w:val="001119DE"/>
    <w:rsid w:val="00122BDB"/>
    <w:rsid w:val="00124954"/>
    <w:rsid w:val="00125464"/>
    <w:rsid w:val="00130368"/>
    <w:rsid w:val="00131833"/>
    <w:rsid w:val="00133EC7"/>
    <w:rsid w:val="00135CD8"/>
    <w:rsid w:val="00136EB1"/>
    <w:rsid w:val="001377F8"/>
    <w:rsid w:val="0014206B"/>
    <w:rsid w:val="001422B3"/>
    <w:rsid w:val="00142685"/>
    <w:rsid w:val="00142D88"/>
    <w:rsid w:val="00143DDB"/>
    <w:rsid w:val="00146E55"/>
    <w:rsid w:val="00150509"/>
    <w:rsid w:val="00155A0F"/>
    <w:rsid w:val="00155BEC"/>
    <w:rsid w:val="0015776D"/>
    <w:rsid w:val="00160D24"/>
    <w:rsid w:val="001629AB"/>
    <w:rsid w:val="00163891"/>
    <w:rsid w:val="0017045E"/>
    <w:rsid w:val="001708AB"/>
    <w:rsid w:val="0017257F"/>
    <w:rsid w:val="00173F9E"/>
    <w:rsid w:val="001751C6"/>
    <w:rsid w:val="00175B40"/>
    <w:rsid w:val="001774DB"/>
    <w:rsid w:val="001779CB"/>
    <w:rsid w:val="001804B1"/>
    <w:rsid w:val="001836BE"/>
    <w:rsid w:val="001860BF"/>
    <w:rsid w:val="0019790F"/>
    <w:rsid w:val="001A001A"/>
    <w:rsid w:val="001A4514"/>
    <w:rsid w:val="001A5352"/>
    <w:rsid w:val="001B10B9"/>
    <w:rsid w:val="001B1955"/>
    <w:rsid w:val="001B25AC"/>
    <w:rsid w:val="001B5266"/>
    <w:rsid w:val="001B67FB"/>
    <w:rsid w:val="001C0E15"/>
    <w:rsid w:val="001C32AC"/>
    <w:rsid w:val="001C3E4E"/>
    <w:rsid w:val="001C49E2"/>
    <w:rsid w:val="001D093B"/>
    <w:rsid w:val="001D2293"/>
    <w:rsid w:val="001D6908"/>
    <w:rsid w:val="001D7143"/>
    <w:rsid w:val="001E044B"/>
    <w:rsid w:val="001E10AF"/>
    <w:rsid w:val="001E1479"/>
    <w:rsid w:val="001E14DD"/>
    <w:rsid w:val="001E4451"/>
    <w:rsid w:val="001E5653"/>
    <w:rsid w:val="001E77B3"/>
    <w:rsid w:val="001F250B"/>
    <w:rsid w:val="001F25E9"/>
    <w:rsid w:val="001F5127"/>
    <w:rsid w:val="001F54A6"/>
    <w:rsid w:val="001F73A2"/>
    <w:rsid w:val="001F766D"/>
    <w:rsid w:val="001F78C5"/>
    <w:rsid w:val="0020108E"/>
    <w:rsid w:val="00207372"/>
    <w:rsid w:val="0021172E"/>
    <w:rsid w:val="0022551C"/>
    <w:rsid w:val="00225EB9"/>
    <w:rsid w:val="00227845"/>
    <w:rsid w:val="00230C97"/>
    <w:rsid w:val="00230EC2"/>
    <w:rsid w:val="002311AD"/>
    <w:rsid w:val="00233AC3"/>
    <w:rsid w:val="00236A6B"/>
    <w:rsid w:val="002414F5"/>
    <w:rsid w:val="00241DE7"/>
    <w:rsid w:val="00244AF1"/>
    <w:rsid w:val="00247EAB"/>
    <w:rsid w:val="00252666"/>
    <w:rsid w:val="00254180"/>
    <w:rsid w:val="00264114"/>
    <w:rsid w:val="002651AF"/>
    <w:rsid w:val="0026586C"/>
    <w:rsid w:val="00265875"/>
    <w:rsid w:val="0026620B"/>
    <w:rsid w:val="00266AD4"/>
    <w:rsid w:val="00267C5B"/>
    <w:rsid w:val="00270003"/>
    <w:rsid w:val="00270974"/>
    <w:rsid w:val="00270C60"/>
    <w:rsid w:val="00271A23"/>
    <w:rsid w:val="0027414A"/>
    <w:rsid w:val="00274962"/>
    <w:rsid w:val="002752B5"/>
    <w:rsid w:val="00275647"/>
    <w:rsid w:val="0027744E"/>
    <w:rsid w:val="00282189"/>
    <w:rsid w:val="002845E9"/>
    <w:rsid w:val="00286CBA"/>
    <w:rsid w:val="00287986"/>
    <w:rsid w:val="00293729"/>
    <w:rsid w:val="00294BD4"/>
    <w:rsid w:val="002953FB"/>
    <w:rsid w:val="00296D53"/>
    <w:rsid w:val="002A0B6C"/>
    <w:rsid w:val="002A278C"/>
    <w:rsid w:val="002B4A04"/>
    <w:rsid w:val="002B5065"/>
    <w:rsid w:val="002B5149"/>
    <w:rsid w:val="002B6700"/>
    <w:rsid w:val="002C006E"/>
    <w:rsid w:val="002C0C84"/>
    <w:rsid w:val="002C15F4"/>
    <w:rsid w:val="002C18C8"/>
    <w:rsid w:val="002C2B39"/>
    <w:rsid w:val="002C7308"/>
    <w:rsid w:val="002D328A"/>
    <w:rsid w:val="002D5934"/>
    <w:rsid w:val="002D6670"/>
    <w:rsid w:val="002D68A3"/>
    <w:rsid w:val="002E22CB"/>
    <w:rsid w:val="002E2B07"/>
    <w:rsid w:val="002F2F8E"/>
    <w:rsid w:val="002F4471"/>
    <w:rsid w:val="003016BE"/>
    <w:rsid w:val="003047EB"/>
    <w:rsid w:val="00304E7E"/>
    <w:rsid w:val="0030571E"/>
    <w:rsid w:val="00305C3F"/>
    <w:rsid w:val="00306DB8"/>
    <w:rsid w:val="00307C1C"/>
    <w:rsid w:val="003122BF"/>
    <w:rsid w:val="00312E3C"/>
    <w:rsid w:val="00314147"/>
    <w:rsid w:val="00320F98"/>
    <w:rsid w:val="0032231C"/>
    <w:rsid w:val="003236EE"/>
    <w:rsid w:val="0032679A"/>
    <w:rsid w:val="00332692"/>
    <w:rsid w:val="00335038"/>
    <w:rsid w:val="00336194"/>
    <w:rsid w:val="00336B06"/>
    <w:rsid w:val="00341314"/>
    <w:rsid w:val="00344E04"/>
    <w:rsid w:val="00350995"/>
    <w:rsid w:val="00350A5B"/>
    <w:rsid w:val="00350DAE"/>
    <w:rsid w:val="003535CC"/>
    <w:rsid w:val="00353D0D"/>
    <w:rsid w:val="003540E9"/>
    <w:rsid w:val="00354337"/>
    <w:rsid w:val="003546CB"/>
    <w:rsid w:val="0035475C"/>
    <w:rsid w:val="00354C40"/>
    <w:rsid w:val="00355103"/>
    <w:rsid w:val="00355356"/>
    <w:rsid w:val="0036017C"/>
    <w:rsid w:val="003633EE"/>
    <w:rsid w:val="00365485"/>
    <w:rsid w:val="003665F1"/>
    <w:rsid w:val="00366BEA"/>
    <w:rsid w:val="00375EEF"/>
    <w:rsid w:val="003762E6"/>
    <w:rsid w:val="0038016D"/>
    <w:rsid w:val="003844DC"/>
    <w:rsid w:val="00384753"/>
    <w:rsid w:val="00390867"/>
    <w:rsid w:val="0039198A"/>
    <w:rsid w:val="003923A9"/>
    <w:rsid w:val="00392A1F"/>
    <w:rsid w:val="00392D70"/>
    <w:rsid w:val="00393F1B"/>
    <w:rsid w:val="003953A6"/>
    <w:rsid w:val="00395C4D"/>
    <w:rsid w:val="003A0CF0"/>
    <w:rsid w:val="003A1188"/>
    <w:rsid w:val="003A4CD2"/>
    <w:rsid w:val="003A5DF7"/>
    <w:rsid w:val="003B3133"/>
    <w:rsid w:val="003B47C9"/>
    <w:rsid w:val="003B6A94"/>
    <w:rsid w:val="003B6D34"/>
    <w:rsid w:val="003C1B80"/>
    <w:rsid w:val="003C21DE"/>
    <w:rsid w:val="003C4F8E"/>
    <w:rsid w:val="003C54FC"/>
    <w:rsid w:val="003C57D6"/>
    <w:rsid w:val="003C5FBA"/>
    <w:rsid w:val="003C6A92"/>
    <w:rsid w:val="003D131A"/>
    <w:rsid w:val="003D3330"/>
    <w:rsid w:val="003D493B"/>
    <w:rsid w:val="003D72C2"/>
    <w:rsid w:val="003E0164"/>
    <w:rsid w:val="003E2648"/>
    <w:rsid w:val="003E2884"/>
    <w:rsid w:val="003E324A"/>
    <w:rsid w:val="003E4C37"/>
    <w:rsid w:val="003E5816"/>
    <w:rsid w:val="003E58BA"/>
    <w:rsid w:val="003F0A1A"/>
    <w:rsid w:val="003F38C6"/>
    <w:rsid w:val="003F6FDD"/>
    <w:rsid w:val="00407112"/>
    <w:rsid w:val="00407C18"/>
    <w:rsid w:val="0041150A"/>
    <w:rsid w:val="004129BE"/>
    <w:rsid w:val="00423390"/>
    <w:rsid w:val="004267A1"/>
    <w:rsid w:val="00426DF6"/>
    <w:rsid w:val="00430136"/>
    <w:rsid w:val="00430332"/>
    <w:rsid w:val="004332A9"/>
    <w:rsid w:val="004336D1"/>
    <w:rsid w:val="004348A2"/>
    <w:rsid w:val="00436EFB"/>
    <w:rsid w:val="00437640"/>
    <w:rsid w:val="00440AAF"/>
    <w:rsid w:val="0044136F"/>
    <w:rsid w:val="00442BAE"/>
    <w:rsid w:val="00443224"/>
    <w:rsid w:val="004447AF"/>
    <w:rsid w:val="004468F1"/>
    <w:rsid w:val="0044702A"/>
    <w:rsid w:val="004478C7"/>
    <w:rsid w:val="004500B3"/>
    <w:rsid w:val="004536C3"/>
    <w:rsid w:val="004547F6"/>
    <w:rsid w:val="004558BD"/>
    <w:rsid w:val="00461263"/>
    <w:rsid w:val="00464086"/>
    <w:rsid w:val="00466D49"/>
    <w:rsid w:val="00467F35"/>
    <w:rsid w:val="004703CD"/>
    <w:rsid w:val="00471C49"/>
    <w:rsid w:val="00475783"/>
    <w:rsid w:val="004759F0"/>
    <w:rsid w:val="00477CC2"/>
    <w:rsid w:val="00480645"/>
    <w:rsid w:val="0048146B"/>
    <w:rsid w:val="0048146D"/>
    <w:rsid w:val="004847B1"/>
    <w:rsid w:val="00486DCE"/>
    <w:rsid w:val="0048755C"/>
    <w:rsid w:val="00491CDB"/>
    <w:rsid w:val="004947D8"/>
    <w:rsid w:val="00496088"/>
    <w:rsid w:val="0049685C"/>
    <w:rsid w:val="00496DBD"/>
    <w:rsid w:val="004976B0"/>
    <w:rsid w:val="004A0320"/>
    <w:rsid w:val="004A1FB4"/>
    <w:rsid w:val="004A4089"/>
    <w:rsid w:val="004A4C36"/>
    <w:rsid w:val="004A4F50"/>
    <w:rsid w:val="004A51BD"/>
    <w:rsid w:val="004A7494"/>
    <w:rsid w:val="004A76F5"/>
    <w:rsid w:val="004B2188"/>
    <w:rsid w:val="004B2314"/>
    <w:rsid w:val="004B2D8A"/>
    <w:rsid w:val="004B5096"/>
    <w:rsid w:val="004B570C"/>
    <w:rsid w:val="004C02E4"/>
    <w:rsid w:val="004D257B"/>
    <w:rsid w:val="004D4240"/>
    <w:rsid w:val="004D58CF"/>
    <w:rsid w:val="004D640D"/>
    <w:rsid w:val="004D75AD"/>
    <w:rsid w:val="004E1EC8"/>
    <w:rsid w:val="004E7314"/>
    <w:rsid w:val="004E78D4"/>
    <w:rsid w:val="004F3991"/>
    <w:rsid w:val="004F7D1A"/>
    <w:rsid w:val="0050182A"/>
    <w:rsid w:val="005061D1"/>
    <w:rsid w:val="005075DB"/>
    <w:rsid w:val="0052134C"/>
    <w:rsid w:val="00525C5C"/>
    <w:rsid w:val="005270D8"/>
    <w:rsid w:val="00531914"/>
    <w:rsid w:val="00532C31"/>
    <w:rsid w:val="00533185"/>
    <w:rsid w:val="0053556B"/>
    <w:rsid w:val="00542372"/>
    <w:rsid w:val="00543C4F"/>
    <w:rsid w:val="00547DE5"/>
    <w:rsid w:val="00552D24"/>
    <w:rsid w:val="00552D87"/>
    <w:rsid w:val="005551B1"/>
    <w:rsid w:val="00557B97"/>
    <w:rsid w:val="00560CF3"/>
    <w:rsid w:val="005614BE"/>
    <w:rsid w:val="005616CD"/>
    <w:rsid w:val="00561CA9"/>
    <w:rsid w:val="005644E9"/>
    <w:rsid w:val="00565186"/>
    <w:rsid w:val="00566E3D"/>
    <w:rsid w:val="0056719D"/>
    <w:rsid w:val="00567C43"/>
    <w:rsid w:val="00572FDC"/>
    <w:rsid w:val="005737FB"/>
    <w:rsid w:val="0057551C"/>
    <w:rsid w:val="00581350"/>
    <w:rsid w:val="005820DA"/>
    <w:rsid w:val="005826B9"/>
    <w:rsid w:val="0058422F"/>
    <w:rsid w:val="005842FF"/>
    <w:rsid w:val="00585BC8"/>
    <w:rsid w:val="00587600"/>
    <w:rsid w:val="00587D44"/>
    <w:rsid w:val="00587F32"/>
    <w:rsid w:val="00590021"/>
    <w:rsid w:val="00591152"/>
    <w:rsid w:val="00591A9C"/>
    <w:rsid w:val="00593E38"/>
    <w:rsid w:val="00594263"/>
    <w:rsid w:val="005945A6"/>
    <w:rsid w:val="005A6DB9"/>
    <w:rsid w:val="005A6EB2"/>
    <w:rsid w:val="005A7B5B"/>
    <w:rsid w:val="005B0778"/>
    <w:rsid w:val="005B1F7E"/>
    <w:rsid w:val="005B2AF9"/>
    <w:rsid w:val="005B3BD8"/>
    <w:rsid w:val="005B3C0A"/>
    <w:rsid w:val="005B5AFE"/>
    <w:rsid w:val="005C5CED"/>
    <w:rsid w:val="005C6260"/>
    <w:rsid w:val="005D1BF3"/>
    <w:rsid w:val="005D1C70"/>
    <w:rsid w:val="005D1D30"/>
    <w:rsid w:val="005E1CAF"/>
    <w:rsid w:val="005F1F7E"/>
    <w:rsid w:val="005F336C"/>
    <w:rsid w:val="005F7166"/>
    <w:rsid w:val="005F7BBD"/>
    <w:rsid w:val="00600291"/>
    <w:rsid w:val="00601E96"/>
    <w:rsid w:val="006026A7"/>
    <w:rsid w:val="006115A9"/>
    <w:rsid w:val="006117FC"/>
    <w:rsid w:val="0061284D"/>
    <w:rsid w:val="00615CD8"/>
    <w:rsid w:val="006163CC"/>
    <w:rsid w:val="0061667E"/>
    <w:rsid w:val="00616936"/>
    <w:rsid w:val="00620C3D"/>
    <w:rsid w:val="0062290E"/>
    <w:rsid w:val="00622B80"/>
    <w:rsid w:val="00622E04"/>
    <w:rsid w:val="00623A2F"/>
    <w:rsid w:val="006274E1"/>
    <w:rsid w:val="00631D26"/>
    <w:rsid w:val="006345C3"/>
    <w:rsid w:val="00635975"/>
    <w:rsid w:val="00635C53"/>
    <w:rsid w:val="00636553"/>
    <w:rsid w:val="00637810"/>
    <w:rsid w:val="00637A3F"/>
    <w:rsid w:val="00641877"/>
    <w:rsid w:val="00642A84"/>
    <w:rsid w:val="00642AE0"/>
    <w:rsid w:val="006444C5"/>
    <w:rsid w:val="006452B1"/>
    <w:rsid w:val="00645638"/>
    <w:rsid w:val="0064578F"/>
    <w:rsid w:val="00646670"/>
    <w:rsid w:val="00646D97"/>
    <w:rsid w:val="006519AD"/>
    <w:rsid w:val="0065548E"/>
    <w:rsid w:val="00656344"/>
    <w:rsid w:val="0066478A"/>
    <w:rsid w:val="006647F0"/>
    <w:rsid w:val="00664AE0"/>
    <w:rsid w:val="00672BE4"/>
    <w:rsid w:val="00672CF5"/>
    <w:rsid w:val="0067448A"/>
    <w:rsid w:val="00681AA9"/>
    <w:rsid w:val="00683063"/>
    <w:rsid w:val="00683F11"/>
    <w:rsid w:val="00686785"/>
    <w:rsid w:val="006909C0"/>
    <w:rsid w:val="006918F8"/>
    <w:rsid w:val="00692F23"/>
    <w:rsid w:val="006934BE"/>
    <w:rsid w:val="0069378F"/>
    <w:rsid w:val="00695941"/>
    <w:rsid w:val="00696998"/>
    <w:rsid w:val="00696E47"/>
    <w:rsid w:val="006A0DCD"/>
    <w:rsid w:val="006A0F09"/>
    <w:rsid w:val="006B3420"/>
    <w:rsid w:val="006B3BD9"/>
    <w:rsid w:val="006B4F3B"/>
    <w:rsid w:val="006C0E53"/>
    <w:rsid w:val="006C10A8"/>
    <w:rsid w:val="006C19C2"/>
    <w:rsid w:val="006C4DB6"/>
    <w:rsid w:val="006C56B0"/>
    <w:rsid w:val="006C6817"/>
    <w:rsid w:val="006C79CD"/>
    <w:rsid w:val="006D4456"/>
    <w:rsid w:val="006D4821"/>
    <w:rsid w:val="006E0D10"/>
    <w:rsid w:val="006E141E"/>
    <w:rsid w:val="006E18ED"/>
    <w:rsid w:val="006E1CA4"/>
    <w:rsid w:val="006E26B0"/>
    <w:rsid w:val="006E4287"/>
    <w:rsid w:val="006E6CC1"/>
    <w:rsid w:val="006E7164"/>
    <w:rsid w:val="006F1612"/>
    <w:rsid w:val="006F4DF7"/>
    <w:rsid w:val="006F7EFD"/>
    <w:rsid w:val="007004C1"/>
    <w:rsid w:val="007005E6"/>
    <w:rsid w:val="00701272"/>
    <w:rsid w:val="00703AA8"/>
    <w:rsid w:val="007045EA"/>
    <w:rsid w:val="00705411"/>
    <w:rsid w:val="00707A5E"/>
    <w:rsid w:val="00711719"/>
    <w:rsid w:val="007155E3"/>
    <w:rsid w:val="00716B8F"/>
    <w:rsid w:val="00723BB9"/>
    <w:rsid w:val="007244E5"/>
    <w:rsid w:val="00724A86"/>
    <w:rsid w:val="00725047"/>
    <w:rsid w:val="00726E53"/>
    <w:rsid w:val="00727EF4"/>
    <w:rsid w:val="00732B5D"/>
    <w:rsid w:val="00741AF2"/>
    <w:rsid w:val="00745391"/>
    <w:rsid w:val="007456F9"/>
    <w:rsid w:val="00745B40"/>
    <w:rsid w:val="007472CB"/>
    <w:rsid w:val="00747D66"/>
    <w:rsid w:val="00750131"/>
    <w:rsid w:val="00753E93"/>
    <w:rsid w:val="007601AC"/>
    <w:rsid w:val="007608B2"/>
    <w:rsid w:val="00767571"/>
    <w:rsid w:val="00767ABA"/>
    <w:rsid w:val="00767E14"/>
    <w:rsid w:val="00770C0A"/>
    <w:rsid w:val="00771610"/>
    <w:rsid w:val="007719D7"/>
    <w:rsid w:val="00771E37"/>
    <w:rsid w:val="00774EA2"/>
    <w:rsid w:val="00777EEB"/>
    <w:rsid w:val="00780CE8"/>
    <w:rsid w:val="0078209D"/>
    <w:rsid w:val="00791B35"/>
    <w:rsid w:val="00792B17"/>
    <w:rsid w:val="007947A3"/>
    <w:rsid w:val="00794C0A"/>
    <w:rsid w:val="00797F3E"/>
    <w:rsid w:val="007A042F"/>
    <w:rsid w:val="007A3FFD"/>
    <w:rsid w:val="007B3913"/>
    <w:rsid w:val="007B514D"/>
    <w:rsid w:val="007C0AF4"/>
    <w:rsid w:val="007C1B14"/>
    <w:rsid w:val="007C27C7"/>
    <w:rsid w:val="007C3451"/>
    <w:rsid w:val="007C3B52"/>
    <w:rsid w:val="007C3D47"/>
    <w:rsid w:val="007C4F6A"/>
    <w:rsid w:val="007C603D"/>
    <w:rsid w:val="007D0141"/>
    <w:rsid w:val="007D02C5"/>
    <w:rsid w:val="007D1E62"/>
    <w:rsid w:val="007D32FE"/>
    <w:rsid w:val="007D6823"/>
    <w:rsid w:val="007E0847"/>
    <w:rsid w:val="007E3BDE"/>
    <w:rsid w:val="007E3F35"/>
    <w:rsid w:val="007E44E1"/>
    <w:rsid w:val="007E5F67"/>
    <w:rsid w:val="007E6AD8"/>
    <w:rsid w:val="007E7068"/>
    <w:rsid w:val="007F16BB"/>
    <w:rsid w:val="007F2CBB"/>
    <w:rsid w:val="007F365D"/>
    <w:rsid w:val="007F4DFF"/>
    <w:rsid w:val="007F6DB5"/>
    <w:rsid w:val="007F71C6"/>
    <w:rsid w:val="007F7D6D"/>
    <w:rsid w:val="00801D9C"/>
    <w:rsid w:val="0080355D"/>
    <w:rsid w:val="008039A1"/>
    <w:rsid w:val="00803AC0"/>
    <w:rsid w:val="008041E5"/>
    <w:rsid w:val="00806B55"/>
    <w:rsid w:val="00814539"/>
    <w:rsid w:val="008172F3"/>
    <w:rsid w:val="00817C71"/>
    <w:rsid w:val="008201B1"/>
    <w:rsid w:val="00821E4A"/>
    <w:rsid w:val="00832591"/>
    <w:rsid w:val="00833226"/>
    <w:rsid w:val="00837635"/>
    <w:rsid w:val="00846E27"/>
    <w:rsid w:val="0086185E"/>
    <w:rsid w:val="00861CD2"/>
    <w:rsid w:val="0086593C"/>
    <w:rsid w:val="0086641A"/>
    <w:rsid w:val="00867C8B"/>
    <w:rsid w:val="0087065E"/>
    <w:rsid w:val="0087140D"/>
    <w:rsid w:val="00872B28"/>
    <w:rsid w:val="00874CB1"/>
    <w:rsid w:val="008764B4"/>
    <w:rsid w:val="00880292"/>
    <w:rsid w:val="008872C0"/>
    <w:rsid w:val="00887BF6"/>
    <w:rsid w:val="0089082D"/>
    <w:rsid w:val="008A0FE6"/>
    <w:rsid w:val="008A2C73"/>
    <w:rsid w:val="008A3010"/>
    <w:rsid w:val="008A5295"/>
    <w:rsid w:val="008A77E1"/>
    <w:rsid w:val="008A7888"/>
    <w:rsid w:val="008B3ECC"/>
    <w:rsid w:val="008B627B"/>
    <w:rsid w:val="008B7589"/>
    <w:rsid w:val="008C185B"/>
    <w:rsid w:val="008C5330"/>
    <w:rsid w:val="008D389A"/>
    <w:rsid w:val="008D3981"/>
    <w:rsid w:val="008D57AE"/>
    <w:rsid w:val="008D6898"/>
    <w:rsid w:val="008E0F12"/>
    <w:rsid w:val="008E22CE"/>
    <w:rsid w:val="008E4CE3"/>
    <w:rsid w:val="008F1959"/>
    <w:rsid w:val="008F2836"/>
    <w:rsid w:val="008F385D"/>
    <w:rsid w:val="008F491F"/>
    <w:rsid w:val="00901053"/>
    <w:rsid w:val="009022DC"/>
    <w:rsid w:val="00905EDC"/>
    <w:rsid w:val="009064DB"/>
    <w:rsid w:val="00907108"/>
    <w:rsid w:val="00912EAC"/>
    <w:rsid w:val="00913A7E"/>
    <w:rsid w:val="009167A3"/>
    <w:rsid w:val="00916AC1"/>
    <w:rsid w:val="00916DA1"/>
    <w:rsid w:val="00917F6D"/>
    <w:rsid w:val="009258D1"/>
    <w:rsid w:val="00925B0B"/>
    <w:rsid w:val="00927288"/>
    <w:rsid w:val="0092764B"/>
    <w:rsid w:val="00931EC0"/>
    <w:rsid w:val="00932245"/>
    <w:rsid w:val="00935BC1"/>
    <w:rsid w:val="00936370"/>
    <w:rsid w:val="0094042B"/>
    <w:rsid w:val="00940E8D"/>
    <w:rsid w:val="009421AB"/>
    <w:rsid w:val="009428A9"/>
    <w:rsid w:val="00945A61"/>
    <w:rsid w:val="009467D2"/>
    <w:rsid w:val="00950DBE"/>
    <w:rsid w:val="0095217C"/>
    <w:rsid w:val="009525BA"/>
    <w:rsid w:val="0095356F"/>
    <w:rsid w:val="00956FDA"/>
    <w:rsid w:val="00961D7F"/>
    <w:rsid w:val="00965194"/>
    <w:rsid w:val="00965CB2"/>
    <w:rsid w:val="00970E5F"/>
    <w:rsid w:val="00971CCE"/>
    <w:rsid w:val="00973822"/>
    <w:rsid w:val="00981A72"/>
    <w:rsid w:val="00982363"/>
    <w:rsid w:val="00982A75"/>
    <w:rsid w:val="00982AC0"/>
    <w:rsid w:val="00983973"/>
    <w:rsid w:val="0098473E"/>
    <w:rsid w:val="00984F70"/>
    <w:rsid w:val="00993043"/>
    <w:rsid w:val="009937DB"/>
    <w:rsid w:val="00997CFD"/>
    <w:rsid w:val="00997D41"/>
    <w:rsid w:val="009A019D"/>
    <w:rsid w:val="009A5CA8"/>
    <w:rsid w:val="009B1628"/>
    <w:rsid w:val="009B2A04"/>
    <w:rsid w:val="009B34A7"/>
    <w:rsid w:val="009B3709"/>
    <w:rsid w:val="009B5932"/>
    <w:rsid w:val="009B6026"/>
    <w:rsid w:val="009B6539"/>
    <w:rsid w:val="009B664E"/>
    <w:rsid w:val="009B717A"/>
    <w:rsid w:val="009B7A68"/>
    <w:rsid w:val="009C3A6C"/>
    <w:rsid w:val="009C6905"/>
    <w:rsid w:val="009D0289"/>
    <w:rsid w:val="009D0E3B"/>
    <w:rsid w:val="009D119C"/>
    <w:rsid w:val="009D121B"/>
    <w:rsid w:val="009D226E"/>
    <w:rsid w:val="009D7368"/>
    <w:rsid w:val="009E163A"/>
    <w:rsid w:val="009E63A7"/>
    <w:rsid w:val="009E65AB"/>
    <w:rsid w:val="009F4AA5"/>
    <w:rsid w:val="009F4CDB"/>
    <w:rsid w:val="009F5936"/>
    <w:rsid w:val="009F6B98"/>
    <w:rsid w:val="00A01CE1"/>
    <w:rsid w:val="00A02AF4"/>
    <w:rsid w:val="00A04BC9"/>
    <w:rsid w:val="00A05A0D"/>
    <w:rsid w:val="00A05E54"/>
    <w:rsid w:val="00A07A35"/>
    <w:rsid w:val="00A07D4B"/>
    <w:rsid w:val="00A12A53"/>
    <w:rsid w:val="00A13574"/>
    <w:rsid w:val="00A13C3C"/>
    <w:rsid w:val="00A252EF"/>
    <w:rsid w:val="00A30167"/>
    <w:rsid w:val="00A31A56"/>
    <w:rsid w:val="00A32FC6"/>
    <w:rsid w:val="00A37C85"/>
    <w:rsid w:val="00A37FE3"/>
    <w:rsid w:val="00A43FB1"/>
    <w:rsid w:val="00A45062"/>
    <w:rsid w:val="00A45629"/>
    <w:rsid w:val="00A457DD"/>
    <w:rsid w:val="00A45E74"/>
    <w:rsid w:val="00A50061"/>
    <w:rsid w:val="00A52396"/>
    <w:rsid w:val="00A52C10"/>
    <w:rsid w:val="00A530B2"/>
    <w:rsid w:val="00A536AD"/>
    <w:rsid w:val="00A54608"/>
    <w:rsid w:val="00A54D4C"/>
    <w:rsid w:val="00A55D5C"/>
    <w:rsid w:val="00A55ED4"/>
    <w:rsid w:val="00A5710C"/>
    <w:rsid w:val="00A57CA8"/>
    <w:rsid w:val="00A612E1"/>
    <w:rsid w:val="00A616A2"/>
    <w:rsid w:val="00A629FE"/>
    <w:rsid w:val="00A62AE8"/>
    <w:rsid w:val="00A65A9D"/>
    <w:rsid w:val="00A67808"/>
    <w:rsid w:val="00A71E63"/>
    <w:rsid w:val="00A72BB0"/>
    <w:rsid w:val="00A73300"/>
    <w:rsid w:val="00A76B6F"/>
    <w:rsid w:val="00A82350"/>
    <w:rsid w:val="00A83D5C"/>
    <w:rsid w:val="00A84551"/>
    <w:rsid w:val="00A855B9"/>
    <w:rsid w:val="00A8629F"/>
    <w:rsid w:val="00A87435"/>
    <w:rsid w:val="00A90227"/>
    <w:rsid w:val="00A9339D"/>
    <w:rsid w:val="00A93DB2"/>
    <w:rsid w:val="00A94556"/>
    <w:rsid w:val="00A95AC6"/>
    <w:rsid w:val="00AA1671"/>
    <w:rsid w:val="00AA2175"/>
    <w:rsid w:val="00AA3453"/>
    <w:rsid w:val="00AA39DC"/>
    <w:rsid w:val="00AA6F5D"/>
    <w:rsid w:val="00AA7F51"/>
    <w:rsid w:val="00AB0600"/>
    <w:rsid w:val="00AB1C6F"/>
    <w:rsid w:val="00AB2A2E"/>
    <w:rsid w:val="00AB2CAB"/>
    <w:rsid w:val="00AB4E95"/>
    <w:rsid w:val="00AB5831"/>
    <w:rsid w:val="00AB5BDC"/>
    <w:rsid w:val="00AB7E0B"/>
    <w:rsid w:val="00AC0A19"/>
    <w:rsid w:val="00AC15DE"/>
    <w:rsid w:val="00AC3B72"/>
    <w:rsid w:val="00AC3CB2"/>
    <w:rsid w:val="00AC3F26"/>
    <w:rsid w:val="00AC45F9"/>
    <w:rsid w:val="00AC4E28"/>
    <w:rsid w:val="00AD1542"/>
    <w:rsid w:val="00AD19AD"/>
    <w:rsid w:val="00AD219A"/>
    <w:rsid w:val="00AD3DCD"/>
    <w:rsid w:val="00AE0D93"/>
    <w:rsid w:val="00AE1EEE"/>
    <w:rsid w:val="00AE381D"/>
    <w:rsid w:val="00AE4152"/>
    <w:rsid w:val="00AE5072"/>
    <w:rsid w:val="00AF2170"/>
    <w:rsid w:val="00AF343A"/>
    <w:rsid w:val="00AF4221"/>
    <w:rsid w:val="00AF45FB"/>
    <w:rsid w:val="00AF4C98"/>
    <w:rsid w:val="00AF59E7"/>
    <w:rsid w:val="00B03100"/>
    <w:rsid w:val="00B03F16"/>
    <w:rsid w:val="00B0504A"/>
    <w:rsid w:val="00B052FD"/>
    <w:rsid w:val="00B056D8"/>
    <w:rsid w:val="00B062EE"/>
    <w:rsid w:val="00B070DF"/>
    <w:rsid w:val="00B07FFD"/>
    <w:rsid w:val="00B20C41"/>
    <w:rsid w:val="00B233B5"/>
    <w:rsid w:val="00B26413"/>
    <w:rsid w:val="00B26BA8"/>
    <w:rsid w:val="00B32324"/>
    <w:rsid w:val="00B350A7"/>
    <w:rsid w:val="00B36605"/>
    <w:rsid w:val="00B37B2A"/>
    <w:rsid w:val="00B4122A"/>
    <w:rsid w:val="00B42862"/>
    <w:rsid w:val="00B4360D"/>
    <w:rsid w:val="00B44AE1"/>
    <w:rsid w:val="00B45EC1"/>
    <w:rsid w:val="00B465B8"/>
    <w:rsid w:val="00B4711B"/>
    <w:rsid w:val="00B47DBF"/>
    <w:rsid w:val="00B504EC"/>
    <w:rsid w:val="00B5120C"/>
    <w:rsid w:val="00B51BD7"/>
    <w:rsid w:val="00B5222B"/>
    <w:rsid w:val="00B53405"/>
    <w:rsid w:val="00B554AE"/>
    <w:rsid w:val="00B555D5"/>
    <w:rsid w:val="00B60A4B"/>
    <w:rsid w:val="00B65670"/>
    <w:rsid w:val="00B65B17"/>
    <w:rsid w:val="00B735AC"/>
    <w:rsid w:val="00B7570C"/>
    <w:rsid w:val="00B82AA0"/>
    <w:rsid w:val="00B82E3D"/>
    <w:rsid w:val="00B83A15"/>
    <w:rsid w:val="00B83E0F"/>
    <w:rsid w:val="00B84D58"/>
    <w:rsid w:val="00B853F1"/>
    <w:rsid w:val="00B8663F"/>
    <w:rsid w:val="00B86D78"/>
    <w:rsid w:val="00B8705E"/>
    <w:rsid w:val="00B9063A"/>
    <w:rsid w:val="00B911D9"/>
    <w:rsid w:val="00B91744"/>
    <w:rsid w:val="00B943B2"/>
    <w:rsid w:val="00B9567D"/>
    <w:rsid w:val="00B95727"/>
    <w:rsid w:val="00BA050A"/>
    <w:rsid w:val="00BA11C4"/>
    <w:rsid w:val="00BA2268"/>
    <w:rsid w:val="00BA26DD"/>
    <w:rsid w:val="00BA3F23"/>
    <w:rsid w:val="00BA5788"/>
    <w:rsid w:val="00BA6E34"/>
    <w:rsid w:val="00BA718B"/>
    <w:rsid w:val="00BA75FE"/>
    <w:rsid w:val="00BB1804"/>
    <w:rsid w:val="00BB1B38"/>
    <w:rsid w:val="00BB623C"/>
    <w:rsid w:val="00BB6DD6"/>
    <w:rsid w:val="00BB6E44"/>
    <w:rsid w:val="00BB76F3"/>
    <w:rsid w:val="00BB791C"/>
    <w:rsid w:val="00BC6414"/>
    <w:rsid w:val="00BD1AA2"/>
    <w:rsid w:val="00BD4FA2"/>
    <w:rsid w:val="00BD592F"/>
    <w:rsid w:val="00BD6AEB"/>
    <w:rsid w:val="00BE0336"/>
    <w:rsid w:val="00BE6BF5"/>
    <w:rsid w:val="00BE7BF7"/>
    <w:rsid w:val="00BF4670"/>
    <w:rsid w:val="00BF4932"/>
    <w:rsid w:val="00BF5396"/>
    <w:rsid w:val="00C00533"/>
    <w:rsid w:val="00C01ABA"/>
    <w:rsid w:val="00C07F38"/>
    <w:rsid w:val="00C1087D"/>
    <w:rsid w:val="00C141BA"/>
    <w:rsid w:val="00C156FF"/>
    <w:rsid w:val="00C15C00"/>
    <w:rsid w:val="00C17022"/>
    <w:rsid w:val="00C17A83"/>
    <w:rsid w:val="00C20F95"/>
    <w:rsid w:val="00C218A2"/>
    <w:rsid w:val="00C21A5A"/>
    <w:rsid w:val="00C2483F"/>
    <w:rsid w:val="00C25A81"/>
    <w:rsid w:val="00C27C24"/>
    <w:rsid w:val="00C35DE4"/>
    <w:rsid w:val="00C44A7D"/>
    <w:rsid w:val="00C44C99"/>
    <w:rsid w:val="00C44CB6"/>
    <w:rsid w:val="00C5056D"/>
    <w:rsid w:val="00C51A39"/>
    <w:rsid w:val="00C53A3D"/>
    <w:rsid w:val="00C56047"/>
    <w:rsid w:val="00C56183"/>
    <w:rsid w:val="00C57F04"/>
    <w:rsid w:val="00C60B8B"/>
    <w:rsid w:val="00C6106F"/>
    <w:rsid w:val="00C620E8"/>
    <w:rsid w:val="00C63E9E"/>
    <w:rsid w:val="00C64FD7"/>
    <w:rsid w:val="00C66C60"/>
    <w:rsid w:val="00C67BAF"/>
    <w:rsid w:val="00C70B4A"/>
    <w:rsid w:val="00C71AB7"/>
    <w:rsid w:val="00C74868"/>
    <w:rsid w:val="00C900E0"/>
    <w:rsid w:val="00C93867"/>
    <w:rsid w:val="00C93E65"/>
    <w:rsid w:val="00C945FD"/>
    <w:rsid w:val="00C979BB"/>
    <w:rsid w:val="00CA2CA7"/>
    <w:rsid w:val="00CA3464"/>
    <w:rsid w:val="00CA36C0"/>
    <w:rsid w:val="00CA7C8C"/>
    <w:rsid w:val="00CB0339"/>
    <w:rsid w:val="00CB1F04"/>
    <w:rsid w:val="00CB7043"/>
    <w:rsid w:val="00CC12C7"/>
    <w:rsid w:val="00CC17EE"/>
    <w:rsid w:val="00CC41F3"/>
    <w:rsid w:val="00CD18BF"/>
    <w:rsid w:val="00CD2142"/>
    <w:rsid w:val="00CD2B98"/>
    <w:rsid w:val="00CD3942"/>
    <w:rsid w:val="00CE14A8"/>
    <w:rsid w:val="00CE19F9"/>
    <w:rsid w:val="00CE1D47"/>
    <w:rsid w:val="00CE2394"/>
    <w:rsid w:val="00CE589B"/>
    <w:rsid w:val="00CE6AEF"/>
    <w:rsid w:val="00CF213A"/>
    <w:rsid w:val="00CF6FF6"/>
    <w:rsid w:val="00D00A32"/>
    <w:rsid w:val="00D04B69"/>
    <w:rsid w:val="00D05438"/>
    <w:rsid w:val="00D06C6B"/>
    <w:rsid w:val="00D075AF"/>
    <w:rsid w:val="00D07DDE"/>
    <w:rsid w:val="00D10429"/>
    <w:rsid w:val="00D10D04"/>
    <w:rsid w:val="00D111C0"/>
    <w:rsid w:val="00D115CE"/>
    <w:rsid w:val="00D1192D"/>
    <w:rsid w:val="00D121E2"/>
    <w:rsid w:val="00D14E25"/>
    <w:rsid w:val="00D1745E"/>
    <w:rsid w:val="00D2265A"/>
    <w:rsid w:val="00D2285E"/>
    <w:rsid w:val="00D24CDB"/>
    <w:rsid w:val="00D2682E"/>
    <w:rsid w:val="00D30447"/>
    <w:rsid w:val="00D32703"/>
    <w:rsid w:val="00D40AA6"/>
    <w:rsid w:val="00D4294B"/>
    <w:rsid w:val="00D46C4E"/>
    <w:rsid w:val="00D47001"/>
    <w:rsid w:val="00D558A0"/>
    <w:rsid w:val="00D57217"/>
    <w:rsid w:val="00D61235"/>
    <w:rsid w:val="00D61AE2"/>
    <w:rsid w:val="00D63D08"/>
    <w:rsid w:val="00D65C88"/>
    <w:rsid w:val="00D717E1"/>
    <w:rsid w:val="00D718CB"/>
    <w:rsid w:val="00D74C60"/>
    <w:rsid w:val="00D7713A"/>
    <w:rsid w:val="00D7728F"/>
    <w:rsid w:val="00D77EB7"/>
    <w:rsid w:val="00D82742"/>
    <w:rsid w:val="00D8315F"/>
    <w:rsid w:val="00D843EC"/>
    <w:rsid w:val="00D86717"/>
    <w:rsid w:val="00D868CB"/>
    <w:rsid w:val="00D8755C"/>
    <w:rsid w:val="00D90A95"/>
    <w:rsid w:val="00D93866"/>
    <w:rsid w:val="00D93B85"/>
    <w:rsid w:val="00D93D03"/>
    <w:rsid w:val="00D93D78"/>
    <w:rsid w:val="00D94A7D"/>
    <w:rsid w:val="00D96928"/>
    <w:rsid w:val="00D96FAA"/>
    <w:rsid w:val="00D97411"/>
    <w:rsid w:val="00DA4A13"/>
    <w:rsid w:val="00DA4C17"/>
    <w:rsid w:val="00DA5EA4"/>
    <w:rsid w:val="00DA6141"/>
    <w:rsid w:val="00DB0B87"/>
    <w:rsid w:val="00DB17F8"/>
    <w:rsid w:val="00DB1B38"/>
    <w:rsid w:val="00DB2C3B"/>
    <w:rsid w:val="00DB5039"/>
    <w:rsid w:val="00DB7C95"/>
    <w:rsid w:val="00DC17EE"/>
    <w:rsid w:val="00DC2255"/>
    <w:rsid w:val="00DC2614"/>
    <w:rsid w:val="00DC3DE5"/>
    <w:rsid w:val="00DC471C"/>
    <w:rsid w:val="00DC6FF6"/>
    <w:rsid w:val="00DC7AC2"/>
    <w:rsid w:val="00DD2C1E"/>
    <w:rsid w:val="00DD50D2"/>
    <w:rsid w:val="00DD5F8C"/>
    <w:rsid w:val="00DE1A4B"/>
    <w:rsid w:val="00DE20D3"/>
    <w:rsid w:val="00DE26FE"/>
    <w:rsid w:val="00DE3FD2"/>
    <w:rsid w:val="00DE4052"/>
    <w:rsid w:val="00DE480C"/>
    <w:rsid w:val="00DE4FFC"/>
    <w:rsid w:val="00DF0773"/>
    <w:rsid w:val="00DF16FB"/>
    <w:rsid w:val="00DF202C"/>
    <w:rsid w:val="00DF3C7A"/>
    <w:rsid w:val="00E01362"/>
    <w:rsid w:val="00E02E85"/>
    <w:rsid w:val="00E05DAB"/>
    <w:rsid w:val="00E140CB"/>
    <w:rsid w:val="00E144EC"/>
    <w:rsid w:val="00E160D2"/>
    <w:rsid w:val="00E16E99"/>
    <w:rsid w:val="00E206B3"/>
    <w:rsid w:val="00E22147"/>
    <w:rsid w:val="00E25D09"/>
    <w:rsid w:val="00E27003"/>
    <w:rsid w:val="00E30DE9"/>
    <w:rsid w:val="00E31338"/>
    <w:rsid w:val="00E34397"/>
    <w:rsid w:val="00E366A8"/>
    <w:rsid w:val="00E405C7"/>
    <w:rsid w:val="00E406AB"/>
    <w:rsid w:val="00E409E2"/>
    <w:rsid w:val="00E40F23"/>
    <w:rsid w:val="00E41C06"/>
    <w:rsid w:val="00E43357"/>
    <w:rsid w:val="00E43DB2"/>
    <w:rsid w:val="00E474B8"/>
    <w:rsid w:val="00E47BD0"/>
    <w:rsid w:val="00E5110D"/>
    <w:rsid w:val="00E53C44"/>
    <w:rsid w:val="00E55184"/>
    <w:rsid w:val="00E557CD"/>
    <w:rsid w:val="00E57101"/>
    <w:rsid w:val="00E57431"/>
    <w:rsid w:val="00E622A0"/>
    <w:rsid w:val="00E62E61"/>
    <w:rsid w:val="00E64BDB"/>
    <w:rsid w:val="00E70253"/>
    <w:rsid w:val="00E70285"/>
    <w:rsid w:val="00E70A5D"/>
    <w:rsid w:val="00E70F93"/>
    <w:rsid w:val="00E714E1"/>
    <w:rsid w:val="00E73602"/>
    <w:rsid w:val="00E7666E"/>
    <w:rsid w:val="00E77243"/>
    <w:rsid w:val="00E77BF6"/>
    <w:rsid w:val="00E81B93"/>
    <w:rsid w:val="00E93688"/>
    <w:rsid w:val="00E93FEE"/>
    <w:rsid w:val="00E95ABE"/>
    <w:rsid w:val="00EA01B4"/>
    <w:rsid w:val="00EA0363"/>
    <w:rsid w:val="00EA08C3"/>
    <w:rsid w:val="00EA3E54"/>
    <w:rsid w:val="00EA6BA9"/>
    <w:rsid w:val="00EA6CDF"/>
    <w:rsid w:val="00EA74CA"/>
    <w:rsid w:val="00EA75A4"/>
    <w:rsid w:val="00EA7619"/>
    <w:rsid w:val="00EB2D19"/>
    <w:rsid w:val="00EB3A22"/>
    <w:rsid w:val="00EB53EA"/>
    <w:rsid w:val="00EB599D"/>
    <w:rsid w:val="00EC04BF"/>
    <w:rsid w:val="00EC0596"/>
    <w:rsid w:val="00EC3472"/>
    <w:rsid w:val="00EC46E7"/>
    <w:rsid w:val="00EC4DAD"/>
    <w:rsid w:val="00EC5947"/>
    <w:rsid w:val="00EC6E9F"/>
    <w:rsid w:val="00EC7FF6"/>
    <w:rsid w:val="00ED4668"/>
    <w:rsid w:val="00ED7B22"/>
    <w:rsid w:val="00EE00B8"/>
    <w:rsid w:val="00EE15CD"/>
    <w:rsid w:val="00EE304A"/>
    <w:rsid w:val="00EE616C"/>
    <w:rsid w:val="00EE6345"/>
    <w:rsid w:val="00EF151A"/>
    <w:rsid w:val="00EF2A82"/>
    <w:rsid w:val="00EF7BF6"/>
    <w:rsid w:val="00F022B5"/>
    <w:rsid w:val="00F02B11"/>
    <w:rsid w:val="00F02DB1"/>
    <w:rsid w:val="00F040F2"/>
    <w:rsid w:val="00F04E68"/>
    <w:rsid w:val="00F05ADF"/>
    <w:rsid w:val="00F07372"/>
    <w:rsid w:val="00F105E1"/>
    <w:rsid w:val="00F1363D"/>
    <w:rsid w:val="00F14CD5"/>
    <w:rsid w:val="00F163FD"/>
    <w:rsid w:val="00F16D6C"/>
    <w:rsid w:val="00F17E20"/>
    <w:rsid w:val="00F20C58"/>
    <w:rsid w:val="00F22404"/>
    <w:rsid w:val="00F23721"/>
    <w:rsid w:val="00F2418A"/>
    <w:rsid w:val="00F2726F"/>
    <w:rsid w:val="00F27969"/>
    <w:rsid w:val="00F357DF"/>
    <w:rsid w:val="00F3796A"/>
    <w:rsid w:val="00F41C11"/>
    <w:rsid w:val="00F44770"/>
    <w:rsid w:val="00F45BD3"/>
    <w:rsid w:val="00F45F61"/>
    <w:rsid w:val="00F46F90"/>
    <w:rsid w:val="00F4764B"/>
    <w:rsid w:val="00F47756"/>
    <w:rsid w:val="00F50FDD"/>
    <w:rsid w:val="00F5163D"/>
    <w:rsid w:val="00F523BE"/>
    <w:rsid w:val="00F56E00"/>
    <w:rsid w:val="00F6097F"/>
    <w:rsid w:val="00F62BD7"/>
    <w:rsid w:val="00F64C11"/>
    <w:rsid w:val="00F7118D"/>
    <w:rsid w:val="00F76B50"/>
    <w:rsid w:val="00F76FC7"/>
    <w:rsid w:val="00F83364"/>
    <w:rsid w:val="00F85E7D"/>
    <w:rsid w:val="00F86599"/>
    <w:rsid w:val="00F9149F"/>
    <w:rsid w:val="00F92447"/>
    <w:rsid w:val="00F92E99"/>
    <w:rsid w:val="00F94FEB"/>
    <w:rsid w:val="00F95C05"/>
    <w:rsid w:val="00F95E5F"/>
    <w:rsid w:val="00F97D57"/>
    <w:rsid w:val="00FA1D87"/>
    <w:rsid w:val="00FA5101"/>
    <w:rsid w:val="00FA5EC1"/>
    <w:rsid w:val="00FB3712"/>
    <w:rsid w:val="00FB3DAF"/>
    <w:rsid w:val="00FB4E90"/>
    <w:rsid w:val="00FB6119"/>
    <w:rsid w:val="00FC0516"/>
    <w:rsid w:val="00FC29A4"/>
    <w:rsid w:val="00FD0F97"/>
    <w:rsid w:val="00FD1D06"/>
    <w:rsid w:val="00FD61A3"/>
    <w:rsid w:val="00FE1AAB"/>
    <w:rsid w:val="00FE21FB"/>
    <w:rsid w:val="00FE3A90"/>
    <w:rsid w:val="00FE4545"/>
    <w:rsid w:val="00FE4667"/>
    <w:rsid w:val="00FE54FC"/>
    <w:rsid w:val="00FE5BCE"/>
    <w:rsid w:val="00FF05E4"/>
    <w:rsid w:val="00FF0EB7"/>
    <w:rsid w:val="00FF2781"/>
    <w:rsid w:val="00FF2921"/>
    <w:rsid w:val="00FF3874"/>
    <w:rsid w:val="00FF55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BF100E2-CA5A-4EE8-8438-EC3B07118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val="en-US" w:eastAsia="ar-SA"/>
    </w:rPr>
  </w:style>
  <w:style w:type="paragraph" w:styleId="Heading1">
    <w:name w:val="heading 1"/>
    <w:basedOn w:val="Normal"/>
    <w:next w:val="Normal"/>
    <w:link w:val="Heading1Char"/>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320"/>
        <w:tab w:val="right" w:pos="8640"/>
      </w:tabs>
    </w:pPr>
    <w:rPr>
      <w:rFonts w:cs="Traditional Arabic"/>
      <w:snapToGrid w:val="0"/>
      <w:sz w:val="20"/>
      <w:szCs w:val="20"/>
      <w:lang w:eastAsia="en-US"/>
    </w:rPr>
  </w:style>
  <w:style w:type="paragraph" w:styleId="FootnoteText">
    <w:name w:val="footnote text"/>
    <w:basedOn w:val="Normal"/>
    <w:link w:val="FootnoteTextChar"/>
    <w:uiPriority w:val="99"/>
    <w:semiHidden/>
    <w:rPr>
      <w:snapToGrid w:val="0"/>
      <w:sz w:val="20"/>
      <w:szCs w:val="20"/>
      <w:lang w:val="x-none" w:eastAsia="x-none"/>
    </w:rPr>
  </w:style>
  <w:style w:type="character" w:styleId="FootnoteReference">
    <w:name w:val="footnote reference"/>
    <w:uiPriority w:val="99"/>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iPriority w:val="99"/>
    <w:unhideWhenUsed/>
    <w:pPr>
      <w:tabs>
        <w:tab w:val="center" w:pos="4153"/>
        <w:tab w:val="right" w:pos="8306"/>
      </w:tabs>
    </w:pPr>
  </w:style>
  <w:style w:type="character" w:customStyle="1" w:styleId="FooterChar">
    <w:name w:val="Footer Char"/>
    <w:uiPriority w:val="99"/>
    <w:rPr>
      <w:sz w:val="24"/>
      <w:szCs w:val="24"/>
      <w:lang w:eastAsia="ar-SA"/>
    </w:rPr>
  </w:style>
  <w:style w:type="character" w:styleId="PageNumber">
    <w:name w:val="page number"/>
    <w:basedOn w:val="DefaultParagraphFont"/>
    <w:semiHidden/>
  </w:style>
  <w:style w:type="paragraph" w:styleId="BodyText2">
    <w:name w:val="Body Text 2"/>
    <w:basedOn w:val="Normal"/>
    <w:uiPriority w:val="99"/>
    <w:unhideWhenUsed/>
    <w:pPr>
      <w:spacing w:after="120" w:line="480" w:lineRule="auto"/>
    </w:pPr>
  </w:style>
  <w:style w:type="character" w:customStyle="1" w:styleId="BodyText2Char">
    <w:name w:val="Body Text 2 Char"/>
    <w:uiPriority w:val="99"/>
    <w:rPr>
      <w:sz w:val="24"/>
      <w:szCs w:val="24"/>
      <w:lang w:eastAsia="ar-SA"/>
    </w:rPr>
  </w:style>
  <w:style w:type="paragraph" w:styleId="BodyText3">
    <w:name w:val="Body Text 3"/>
    <w:basedOn w:val="Normal"/>
    <w:semiHidden/>
    <w:unhideWhenUsed/>
    <w:pPr>
      <w:spacing w:after="120"/>
    </w:pPr>
    <w:rPr>
      <w:sz w:val="16"/>
      <w:szCs w:val="16"/>
    </w:rPr>
  </w:style>
  <w:style w:type="character" w:customStyle="1" w:styleId="BodyText3Char">
    <w:name w:val="Body Text 3 Char"/>
    <w:semiHidden/>
    <w:rPr>
      <w:sz w:val="16"/>
      <w:szCs w:val="16"/>
      <w:lang w:eastAsia="ar-SA"/>
    </w:rPr>
  </w:style>
  <w:style w:type="character" w:styleId="Hyperlink">
    <w:name w:val="Hyperlink"/>
    <w:uiPriority w:val="99"/>
    <w:unhideWhenUsed/>
    <w:rsid w:val="008A5295"/>
    <w:rPr>
      <w:color w:val="0000FF"/>
      <w:u w:val="single"/>
    </w:rPr>
  </w:style>
  <w:style w:type="character" w:customStyle="1" w:styleId="HeaderChar">
    <w:name w:val="Header Char"/>
    <w:uiPriority w:val="99"/>
    <w:rPr>
      <w:rFonts w:cs="Traditional Arabic"/>
      <w:snapToGrid w:val="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ar-SA"/>
    </w:rPr>
  </w:style>
  <w:style w:type="character" w:customStyle="1" w:styleId="FootnoteTextChar">
    <w:name w:val="Footnote Text Char"/>
    <w:link w:val="FootnoteText"/>
    <w:uiPriority w:val="99"/>
    <w:semiHidden/>
    <w:rsid w:val="006C6817"/>
    <w:rPr>
      <w:rFonts w:cs="Traditional Arabic"/>
      <w:snapToGrid w:val="0"/>
    </w:rPr>
  </w:style>
  <w:style w:type="table" w:styleId="TableGrid">
    <w:name w:val="Table Grid"/>
    <w:basedOn w:val="TableNormal"/>
    <w:uiPriority w:val="59"/>
    <w:rsid w:val="00777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5E74"/>
    <w:pPr>
      <w:bidi w:val="0"/>
      <w:spacing w:before="100" w:beforeAutospacing="1" w:after="119"/>
    </w:pPr>
    <w:rPr>
      <w:lang w:eastAsia="en-US"/>
    </w:rPr>
  </w:style>
  <w:style w:type="character" w:styleId="CommentReference">
    <w:name w:val="annotation reference"/>
    <w:uiPriority w:val="99"/>
    <w:semiHidden/>
    <w:unhideWhenUsed/>
    <w:rsid w:val="00025E3D"/>
    <w:rPr>
      <w:sz w:val="16"/>
      <w:szCs w:val="16"/>
    </w:rPr>
  </w:style>
  <w:style w:type="paragraph" w:styleId="CommentText">
    <w:name w:val="annotation text"/>
    <w:basedOn w:val="Normal"/>
    <w:link w:val="CommentTextChar"/>
    <w:uiPriority w:val="99"/>
    <w:semiHidden/>
    <w:unhideWhenUsed/>
    <w:rsid w:val="00025E3D"/>
    <w:rPr>
      <w:sz w:val="20"/>
      <w:szCs w:val="20"/>
      <w:lang w:val="x-none"/>
    </w:rPr>
  </w:style>
  <w:style w:type="character" w:customStyle="1" w:styleId="CommentTextChar">
    <w:name w:val="Comment Text Char"/>
    <w:link w:val="CommentText"/>
    <w:uiPriority w:val="99"/>
    <w:semiHidden/>
    <w:rsid w:val="00025E3D"/>
    <w:rPr>
      <w:lang w:eastAsia="ar-SA"/>
    </w:rPr>
  </w:style>
  <w:style w:type="paragraph" w:styleId="CommentSubject">
    <w:name w:val="annotation subject"/>
    <w:basedOn w:val="CommentText"/>
    <w:next w:val="CommentText"/>
    <w:link w:val="CommentSubjectChar"/>
    <w:uiPriority w:val="99"/>
    <w:semiHidden/>
    <w:unhideWhenUsed/>
    <w:rsid w:val="00025E3D"/>
    <w:rPr>
      <w:b/>
      <w:bCs/>
    </w:rPr>
  </w:style>
  <w:style w:type="character" w:customStyle="1" w:styleId="CommentSubjectChar">
    <w:name w:val="Comment Subject Char"/>
    <w:link w:val="CommentSubject"/>
    <w:uiPriority w:val="99"/>
    <w:semiHidden/>
    <w:rsid w:val="00025E3D"/>
    <w:rPr>
      <w:b/>
      <w:bCs/>
      <w:lang w:eastAsia="ar-SA"/>
    </w:rPr>
  </w:style>
  <w:style w:type="paragraph" w:styleId="Revision">
    <w:name w:val="Revision"/>
    <w:hidden/>
    <w:uiPriority w:val="99"/>
    <w:semiHidden/>
    <w:rsid w:val="00EA3E54"/>
    <w:rPr>
      <w:sz w:val="24"/>
      <w:szCs w:val="24"/>
      <w:lang w:val="en-US" w:eastAsia="ar-SA"/>
    </w:rPr>
  </w:style>
  <w:style w:type="character" w:customStyle="1" w:styleId="rynqvb">
    <w:name w:val="rynqvb"/>
    <w:rsid w:val="00EA74CA"/>
  </w:style>
  <w:style w:type="character" w:customStyle="1" w:styleId="Heading1Char">
    <w:name w:val="Heading 1 Char"/>
    <w:link w:val="Heading1"/>
    <w:rsid w:val="005551B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694200">
      <w:bodyDiv w:val="1"/>
      <w:marLeft w:val="0"/>
      <w:marRight w:val="0"/>
      <w:marTop w:val="0"/>
      <w:marBottom w:val="0"/>
      <w:divBdr>
        <w:top w:val="none" w:sz="0" w:space="0" w:color="auto"/>
        <w:left w:val="none" w:sz="0" w:space="0" w:color="auto"/>
        <w:bottom w:val="none" w:sz="0" w:space="0" w:color="auto"/>
        <w:right w:val="none" w:sz="0" w:space="0" w:color="auto"/>
      </w:divBdr>
    </w:div>
    <w:div w:id="1000350516">
      <w:bodyDiv w:val="1"/>
      <w:marLeft w:val="0"/>
      <w:marRight w:val="0"/>
      <w:marTop w:val="0"/>
      <w:marBottom w:val="0"/>
      <w:divBdr>
        <w:top w:val="none" w:sz="0" w:space="0" w:color="auto"/>
        <w:left w:val="none" w:sz="0" w:space="0" w:color="auto"/>
        <w:bottom w:val="none" w:sz="0" w:space="0" w:color="auto"/>
        <w:right w:val="none" w:sz="0" w:space="0" w:color="auto"/>
      </w:divBdr>
    </w:div>
    <w:div w:id="156128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72072072072072"/>
          <c:y val="9.9526066350710901E-2"/>
          <c:w val="0.72372372372372373"/>
          <c:h val="0.75829383886255919"/>
        </c:manualLayout>
      </c:layout>
      <c:lineChart>
        <c:grouping val="standard"/>
        <c:varyColors val="0"/>
        <c:ser>
          <c:idx val="0"/>
          <c:order val="0"/>
          <c:tx>
            <c:strRef>
              <c:f>Sheet1!$A$2</c:f>
              <c:strCache>
                <c:ptCount val="1"/>
                <c:pt idx="0">
                  <c:v>inflation rate</c:v>
                </c:pt>
              </c:strCache>
            </c:strRef>
          </c:tx>
          <c:spPr>
            <a:ln w="12643">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Mode val="edge"/>
                  <c:yMode val="edge"/>
                  <c:x val="0.21321321321321321"/>
                  <c:y val="0.55924170616113744"/>
                </c:manualLayout>
              </c:layout>
              <c:spPr>
                <a:noFill/>
                <a:ln w="25286">
                  <a:noFill/>
                </a:ln>
              </c:spPr>
              <c:txPr>
                <a:bodyPr/>
                <a:lstStyle/>
                <a:p>
                  <a:pPr>
                    <a:defRPr sz="921" b="1" i="0" u="none" strike="noStrike"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435-43DE-8F2A-D481DF8EE3EA}"/>
                </c:ext>
              </c:extLst>
            </c:dLbl>
            <c:dLbl>
              <c:idx val="5"/>
              <c:layout>
                <c:manualLayout>
                  <c:xMode val="edge"/>
                  <c:yMode val="edge"/>
                  <c:x val="0.52252252252252251"/>
                  <c:y val="0.56872037914691942"/>
                </c:manualLayout>
              </c:layout>
              <c:spPr>
                <a:noFill/>
                <a:ln w="25286">
                  <a:noFill/>
                </a:ln>
              </c:spPr>
              <c:txPr>
                <a:bodyPr/>
                <a:lstStyle/>
                <a:p>
                  <a:pPr>
                    <a:defRPr sz="921" b="1" i="0" u="none" strike="noStrike"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435-43DE-8F2A-D481DF8EE3EA}"/>
                </c:ext>
              </c:extLst>
            </c:dLbl>
            <c:dLbl>
              <c:idx val="9"/>
              <c:layout>
                <c:manualLayout>
                  <c:xMode val="edge"/>
                  <c:yMode val="edge"/>
                  <c:x val="0.85585585585585588"/>
                  <c:y val="0.54502369668246442"/>
                </c:manualLayout>
              </c:layout>
              <c:spPr>
                <a:noFill/>
                <a:ln w="25286">
                  <a:noFill/>
                </a:ln>
              </c:spPr>
              <c:txPr>
                <a:bodyPr/>
                <a:lstStyle/>
                <a:p>
                  <a:pPr>
                    <a:defRPr sz="921" b="1" i="0" u="none" strike="noStrike"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435-43DE-8F2A-D481DF8EE3EA}"/>
                </c:ext>
              </c:extLst>
            </c:dLbl>
            <c:dLbl>
              <c:idx val="10"/>
              <c:layout>
                <c:manualLayout>
                  <c:xMode val="edge"/>
                  <c:yMode val="edge"/>
                  <c:x val="0.8498498498498499"/>
                  <c:y val="1.8957345971563982E-2"/>
                </c:manualLayout>
              </c:layout>
              <c:spPr>
                <a:noFill/>
                <a:ln w="25286">
                  <a:noFill/>
                </a:ln>
              </c:spPr>
              <c:txPr>
                <a:bodyPr/>
                <a:lstStyle/>
                <a:p>
                  <a:pPr>
                    <a:defRPr sz="921" b="1" i="0" u="none" strike="noStrike"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435-43DE-8F2A-D481DF8EE3E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Sheet1!$B$1:$L$1</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Sheet1!$B$2:$L$2</c:f>
              <c:numCache>
                <c:formatCode>0.00%</c:formatCode>
                <c:ptCount val="11"/>
                <c:pt idx="0">
                  <c:v>7.7999999999999996E-3</c:v>
                </c:pt>
                <c:pt idx="1">
                  <c:v>1.7299999999999999E-2</c:v>
                </c:pt>
                <c:pt idx="2">
                  <c:v>1.7600000000000001E-2</c:v>
                </c:pt>
                <c:pt idx="3">
                  <c:v>8.8000000000000005E-3</c:v>
                </c:pt>
                <c:pt idx="4">
                  <c:v>2.2200000000000001E-2</c:v>
                </c:pt>
                <c:pt idx="5">
                  <c:v>-5.7999999999999996E-3</c:v>
                </c:pt>
                <c:pt idx="6">
                  <c:v>-4.5100000000000001E-2</c:v>
                </c:pt>
                <c:pt idx="7">
                  <c:v>2.6700000000000002E-2</c:v>
                </c:pt>
                <c:pt idx="8">
                  <c:v>7.4300000000000005E-2</c:v>
                </c:pt>
                <c:pt idx="9">
                  <c:v>5.4800000000000001E-2</c:v>
                </c:pt>
                <c:pt idx="10">
                  <c:v>0.35420000000000001</c:v>
                </c:pt>
              </c:numCache>
            </c:numRef>
          </c:val>
          <c:smooth val="0"/>
          <c:extLst>
            <c:ext xmlns:c16="http://schemas.microsoft.com/office/drawing/2014/chart" uri="{C3380CC4-5D6E-409C-BE32-E72D297353CC}">
              <c16:uniqueId val="{00000004-7435-43DE-8F2A-D481DF8EE3EA}"/>
            </c:ext>
          </c:extLst>
        </c:ser>
        <c:dLbls>
          <c:showLegendKey val="0"/>
          <c:showVal val="0"/>
          <c:showCatName val="0"/>
          <c:showSerName val="0"/>
          <c:showPercent val="0"/>
          <c:showBubbleSize val="0"/>
        </c:dLbls>
        <c:marker val="1"/>
        <c:smooth val="0"/>
        <c:axId val="264940112"/>
        <c:axId val="1"/>
      </c:lineChart>
      <c:catAx>
        <c:axId val="264940112"/>
        <c:scaling>
          <c:orientation val="minMax"/>
        </c:scaling>
        <c:delete val="0"/>
        <c:axPos val="b"/>
        <c:numFmt formatCode="General" sourceLinked="1"/>
        <c:majorTickMark val="out"/>
        <c:minorTickMark val="none"/>
        <c:tickLblPos val="nextTo"/>
        <c:spPr>
          <a:ln w="3161">
            <a:solidFill>
              <a:srgbClr val="000000"/>
            </a:solidFill>
            <a:prstDash val="solid"/>
          </a:ln>
        </c:spPr>
        <c:txPr>
          <a:bodyPr rot="2820000" vert="horz"/>
          <a:lstStyle/>
          <a:p>
            <a:pPr>
              <a:defRPr sz="921" b="0" i="0" u="none" strike="noStrike" baseline="0">
                <a:solidFill>
                  <a:srgbClr val="000000"/>
                </a:solidFill>
                <a:latin typeface="Arial"/>
                <a:ea typeface="Arial"/>
                <a:cs typeface="Arial"/>
              </a:defRPr>
            </a:pPr>
            <a:endParaRPr lang="en-US"/>
          </a:p>
        </c:txPr>
        <c:crossAx val="1"/>
        <c:crosses val="autoZero"/>
        <c:auto val="1"/>
        <c:lblAlgn val="ctr"/>
        <c:lblOffset val="500"/>
        <c:tickLblSkip val="1"/>
        <c:tickMarkSkip val="1"/>
        <c:noMultiLvlLbl val="0"/>
      </c:catAx>
      <c:valAx>
        <c:axId val="1"/>
        <c:scaling>
          <c:orientation val="minMax"/>
        </c:scaling>
        <c:delete val="0"/>
        <c:axPos val="l"/>
        <c:title>
          <c:tx>
            <c:rich>
              <a:bodyPr/>
              <a:lstStyle/>
              <a:p>
                <a:pPr>
                  <a:defRPr sz="921" b="0" i="0" u="none" strike="noStrike" baseline="0">
                    <a:solidFill>
                      <a:srgbClr val="000000"/>
                    </a:solidFill>
                    <a:latin typeface="Arial"/>
                    <a:ea typeface="Arial"/>
                    <a:cs typeface="Arial"/>
                  </a:defRPr>
                </a:pPr>
                <a:r>
                  <a:rPr lang="en-GB"/>
                  <a:t>Yearly Percent Changes</a:t>
                </a:r>
              </a:p>
            </c:rich>
          </c:tx>
          <c:layout>
            <c:manualLayout>
              <c:xMode val="edge"/>
              <c:yMode val="edge"/>
              <c:x val="0"/>
              <c:y val="0.17061611374407584"/>
            </c:manualLayout>
          </c:layout>
          <c:overlay val="0"/>
          <c:spPr>
            <a:noFill/>
            <a:ln w="25286">
              <a:noFill/>
            </a:ln>
          </c:spPr>
        </c:title>
        <c:numFmt formatCode="0%" sourceLinked="0"/>
        <c:majorTickMark val="out"/>
        <c:minorTickMark val="none"/>
        <c:tickLblPos val="nextTo"/>
        <c:spPr>
          <a:ln w="3161">
            <a:solidFill>
              <a:srgbClr val="000000"/>
            </a:solidFill>
            <a:prstDash val="solid"/>
          </a:ln>
        </c:spPr>
        <c:txPr>
          <a:bodyPr rot="0" vert="horz"/>
          <a:lstStyle/>
          <a:p>
            <a:pPr>
              <a:defRPr sz="921" b="0" i="0" u="none" strike="noStrike" baseline="0">
                <a:solidFill>
                  <a:srgbClr val="000000"/>
                </a:solidFill>
                <a:latin typeface="Arial"/>
                <a:ea typeface="Arial"/>
                <a:cs typeface="Arial"/>
              </a:defRPr>
            </a:pPr>
            <a:endParaRPr lang="en-US"/>
          </a:p>
        </c:txPr>
        <c:crossAx val="264940112"/>
        <c:crosses val="autoZero"/>
        <c:crossBetween val="between"/>
      </c:valAx>
      <c:spPr>
        <a:noFill/>
        <a:ln w="25286">
          <a:noFill/>
        </a:ln>
      </c:spPr>
    </c:plotArea>
    <c:plotVisOnly val="1"/>
    <c:dispBlanksAs val="gap"/>
    <c:showDLblsOverMax val="0"/>
  </c:chart>
  <c:spPr>
    <a:noFill/>
    <a:ln w="9525" cap="flat" cmpd="sng" algn="ctr">
      <a:solidFill>
        <a:srgbClr val="000000"/>
      </a:solidFill>
      <a:prstDash val="solid"/>
      <a:miter lim="800000"/>
      <a:headEnd type="none" w="med" len="med"/>
      <a:tailEnd type="none" w="med" len="med"/>
    </a:ln>
  </c:spPr>
  <c:txPr>
    <a:bodyPr/>
    <a:lstStyle/>
    <a:p>
      <a:pPr>
        <a:defRPr sz="921" b="1"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52173913043479"/>
          <c:y val="9.4786729857819899E-2"/>
          <c:w val="0.73043478260869565"/>
          <c:h val="0.63033175355450233"/>
        </c:manualLayout>
      </c:layout>
      <c:lineChart>
        <c:grouping val="standard"/>
        <c:varyColors val="0"/>
        <c:ser>
          <c:idx val="0"/>
          <c:order val="0"/>
          <c:tx>
            <c:strRef>
              <c:f>Sheet1!$A$2</c:f>
              <c:strCache>
                <c:ptCount val="1"/>
                <c:pt idx="0">
                  <c:v>Price Index</c:v>
                </c:pt>
              </c:strCache>
            </c:strRef>
          </c:tx>
          <c:spPr>
            <a:ln w="12643">
              <a:solidFill>
                <a:srgbClr val="000080"/>
              </a:solidFill>
              <a:prstDash val="solid"/>
            </a:ln>
          </c:spPr>
          <c:marker>
            <c:symbol val="x"/>
            <c:size val="4"/>
            <c:spPr>
              <a:solidFill>
                <a:srgbClr val="000080"/>
              </a:solidFill>
              <a:ln>
                <a:solidFill>
                  <a:srgbClr val="000080"/>
                </a:solidFill>
                <a:prstDash val="solid"/>
              </a:ln>
            </c:spPr>
          </c:marker>
          <c:dLbls>
            <c:dLbl>
              <c:idx val="0"/>
              <c:layout>
                <c:manualLayout>
                  <c:xMode val="edge"/>
                  <c:yMode val="edge"/>
                  <c:x val="0.14782608695652175"/>
                  <c:y val="0.59241706161137442"/>
                </c:manualLayout>
              </c:layout>
              <c:numFmt formatCode="0.00" sourceLinked="0"/>
              <c:spPr>
                <a:noFill/>
                <a:ln w="25286">
                  <a:noFill/>
                </a:ln>
              </c:spPr>
              <c:txPr>
                <a:bodyPr/>
                <a:lstStyle/>
                <a:p>
                  <a:pPr>
                    <a:defRPr sz="796" b="1" i="0" u="none" strike="noStrike" baseline="0">
                      <a:solidFill>
                        <a:srgbClr val="000000"/>
                      </a:solidFill>
                      <a:latin typeface="Arial"/>
                      <a:ea typeface="Arial"/>
                      <a:cs typeface="Arial"/>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CD9-4A82-AA03-00E84ACE4963}"/>
                </c:ext>
              </c:extLst>
            </c:dLbl>
            <c:dLbl>
              <c:idx val="11"/>
              <c:layout>
                <c:manualLayout>
                  <c:xMode val="edge"/>
                  <c:yMode val="edge"/>
                  <c:x val="0.87826086956521743"/>
                  <c:y val="0.21800947867298578"/>
                </c:manualLayout>
              </c:layout>
              <c:numFmt formatCode="0.00" sourceLinked="0"/>
              <c:spPr>
                <a:noFill/>
                <a:ln w="25286">
                  <a:noFill/>
                </a:ln>
              </c:spPr>
              <c:txPr>
                <a:bodyPr/>
                <a:lstStyle/>
                <a:p>
                  <a:pPr>
                    <a:defRPr sz="796" b="1" i="0" u="none" strike="noStrike" baseline="0">
                      <a:solidFill>
                        <a:srgbClr val="000000"/>
                      </a:solidFill>
                      <a:latin typeface="Arial"/>
                      <a:ea typeface="Arial"/>
                      <a:cs typeface="Arial"/>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CD9-4A82-AA03-00E84ACE4963}"/>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Sheet1!$B$1:$M$1</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Sheet1!$B$2:$M$2</c:f>
              <c:numCache>
                <c:formatCode>General</c:formatCode>
                <c:ptCount val="12"/>
                <c:pt idx="0">
                  <c:v>134.09</c:v>
                </c:pt>
                <c:pt idx="1">
                  <c:v>139.41</c:v>
                </c:pt>
                <c:pt idx="2">
                  <c:v>146.38</c:v>
                </c:pt>
                <c:pt idx="3">
                  <c:v>139</c:v>
                </c:pt>
                <c:pt idx="4">
                  <c:v>134.41</c:v>
                </c:pt>
                <c:pt idx="5">
                  <c:v>133.25</c:v>
                </c:pt>
                <c:pt idx="6">
                  <c:v>136.24</c:v>
                </c:pt>
                <c:pt idx="7">
                  <c:v>149.6</c:v>
                </c:pt>
                <c:pt idx="8">
                  <c:v>173.05</c:v>
                </c:pt>
                <c:pt idx="9">
                  <c:v>177.98</c:v>
                </c:pt>
                <c:pt idx="10">
                  <c:v>176.02</c:v>
                </c:pt>
                <c:pt idx="11">
                  <c:v>165.87</c:v>
                </c:pt>
              </c:numCache>
            </c:numRef>
          </c:val>
          <c:smooth val="0"/>
          <c:extLst>
            <c:ext xmlns:c16="http://schemas.microsoft.com/office/drawing/2014/chart" uri="{C3380CC4-5D6E-409C-BE32-E72D297353CC}">
              <c16:uniqueId val="{00000002-9CD9-4A82-AA03-00E84ACE4963}"/>
            </c:ext>
          </c:extLst>
        </c:ser>
        <c:ser>
          <c:idx val="1"/>
          <c:order val="1"/>
          <c:tx>
            <c:strRef>
              <c:f>Sheet1!$A$3</c:f>
              <c:strCache>
                <c:ptCount val="1"/>
              </c:strCache>
            </c:strRef>
          </c:tx>
          <c:spPr>
            <a:ln w="12643">
              <a:solidFill>
                <a:srgbClr val="FF00FF"/>
              </a:solidFill>
              <a:prstDash val="solid"/>
            </a:ln>
          </c:spPr>
          <c:marker>
            <c:symbol val="none"/>
          </c:marker>
          <c:cat>
            <c:strRef>
              <c:f>Sheet1!$B$1:$M$1</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Sheet1!$B$3:$M$3</c:f>
              <c:numCache>
                <c:formatCode>General</c:formatCode>
                <c:ptCount val="12"/>
              </c:numCache>
            </c:numRef>
          </c:val>
          <c:smooth val="0"/>
          <c:extLst>
            <c:ext xmlns:c16="http://schemas.microsoft.com/office/drawing/2014/chart" uri="{C3380CC4-5D6E-409C-BE32-E72D297353CC}">
              <c16:uniqueId val="{00000003-9CD9-4A82-AA03-00E84ACE4963}"/>
            </c:ext>
          </c:extLst>
        </c:ser>
        <c:ser>
          <c:idx val="2"/>
          <c:order val="2"/>
          <c:tx>
            <c:strRef>
              <c:f>Sheet1!$A$4</c:f>
              <c:strCache>
                <c:ptCount val="1"/>
              </c:strCache>
            </c:strRef>
          </c:tx>
          <c:spPr>
            <a:ln w="12643">
              <a:solidFill>
                <a:srgbClr val="FFFF00"/>
              </a:solidFill>
              <a:prstDash val="solid"/>
            </a:ln>
          </c:spPr>
          <c:marker>
            <c:symbol val="none"/>
          </c:marker>
          <c:cat>
            <c:strRef>
              <c:f>Sheet1!$B$1:$M$1</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Sheet1!$B$4:$M$4</c:f>
              <c:numCache>
                <c:formatCode>General</c:formatCode>
                <c:ptCount val="12"/>
              </c:numCache>
            </c:numRef>
          </c:val>
          <c:smooth val="0"/>
          <c:extLst>
            <c:ext xmlns:c16="http://schemas.microsoft.com/office/drawing/2014/chart" uri="{C3380CC4-5D6E-409C-BE32-E72D297353CC}">
              <c16:uniqueId val="{00000004-9CD9-4A82-AA03-00E84ACE4963}"/>
            </c:ext>
          </c:extLst>
        </c:ser>
        <c:ser>
          <c:idx val="3"/>
          <c:order val="3"/>
          <c:tx>
            <c:strRef>
              <c:f>Sheet1!$A$5</c:f>
              <c:strCache>
                <c:ptCount val="1"/>
              </c:strCache>
            </c:strRef>
          </c:tx>
          <c:spPr>
            <a:ln w="12643">
              <a:solidFill>
                <a:srgbClr val="00FFFF"/>
              </a:solidFill>
              <a:prstDash val="solid"/>
            </a:ln>
          </c:spPr>
          <c:marker>
            <c:symbol val="none"/>
          </c:marker>
          <c:cat>
            <c:strRef>
              <c:f>Sheet1!$B$1:$M$1</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Sheet1!$B$5:$M$5</c:f>
              <c:numCache>
                <c:formatCode>General</c:formatCode>
                <c:ptCount val="12"/>
              </c:numCache>
            </c:numRef>
          </c:val>
          <c:smooth val="0"/>
          <c:extLst>
            <c:ext xmlns:c16="http://schemas.microsoft.com/office/drawing/2014/chart" uri="{C3380CC4-5D6E-409C-BE32-E72D297353CC}">
              <c16:uniqueId val="{00000005-9CD9-4A82-AA03-00E84ACE4963}"/>
            </c:ext>
          </c:extLst>
        </c:ser>
        <c:dLbls>
          <c:showLegendKey val="0"/>
          <c:showVal val="0"/>
          <c:showCatName val="0"/>
          <c:showSerName val="0"/>
          <c:showPercent val="0"/>
          <c:showBubbleSize val="0"/>
        </c:dLbls>
        <c:marker val="1"/>
        <c:smooth val="0"/>
        <c:axId val="265395632"/>
        <c:axId val="1"/>
      </c:lineChart>
      <c:catAx>
        <c:axId val="265395632"/>
        <c:scaling>
          <c:orientation val="minMax"/>
        </c:scaling>
        <c:delete val="0"/>
        <c:axPos val="b"/>
        <c:numFmt formatCode="General" sourceLinked="0"/>
        <c:majorTickMark val="out"/>
        <c:minorTickMark val="none"/>
        <c:tickLblPos val="nextTo"/>
        <c:spPr>
          <a:ln w="3161">
            <a:solidFill>
              <a:srgbClr val="000000"/>
            </a:solidFill>
            <a:prstDash val="solid"/>
          </a:ln>
        </c:spPr>
        <c:txPr>
          <a:bodyPr rot="2640000" vert="horz"/>
          <a:lstStyle/>
          <a:p>
            <a:pPr>
              <a:defRPr sz="796" b="0" i="0" u="none" strike="noStrike" baseline="0">
                <a:solidFill>
                  <a:srgbClr val="000000"/>
                </a:solidFill>
                <a:latin typeface="Arial"/>
                <a:ea typeface="Arial"/>
                <a:cs typeface="Arial"/>
              </a:defRPr>
            </a:pPr>
            <a:endParaRPr lang="en-US"/>
          </a:p>
        </c:txPr>
        <c:crossAx val="1"/>
        <c:crossesAt val="95"/>
        <c:auto val="1"/>
        <c:lblAlgn val="ctr"/>
        <c:lblOffset val="100"/>
        <c:tickLblSkip val="1"/>
        <c:tickMarkSkip val="1"/>
        <c:noMultiLvlLbl val="0"/>
      </c:catAx>
      <c:valAx>
        <c:axId val="1"/>
        <c:scaling>
          <c:orientation val="minMax"/>
          <c:max val="180"/>
          <c:min val="120"/>
        </c:scaling>
        <c:delete val="0"/>
        <c:axPos val="l"/>
        <c:title>
          <c:tx>
            <c:rich>
              <a:bodyPr/>
              <a:lstStyle/>
              <a:p>
                <a:pPr>
                  <a:defRPr sz="796" b="0" i="0" u="none" strike="noStrike" baseline="0">
                    <a:solidFill>
                      <a:srgbClr val="000000"/>
                    </a:solidFill>
                    <a:latin typeface="Arial"/>
                    <a:ea typeface="Arial"/>
                    <a:cs typeface="Arial"/>
                  </a:defRPr>
                </a:pPr>
                <a:r>
                  <a:rPr lang="en-GB"/>
                  <a:t>Producer Price Index </a:t>
                </a:r>
              </a:p>
            </c:rich>
          </c:tx>
          <c:layout>
            <c:manualLayout>
              <c:xMode val="edge"/>
              <c:yMode val="edge"/>
              <c:x val="0"/>
              <c:y val="0.20853080568720378"/>
            </c:manualLayout>
          </c:layout>
          <c:overlay val="0"/>
          <c:spPr>
            <a:noFill/>
            <a:ln w="25286">
              <a:noFill/>
            </a:ln>
          </c:spPr>
        </c:title>
        <c:numFmt formatCode="0" sourceLinked="0"/>
        <c:majorTickMark val="out"/>
        <c:minorTickMark val="none"/>
        <c:tickLblPos val="nextTo"/>
        <c:spPr>
          <a:ln w="3161">
            <a:solidFill>
              <a:srgbClr val="000000"/>
            </a:solidFill>
            <a:prstDash val="solid"/>
          </a:ln>
        </c:spPr>
        <c:txPr>
          <a:bodyPr rot="0" vert="horz"/>
          <a:lstStyle/>
          <a:p>
            <a:pPr>
              <a:defRPr sz="796" b="0" i="0" u="none" strike="noStrike" baseline="0">
                <a:solidFill>
                  <a:srgbClr val="000000"/>
                </a:solidFill>
                <a:latin typeface="Arial"/>
                <a:ea typeface="Arial"/>
                <a:cs typeface="Arial"/>
              </a:defRPr>
            </a:pPr>
            <a:endParaRPr lang="en-US"/>
          </a:p>
        </c:txPr>
        <c:crossAx val="265395632"/>
        <c:crosses val="autoZero"/>
        <c:crossBetween val="between"/>
        <c:majorUnit val="10"/>
      </c:valAx>
      <c:spPr>
        <a:noFill/>
        <a:ln w="25286">
          <a:noFill/>
        </a:ln>
      </c:spPr>
    </c:plotArea>
    <c:plotVisOnly val="1"/>
    <c:dispBlanksAs val="gap"/>
    <c:showDLblsOverMax val="0"/>
  </c:chart>
  <c:spPr>
    <a:noFill/>
    <a:ln w="12700" cap="flat" cmpd="sng" algn="ctr">
      <a:solidFill>
        <a:srgbClr val="000000"/>
      </a:solidFill>
      <a:prstDash val="solid"/>
      <a:miter lim="800000"/>
      <a:headEnd type="none" w="med" len="med"/>
      <a:tailEnd type="none" w="med" len="med"/>
    </a:ln>
  </c:spPr>
  <c:txPr>
    <a:bodyPr/>
    <a:lstStyle/>
    <a:p>
      <a:pPr>
        <a:defRPr sz="796"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43786-0915-40F7-8959-9E336AC01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Palestinian Producer Price Index</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Palestinian Producer Price Index</dc:title>
  <dc:subject/>
  <dc:creator>kakhalid</dc:creator>
  <cp:keywords/>
  <dc:description/>
  <cp:lastModifiedBy>Mohammed Hodali</cp:lastModifiedBy>
  <cp:revision>2</cp:revision>
  <cp:lastPrinted>2025-01-26T10:16:00Z</cp:lastPrinted>
  <dcterms:created xsi:type="dcterms:W3CDTF">2025-01-30T07:21:00Z</dcterms:created>
  <dcterms:modified xsi:type="dcterms:W3CDTF">2025-01-30T07:21:00Z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8890bfdb76d69eeb9fc7548b58f9edcdb8a834cad71b6f4e6396129053bc53c3</vt:lpwstr>
  </property>
</Properties>
</file>