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C53" w:rsidRDefault="00446C53" w:rsidP="00446C53">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rsidR="00446C53" w:rsidRPr="00446C53" w:rsidRDefault="00446C53" w:rsidP="00636553">
      <w:pPr>
        <w:spacing w:line="276" w:lineRule="auto"/>
        <w:jc w:val="center"/>
        <w:outlineLvl w:val="0"/>
        <w:rPr>
          <w:b/>
          <w:bCs/>
          <w:sz w:val="28"/>
          <w:szCs w:val="28"/>
          <w:rtl/>
        </w:rPr>
      </w:pPr>
    </w:p>
    <w:p w:rsidR="00636553" w:rsidRPr="00446C53" w:rsidRDefault="00636553" w:rsidP="00446C53">
      <w:pPr>
        <w:spacing w:line="276" w:lineRule="auto"/>
        <w:jc w:val="center"/>
        <w:outlineLvl w:val="0"/>
        <w:rPr>
          <w:b/>
          <w:bCs/>
          <w:sz w:val="30"/>
          <w:szCs w:val="30"/>
        </w:rPr>
      </w:pPr>
      <w:r w:rsidRPr="00446C53">
        <w:rPr>
          <w:b/>
          <w:bCs/>
          <w:sz w:val="30"/>
          <w:szCs w:val="30"/>
        </w:rPr>
        <w:t>Palestinian</w:t>
      </w:r>
      <w:r w:rsidRPr="00446C53">
        <w:rPr>
          <w:b/>
          <w:bCs/>
          <w:kern w:val="36"/>
          <w:sz w:val="30"/>
          <w:szCs w:val="30"/>
        </w:rPr>
        <w:t xml:space="preserve"> </w:t>
      </w:r>
      <w:r w:rsidRPr="00446C53">
        <w:rPr>
          <w:b/>
          <w:bCs/>
          <w:sz w:val="30"/>
          <w:szCs w:val="30"/>
        </w:rPr>
        <w:t>Producer Price Index</w:t>
      </w:r>
      <w:r w:rsidR="00446C53" w:rsidRPr="00446C53">
        <w:rPr>
          <w:b/>
          <w:bCs/>
          <w:sz w:val="30"/>
          <w:szCs w:val="30"/>
        </w:rPr>
        <w:t>, 2025 &amp; December, 12/2025</w:t>
      </w:r>
    </w:p>
    <w:p w:rsidR="00446C53" w:rsidRPr="00446C53" w:rsidRDefault="00446C53" w:rsidP="00446C53">
      <w:pPr>
        <w:spacing w:line="276" w:lineRule="auto"/>
        <w:jc w:val="center"/>
        <w:outlineLvl w:val="0"/>
        <w:rPr>
          <w:b/>
          <w:bCs/>
          <w:kern w:val="36"/>
          <w:sz w:val="28"/>
          <w:szCs w:val="28"/>
        </w:rPr>
      </w:pPr>
    </w:p>
    <w:p w:rsidR="007E2637" w:rsidRDefault="007E2637" w:rsidP="00B108C0">
      <w:pPr>
        <w:bidi w:val="0"/>
        <w:jc w:val="both"/>
        <w:outlineLvl w:val="1"/>
        <w:rPr>
          <w:b/>
          <w:bCs/>
        </w:rPr>
      </w:pPr>
    </w:p>
    <w:p w:rsidR="00271D64" w:rsidRDefault="00271D64" w:rsidP="00271D64">
      <w:pPr>
        <w:bidi w:val="0"/>
        <w:jc w:val="both"/>
        <w:outlineLvl w:val="1"/>
        <w:rPr>
          <w:b/>
          <w:bCs/>
          <w:sz w:val="28"/>
          <w:szCs w:val="28"/>
        </w:rPr>
      </w:pPr>
      <w:r w:rsidRPr="00446C53">
        <w:rPr>
          <w:b/>
          <w:bCs/>
          <w:sz w:val="28"/>
          <w:szCs w:val="28"/>
        </w:rPr>
        <w:t>Sharp Increase in the Producer Price</w:t>
      </w:r>
      <w:r w:rsidRPr="00446C53">
        <w:rPr>
          <w:rStyle w:val="FootnoteReference"/>
          <w:b/>
          <w:bCs/>
          <w:sz w:val="28"/>
          <w:szCs w:val="28"/>
        </w:rPr>
        <w:footnoteReference w:id="1"/>
      </w:r>
      <w:r w:rsidRPr="00446C53">
        <w:rPr>
          <w:b/>
          <w:bCs/>
          <w:sz w:val="28"/>
          <w:szCs w:val="28"/>
        </w:rPr>
        <w:t xml:space="preserve"> Index (PPI) during 2025</w:t>
      </w:r>
    </w:p>
    <w:p w:rsidR="00446C53" w:rsidRPr="00446C53" w:rsidRDefault="00446C53" w:rsidP="00446C53">
      <w:pPr>
        <w:bidi w:val="0"/>
        <w:jc w:val="both"/>
        <w:outlineLvl w:val="1"/>
        <w:rPr>
          <w:b/>
          <w:bCs/>
          <w:sz w:val="28"/>
          <w:szCs w:val="28"/>
        </w:rPr>
      </w:pPr>
    </w:p>
    <w:p w:rsidR="00271D64" w:rsidRPr="00446C53" w:rsidRDefault="00271D64" w:rsidP="00271D64">
      <w:pPr>
        <w:bidi w:val="0"/>
        <w:jc w:val="both"/>
        <w:rPr>
          <w:sz w:val="26"/>
          <w:szCs w:val="26"/>
        </w:rPr>
      </w:pPr>
      <w:r w:rsidRPr="00446C53">
        <w:rPr>
          <w:sz w:val="26"/>
          <w:szCs w:val="26"/>
        </w:rPr>
        <w:t xml:space="preserve">The overall </w:t>
      </w:r>
      <w:r w:rsidRPr="00446C53">
        <w:rPr>
          <w:b/>
          <w:bCs/>
          <w:sz w:val="26"/>
          <w:szCs w:val="26"/>
        </w:rPr>
        <w:t>PPI in Palestine</w:t>
      </w:r>
      <w:r w:rsidRPr="00446C53">
        <w:rPr>
          <w:sz w:val="26"/>
          <w:szCs w:val="26"/>
        </w:rPr>
        <w:t xml:space="preserve"> with its base year (2019=100) reached </w:t>
      </w:r>
      <w:r w:rsidRPr="00446C53">
        <w:rPr>
          <w:b/>
          <w:bCs/>
          <w:sz w:val="26"/>
          <w:szCs w:val="26"/>
        </w:rPr>
        <w:t>199.93 in 2025, which indicates a sharp increase by 32.</w:t>
      </w:r>
      <w:r w:rsidRPr="00446C53">
        <w:rPr>
          <w:rFonts w:hint="cs"/>
          <w:b/>
          <w:bCs/>
          <w:sz w:val="26"/>
          <w:szCs w:val="26"/>
          <w:rtl/>
        </w:rPr>
        <w:t>90</w:t>
      </w:r>
      <w:r w:rsidRPr="00446C53">
        <w:rPr>
          <w:b/>
          <w:bCs/>
          <w:sz w:val="26"/>
          <w:szCs w:val="26"/>
        </w:rPr>
        <w:t>% compared to 2024</w:t>
      </w:r>
      <w:r w:rsidRPr="00446C53">
        <w:rPr>
          <w:sz w:val="26"/>
          <w:szCs w:val="26"/>
        </w:rPr>
        <w:t>.</w:t>
      </w:r>
    </w:p>
    <w:p w:rsidR="00271D64" w:rsidRPr="00446C53" w:rsidRDefault="00271D64" w:rsidP="00271D64">
      <w:pPr>
        <w:bidi w:val="0"/>
        <w:jc w:val="both"/>
        <w:rPr>
          <w:sz w:val="26"/>
          <w:szCs w:val="26"/>
        </w:rPr>
      </w:pPr>
    </w:p>
    <w:p w:rsidR="00271D64" w:rsidRPr="00446C53" w:rsidRDefault="00271D64" w:rsidP="00271D64">
      <w:pPr>
        <w:bidi w:val="0"/>
        <w:jc w:val="both"/>
        <w:outlineLvl w:val="0"/>
        <w:rPr>
          <w:sz w:val="26"/>
          <w:szCs w:val="26"/>
        </w:rPr>
      </w:pPr>
      <w:r w:rsidRPr="00446C53">
        <w:rPr>
          <w:sz w:val="26"/>
          <w:szCs w:val="26"/>
        </w:rPr>
        <w:t xml:space="preserve">Prices of PPI for 2025 sharply increased due to the increase in the prices of goods and services in the following major activities: </w:t>
      </w:r>
      <w:r w:rsidRPr="00446C53">
        <w:rPr>
          <w:b/>
          <w:bCs/>
          <w:sz w:val="26"/>
          <w:szCs w:val="26"/>
        </w:rPr>
        <w:t>Agriculture, forestry and fishing activities by 59.25%, Manufacturing activities by 12.18%, and Electricity, gas, steam and air conditioning supply activities by 4.18%</w:t>
      </w:r>
      <w:r w:rsidRPr="00446C53">
        <w:rPr>
          <w:sz w:val="26"/>
          <w:szCs w:val="26"/>
        </w:rPr>
        <w:t>. While,</w:t>
      </w:r>
      <w:r w:rsidRPr="00446C53">
        <w:rPr>
          <w:b/>
          <w:bCs/>
          <w:sz w:val="26"/>
          <w:szCs w:val="26"/>
        </w:rPr>
        <w:t xml:space="preserve"> Water supply; sewerage, waste management and remediation activities decreased by 0.80%, </w:t>
      </w:r>
      <w:r w:rsidRPr="00446C53">
        <w:rPr>
          <w:sz w:val="26"/>
          <w:szCs w:val="26"/>
        </w:rPr>
        <w:t xml:space="preserve">and </w:t>
      </w:r>
      <w:r w:rsidRPr="00446C53">
        <w:rPr>
          <w:b/>
          <w:bCs/>
          <w:sz w:val="26"/>
          <w:szCs w:val="26"/>
        </w:rPr>
        <w:t xml:space="preserve">Mining and quarrying activities slightly decreased by 0.07% </w:t>
      </w:r>
      <w:r w:rsidRPr="00446C53">
        <w:rPr>
          <w:sz w:val="26"/>
          <w:szCs w:val="26"/>
        </w:rPr>
        <w:t xml:space="preserve">in 2025 compared to 2024. </w:t>
      </w:r>
    </w:p>
    <w:p w:rsidR="00271D64" w:rsidRPr="00446C53" w:rsidRDefault="00271D64" w:rsidP="00271D64">
      <w:pPr>
        <w:bidi w:val="0"/>
        <w:jc w:val="both"/>
        <w:outlineLvl w:val="0"/>
        <w:rPr>
          <w:sz w:val="26"/>
          <w:szCs w:val="26"/>
        </w:rPr>
      </w:pPr>
    </w:p>
    <w:p w:rsidR="00271D64" w:rsidRPr="00446C53" w:rsidRDefault="00271D64" w:rsidP="0025235A">
      <w:pPr>
        <w:bidi w:val="0"/>
        <w:jc w:val="both"/>
        <w:outlineLvl w:val="0"/>
        <w:rPr>
          <w:b/>
          <w:bCs/>
          <w:sz w:val="26"/>
          <w:szCs w:val="26"/>
        </w:rPr>
      </w:pPr>
      <w:r w:rsidRPr="00446C53">
        <w:rPr>
          <w:sz w:val="26"/>
          <w:szCs w:val="26"/>
        </w:rPr>
        <w:t xml:space="preserve">The prices of </w:t>
      </w:r>
      <w:r w:rsidRPr="00446C53">
        <w:rPr>
          <w:b/>
          <w:bCs/>
          <w:sz w:val="26"/>
          <w:szCs w:val="26"/>
        </w:rPr>
        <w:t xml:space="preserve">locally consumed products sharply increased by </w:t>
      </w:r>
      <w:r w:rsidR="0025235A" w:rsidRPr="00446C53">
        <w:rPr>
          <w:b/>
          <w:bCs/>
          <w:sz w:val="26"/>
          <w:szCs w:val="26"/>
        </w:rPr>
        <w:t>35</w:t>
      </w:r>
      <w:r w:rsidRPr="00446C53">
        <w:rPr>
          <w:b/>
          <w:bCs/>
          <w:sz w:val="26"/>
          <w:szCs w:val="26"/>
        </w:rPr>
        <w:t>.</w:t>
      </w:r>
      <w:r w:rsidR="0025235A" w:rsidRPr="00446C53">
        <w:rPr>
          <w:b/>
          <w:bCs/>
          <w:sz w:val="26"/>
          <w:szCs w:val="26"/>
        </w:rPr>
        <w:t>22</w:t>
      </w:r>
      <w:r w:rsidRPr="00446C53">
        <w:rPr>
          <w:b/>
          <w:bCs/>
          <w:sz w:val="26"/>
          <w:szCs w:val="26"/>
        </w:rPr>
        <w:t xml:space="preserve">% </w:t>
      </w:r>
      <w:r w:rsidRPr="00446C53">
        <w:rPr>
          <w:sz w:val="26"/>
          <w:szCs w:val="26"/>
        </w:rPr>
        <w:t xml:space="preserve">and the prices of </w:t>
      </w:r>
      <w:r w:rsidRPr="00446C53">
        <w:rPr>
          <w:b/>
          <w:bCs/>
          <w:sz w:val="26"/>
          <w:szCs w:val="26"/>
        </w:rPr>
        <w:t xml:space="preserve">local exported products increased by </w:t>
      </w:r>
      <w:r w:rsidR="0025235A" w:rsidRPr="00446C53">
        <w:rPr>
          <w:b/>
          <w:bCs/>
          <w:sz w:val="26"/>
          <w:szCs w:val="26"/>
        </w:rPr>
        <w:t>3</w:t>
      </w:r>
      <w:r w:rsidRPr="00446C53">
        <w:rPr>
          <w:b/>
          <w:bCs/>
          <w:sz w:val="26"/>
          <w:szCs w:val="26"/>
        </w:rPr>
        <w:t>.</w:t>
      </w:r>
      <w:r w:rsidR="0025235A" w:rsidRPr="00446C53">
        <w:rPr>
          <w:b/>
          <w:bCs/>
          <w:sz w:val="26"/>
          <w:szCs w:val="26"/>
        </w:rPr>
        <w:t>89</w:t>
      </w:r>
      <w:r w:rsidRPr="00446C53">
        <w:rPr>
          <w:b/>
          <w:bCs/>
          <w:sz w:val="26"/>
          <w:szCs w:val="26"/>
        </w:rPr>
        <w:t>%</w:t>
      </w:r>
      <w:r w:rsidRPr="00446C53">
        <w:rPr>
          <w:sz w:val="26"/>
          <w:szCs w:val="26"/>
        </w:rPr>
        <w:t xml:space="preserve">. </w:t>
      </w:r>
    </w:p>
    <w:p w:rsidR="00271D64" w:rsidRPr="002D68A3" w:rsidRDefault="00271D64" w:rsidP="00271D64">
      <w:pPr>
        <w:bidi w:val="0"/>
        <w:jc w:val="both"/>
        <w:rPr>
          <w:b/>
          <w:bCs/>
        </w:rPr>
      </w:pPr>
    </w:p>
    <w:p w:rsidR="00271D64" w:rsidRPr="00446C53" w:rsidRDefault="00271D64" w:rsidP="0025235A">
      <w:pPr>
        <w:jc w:val="center"/>
        <w:rPr>
          <w:b/>
          <w:bCs/>
          <w:sz w:val="26"/>
          <w:szCs w:val="26"/>
        </w:rPr>
      </w:pPr>
      <w:r w:rsidRPr="00446C53">
        <w:rPr>
          <w:b/>
          <w:bCs/>
          <w:sz w:val="26"/>
          <w:szCs w:val="26"/>
        </w:rPr>
        <w:t xml:space="preserve">Yearly Percent Changes in PPI in Palestine for </w:t>
      </w:r>
      <w:r w:rsidR="0025235A" w:rsidRPr="00446C53">
        <w:rPr>
          <w:b/>
          <w:bCs/>
          <w:sz w:val="26"/>
          <w:szCs w:val="26"/>
        </w:rPr>
        <w:t>2015</w:t>
      </w:r>
      <w:r w:rsidRPr="00446C53">
        <w:rPr>
          <w:b/>
          <w:bCs/>
          <w:sz w:val="26"/>
          <w:szCs w:val="26"/>
        </w:rPr>
        <w:t xml:space="preserve"> – </w:t>
      </w:r>
      <w:r w:rsidR="0025235A" w:rsidRPr="00446C53">
        <w:rPr>
          <w:b/>
          <w:bCs/>
          <w:sz w:val="26"/>
          <w:szCs w:val="26"/>
        </w:rPr>
        <w:t>2025</w:t>
      </w:r>
    </w:p>
    <w:p w:rsidR="00271D64" w:rsidRPr="002E2B07" w:rsidRDefault="00271D64" w:rsidP="00271D64">
      <w:pPr>
        <w:jc w:val="center"/>
        <w:rPr>
          <w:rFonts w:hint="cs"/>
          <w:b/>
          <w:bCs/>
          <w:sz w:val="8"/>
          <w:szCs w:val="8"/>
        </w:rPr>
      </w:pPr>
    </w:p>
    <w:p w:rsidR="00271D64" w:rsidRDefault="002F0A43" w:rsidP="00446C53">
      <w:pPr>
        <w:bidi w:val="0"/>
        <w:jc w:val="center"/>
        <w:outlineLvl w:val="1"/>
        <w:rPr>
          <w:b/>
          <w:bCs/>
        </w:rPr>
      </w:pPr>
      <w:r>
        <w:rPr>
          <w:b/>
          <w:bCs/>
          <w:noProof/>
          <w:lang w:val="en-GB" w:eastAsia="en-GB"/>
        </w:rPr>
        <w:drawing>
          <wp:inline distT="0" distB="0" distL="0" distR="0">
            <wp:extent cx="2907030" cy="197231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1D64" w:rsidRDefault="00271D64" w:rsidP="00271D64">
      <w:pPr>
        <w:bidi w:val="0"/>
        <w:jc w:val="both"/>
        <w:outlineLvl w:val="1"/>
        <w:rPr>
          <w:b/>
          <w:bCs/>
        </w:rPr>
      </w:pPr>
    </w:p>
    <w:p w:rsidR="00271D64" w:rsidRDefault="00271D64" w:rsidP="00271D64">
      <w:pPr>
        <w:bidi w:val="0"/>
        <w:jc w:val="both"/>
        <w:outlineLvl w:val="1"/>
        <w:rPr>
          <w:b/>
          <w:bCs/>
        </w:rPr>
      </w:pPr>
    </w:p>
    <w:p w:rsidR="000B4AFF" w:rsidRPr="00446C53" w:rsidRDefault="00D31221" w:rsidP="00D31221">
      <w:pPr>
        <w:bidi w:val="0"/>
        <w:jc w:val="both"/>
        <w:outlineLvl w:val="1"/>
        <w:rPr>
          <w:b/>
          <w:bCs/>
          <w:sz w:val="28"/>
          <w:szCs w:val="28"/>
        </w:rPr>
      </w:pPr>
      <w:r w:rsidRPr="00446C53">
        <w:rPr>
          <w:b/>
          <w:bCs/>
          <w:sz w:val="28"/>
          <w:szCs w:val="28"/>
        </w:rPr>
        <w:t>In</w:t>
      </w:r>
      <w:r w:rsidR="00072132" w:rsidRPr="00446C53">
        <w:rPr>
          <w:b/>
          <w:bCs/>
          <w:sz w:val="28"/>
          <w:szCs w:val="28"/>
        </w:rPr>
        <w:t>crease in the Producer</w:t>
      </w:r>
      <w:r w:rsidR="000B4AFF" w:rsidRPr="00446C53">
        <w:rPr>
          <w:b/>
          <w:bCs/>
          <w:sz w:val="28"/>
          <w:szCs w:val="28"/>
        </w:rPr>
        <w:t xml:space="preserve"> Price </w:t>
      </w:r>
      <w:r w:rsidR="00072132" w:rsidRPr="00446C53">
        <w:rPr>
          <w:b/>
          <w:bCs/>
          <w:sz w:val="28"/>
          <w:szCs w:val="28"/>
        </w:rPr>
        <w:t xml:space="preserve">Index (PPI) during </w:t>
      </w:r>
      <w:r w:rsidRPr="00446C53">
        <w:rPr>
          <w:b/>
          <w:bCs/>
          <w:sz w:val="28"/>
          <w:szCs w:val="28"/>
        </w:rPr>
        <w:t>Dec</w:t>
      </w:r>
      <w:r w:rsidR="005A57E0" w:rsidRPr="00446C53">
        <w:rPr>
          <w:b/>
          <w:bCs/>
          <w:sz w:val="28"/>
          <w:szCs w:val="28"/>
        </w:rPr>
        <w:t>ember</w:t>
      </w:r>
      <w:r w:rsidR="00446C53">
        <w:rPr>
          <w:b/>
          <w:bCs/>
          <w:sz w:val="28"/>
          <w:szCs w:val="28"/>
        </w:rPr>
        <w:t>, 12/</w:t>
      </w:r>
      <w:r w:rsidR="00E03AC2" w:rsidRPr="00446C53">
        <w:rPr>
          <w:b/>
          <w:bCs/>
          <w:sz w:val="28"/>
          <w:szCs w:val="28"/>
        </w:rPr>
        <w:t>2025</w:t>
      </w:r>
    </w:p>
    <w:p w:rsidR="007E3F35" w:rsidRDefault="007E3F35" w:rsidP="00F92447">
      <w:pPr>
        <w:bidi w:val="0"/>
        <w:jc w:val="both"/>
        <w:outlineLvl w:val="1"/>
        <w:rPr>
          <w:b/>
          <w:bCs/>
        </w:rPr>
      </w:pPr>
    </w:p>
    <w:p w:rsidR="00EA74CA" w:rsidRPr="00446C53" w:rsidRDefault="00EA74CA" w:rsidP="00D31221">
      <w:pPr>
        <w:pStyle w:val="BodyText2"/>
        <w:bidi w:val="0"/>
        <w:spacing w:after="0" w:line="240" w:lineRule="auto"/>
        <w:jc w:val="both"/>
        <w:rPr>
          <w:sz w:val="26"/>
          <w:szCs w:val="26"/>
        </w:rPr>
      </w:pPr>
      <w:r w:rsidRPr="00446C53">
        <w:rPr>
          <w:sz w:val="26"/>
          <w:szCs w:val="26"/>
        </w:rPr>
        <w:t xml:space="preserve">The overall Producer Price Index (PPI) for Palestine with its base year (2019 = 100) reached </w:t>
      </w:r>
      <w:r w:rsidR="00D31221" w:rsidRPr="00446C53">
        <w:rPr>
          <w:sz w:val="26"/>
          <w:szCs w:val="26"/>
        </w:rPr>
        <w:t>183</w:t>
      </w:r>
      <w:r w:rsidR="004547F6" w:rsidRPr="00446C53">
        <w:rPr>
          <w:sz w:val="26"/>
          <w:szCs w:val="26"/>
        </w:rPr>
        <w:t>.</w:t>
      </w:r>
      <w:r w:rsidR="00D31221" w:rsidRPr="00446C53">
        <w:rPr>
          <w:sz w:val="26"/>
          <w:szCs w:val="26"/>
        </w:rPr>
        <w:t>18</w:t>
      </w:r>
      <w:r w:rsidRPr="00446C53">
        <w:rPr>
          <w:sz w:val="26"/>
          <w:szCs w:val="26"/>
        </w:rPr>
        <w:t xml:space="preserve"> in </w:t>
      </w:r>
      <w:r w:rsidR="00D31221" w:rsidRPr="00446C53">
        <w:rPr>
          <w:sz w:val="26"/>
          <w:szCs w:val="26"/>
        </w:rPr>
        <w:t>Dec</w:t>
      </w:r>
      <w:r w:rsidR="005A57E0" w:rsidRPr="00446C53">
        <w:rPr>
          <w:sz w:val="26"/>
          <w:szCs w:val="26"/>
        </w:rPr>
        <w:t>ember</w:t>
      </w:r>
      <w:r w:rsidRPr="00446C53">
        <w:rPr>
          <w:sz w:val="26"/>
          <w:szCs w:val="26"/>
        </w:rPr>
        <w:t xml:space="preserve"> </w:t>
      </w:r>
      <w:r w:rsidR="00E03AC2" w:rsidRPr="00446C53">
        <w:rPr>
          <w:sz w:val="26"/>
          <w:szCs w:val="26"/>
        </w:rPr>
        <w:t>2025</w:t>
      </w:r>
      <w:r w:rsidRPr="00446C53">
        <w:rPr>
          <w:sz w:val="26"/>
          <w:szCs w:val="26"/>
        </w:rPr>
        <w:t xml:space="preserve">, as it </w:t>
      </w:r>
      <w:r w:rsidR="00D31221" w:rsidRPr="00446C53">
        <w:rPr>
          <w:sz w:val="26"/>
          <w:szCs w:val="26"/>
        </w:rPr>
        <w:t>in</w:t>
      </w:r>
      <w:r w:rsidR="006E7164" w:rsidRPr="00446C53">
        <w:rPr>
          <w:sz w:val="26"/>
          <w:szCs w:val="26"/>
        </w:rPr>
        <w:t>creased</w:t>
      </w:r>
      <w:r w:rsidR="00F163FD" w:rsidRPr="00446C53">
        <w:rPr>
          <w:sz w:val="26"/>
          <w:szCs w:val="26"/>
        </w:rPr>
        <w:t xml:space="preserve"> </w:t>
      </w:r>
      <w:r w:rsidRPr="00446C53">
        <w:rPr>
          <w:sz w:val="26"/>
          <w:szCs w:val="26"/>
        </w:rPr>
        <w:t xml:space="preserve">by </w:t>
      </w:r>
      <w:r w:rsidR="00D31221" w:rsidRPr="00446C53">
        <w:rPr>
          <w:sz w:val="26"/>
          <w:szCs w:val="26"/>
        </w:rPr>
        <w:t>0</w:t>
      </w:r>
      <w:r w:rsidR="00CC6FA0" w:rsidRPr="00446C53">
        <w:rPr>
          <w:sz w:val="26"/>
          <w:szCs w:val="26"/>
        </w:rPr>
        <w:t>.</w:t>
      </w:r>
      <w:r w:rsidR="00D31221" w:rsidRPr="00446C53">
        <w:rPr>
          <w:sz w:val="26"/>
          <w:szCs w:val="26"/>
        </w:rPr>
        <w:t>91</w:t>
      </w:r>
      <w:r w:rsidRPr="00446C53">
        <w:rPr>
          <w:sz w:val="26"/>
          <w:szCs w:val="26"/>
        </w:rPr>
        <w:t xml:space="preserve">% compared to </w:t>
      </w:r>
      <w:r w:rsidR="00D31221" w:rsidRPr="00446C53">
        <w:rPr>
          <w:sz w:val="26"/>
          <w:szCs w:val="26"/>
        </w:rPr>
        <w:t xml:space="preserve">November </w:t>
      </w:r>
      <w:r w:rsidR="0052769E" w:rsidRPr="00446C53">
        <w:rPr>
          <w:sz w:val="26"/>
          <w:szCs w:val="26"/>
        </w:rPr>
        <w:t>2025</w:t>
      </w:r>
      <w:r w:rsidRPr="00446C53">
        <w:rPr>
          <w:sz w:val="26"/>
          <w:szCs w:val="26"/>
        </w:rPr>
        <w:t>.</w:t>
      </w:r>
    </w:p>
    <w:p w:rsidR="00EA74CA" w:rsidRPr="00446C53" w:rsidRDefault="00EA74CA" w:rsidP="00EA74CA">
      <w:pPr>
        <w:pStyle w:val="BodyText2"/>
        <w:bidi w:val="0"/>
        <w:spacing w:after="0" w:line="240" w:lineRule="auto"/>
        <w:jc w:val="both"/>
        <w:rPr>
          <w:b/>
          <w:bCs/>
          <w:sz w:val="26"/>
          <w:szCs w:val="26"/>
        </w:rPr>
      </w:pPr>
    </w:p>
    <w:p w:rsidR="00D31221" w:rsidRPr="00446C53" w:rsidRDefault="00D31221" w:rsidP="00D31221">
      <w:pPr>
        <w:pStyle w:val="BodyText2"/>
        <w:bidi w:val="0"/>
        <w:spacing w:after="0" w:line="240" w:lineRule="auto"/>
        <w:jc w:val="both"/>
        <w:rPr>
          <w:b/>
          <w:bCs/>
          <w:sz w:val="26"/>
          <w:szCs w:val="26"/>
        </w:rPr>
      </w:pPr>
      <w:r w:rsidRPr="00446C53">
        <w:rPr>
          <w:b/>
          <w:bCs/>
          <w:sz w:val="26"/>
          <w:szCs w:val="26"/>
        </w:rPr>
        <w:t>PPI for local exported products during December 2025</w:t>
      </w:r>
    </w:p>
    <w:p w:rsidR="00D31221" w:rsidRDefault="00D31221" w:rsidP="00D31221">
      <w:pPr>
        <w:pStyle w:val="BodyText2"/>
        <w:bidi w:val="0"/>
        <w:spacing w:after="0" w:line="240" w:lineRule="auto"/>
        <w:jc w:val="both"/>
        <w:rPr>
          <w:sz w:val="26"/>
          <w:szCs w:val="26"/>
        </w:rPr>
      </w:pPr>
      <w:r w:rsidRPr="00446C53">
        <w:rPr>
          <w:sz w:val="26"/>
          <w:szCs w:val="26"/>
        </w:rPr>
        <w:t>Producer Price Index for local exported products (</w:t>
      </w:r>
      <w:r w:rsidRPr="00446C53">
        <w:rPr>
          <w:color w:val="000000"/>
          <w:sz w:val="26"/>
          <w:szCs w:val="26"/>
        </w:rPr>
        <w:t>2019</w:t>
      </w:r>
      <w:r w:rsidRPr="00446C53">
        <w:rPr>
          <w:sz w:val="26"/>
          <w:szCs w:val="26"/>
        </w:rPr>
        <w:t xml:space="preserve"> = 100) reached 115.43 in December 2025, which indicates an increase of 1.16% compared to November 2025.</w:t>
      </w:r>
    </w:p>
    <w:p w:rsidR="00446C53" w:rsidRDefault="00446C53" w:rsidP="00446C53">
      <w:pPr>
        <w:pStyle w:val="BodyText2"/>
        <w:bidi w:val="0"/>
        <w:spacing w:after="0" w:line="240" w:lineRule="auto"/>
        <w:jc w:val="both"/>
        <w:rPr>
          <w:sz w:val="26"/>
          <w:szCs w:val="26"/>
        </w:rPr>
      </w:pPr>
    </w:p>
    <w:p w:rsidR="00446C53" w:rsidRPr="00446C53" w:rsidRDefault="00446C53" w:rsidP="00446C53">
      <w:pPr>
        <w:pStyle w:val="BodyText2"/>
        <w:bidi w:val="0"/>
        <w:spacing w:after="0" w:line="240" w:lineRule="auto"/>
        <w:jc w:val="both"/>
        <w:rPr>
          <w:sz w:val="26"/>
          <w:szCs w:val="26"/>
        </w:rPr>
      </w:pPr>
    </w:p>
    <w:p w:rsidR="00D31221" w:rsidRPr="00446C53" w:rsidRDefault="00D31221" w:rsidP="00D31221">
      <w:pPr>
        <w:pStyle w:val="BodyText2"/>
        <w:bidi w:val="0"/>
        <w:spacing w:after="0" w:line="240" w:lineRule="auto"/>
        <w:jc w:val="both"/>
        <w:rPr>
          <w:sz w:val="26"/>
          <w:szCs w:val="26"/>
        </w:rPr>
      </w:pPr>
    </w:p>
    <w:p w:rsidR="00CC6FA0" w:rsidRPr="00446C53" w:rsidRDefault="00CC6FA0" w:rsidP="00D31221">
      <w:pPr>
        <w:pStyle w:val="BodyText2"/>
        <w:bidi w:val="0"/>
        <w:spacing w:after="0" w:line="240" w:lineRule="auto"/>
        <w:jc w:val="both"/>
        <w:rPr>
          <w:b/>
          <w:bCs/>
          <w:sz w:val="26"/>
          <w:szCs w:val="26"/>
        </w:rPr>
      </w:pPr>
      <w:r w:rsidRPr="00446C53">
        <w:rPr>
          <w:b/>
          <w:bCs/>
          <w:sz w:val="26"/>
          <w:szCs w:val="26"/>
        </w:rPr>
        <w:lastRenderedPageBreak/>
        <w:t xml:space="preserve">PPI for locally consumed products during </w:t>
      </w:r>
      <w:r w:rsidR="00D31221" w:rsidRPr="00446C53">
        <w:rPr>
          <w:b/>
          <w:bCs/>
          <w:sz w:val="26"/>
          <w:szCs w:val="26"/>
        </w:rPr>
        <w:t xml:space="preserve">December </w:t>
      </w:r>
      <w:r w:rsidRPr="00446C53">
        <w:rPr>
          <w:b/>
          <w:bCs/>
          <w:sz w:val="26"/>
          <w:szCs w:val="26"/>
        </w:rPr>
        <w:t>2025</w:t>
      </w:r>
    </w:p>
    <w:p w:rsidR="00CC6FA0" w:rsidRPr="00446C53" w:rsidRDefault="00CC6FA0" w:rsidP="00D31221">
      <w:pPr>
        <w:pStyle w:val="BodyText2"/>
        <w:bidi w:val="0"/>
        <w:spacing w:after="0" w:line="240" w:lineRule="auto"/>
        <w:jc w:val="both"/>
        <w:rPr>
          <w:sz w:val="26"/>
          <w:szCs w:val="26"/>
        </w:rPr>
      </w:pPr>
      <w:r w:rsidRPr="00446C53">
        <w:rPr>
          <w:sz w:val="26"/>
          <w:szCs w:val="26"/>
        </w:rPr>
        <w:t xml:space="preserve">Producer Price Index for locally consumed products (2019 = 100) reached </w:t>
      </w:r>
      <w:r w:rsidR="00D31221" w:rsidRPr="00446C53">
        <w:rPr>
          <w:sz w:val="26"/>
          <w:szCs w:val="26"/>
        </w:rPr>
        <w:t>190</w:t>
      </w:r>
      <w:r w:rsidRPr="00446C53">
        <w:rPr>
          <w:sz w:val="26"/>
          <w:szCs w:val="26"/>
        </w:rPr>
        <w:t>.</w:t>
      </w:r>
      <w:r w:rsidR="00D31221" w:rsidRPr="00446C53">
        <w:rPr>
          <w:sz w:val="26"/>
          <w:szCs w:val="26"/>
        </w:rPr>
        <w:t>44</w:t>
      </w:r>
      <w:r w:rsidRPr="00446C53">
        <w:rPr>
          <w:sz w:val="26"/>
          <w:szCs w:val="26"/>
        </w:rPr>
        <w:t xml:space="preserve"> in </w:t>
      </w:r>
      <w:r w:rsidR="00D31221" w:rsidRPr="00446C53">
        <w:rPr>
          <w:sz w:val="26"/>
          <w:szCs w:val="26"/>
        </w:rPr>
        <w:t xml:space="preserve">December </w:t>
      </w:r>
      <w:r w:rsidRPr="00446C53">
        <w:rPr>
          <w:sz w:val="26"/>
          <w:szCs w:val="26"/>
        </w:rPr>
        <w:t>2025, which indicates a</w:t>
      </w:r>
      <w:r w:rsidR="00D31221" w:rsidRPr="00446C53">
        <w:rPr>
          <w:sz w:val="26"/>
          <w:szCs w:val="26"/>
        </w:rPr>
        <w:t>n</w:t>
      </w:r>
      <w:r w:rsidRPr="00446C53">
        <w:rPr>
          <w:sz w:val="26"/>
          <w:szCs w:val="26"/>
        </w:rPr>
        <w:t xml:space="preserve"> </w:t>
      </w:r>
      <w:r w:rsidR="00D31221" w:rsidRPr="00446C53">
        <w:rPr>
          <w:sz w:val="26"/>
          <w:szCs w:val="26"/>
        </w:rPr>
        <w:t>in</w:t>
      </w:r>
      <w:r w:rsidRPr="00446C53">
        <w:rPr>
          <w:sz w:val="26"/>
          <w:szCs w:val="26"/>
        </w:rPr>
        <w:t xml:space="preserve">crease of </w:t>
      </w:r>
      <w:r w:rsidR="00D31221" w:rsidRPr="00446C53">
        <w:rPr>
          <w:sz w:val="26"/>
          <w:szCs w:val="26"/>
        </w:rPr>
        <w:t>0</w:t>
      </w:r>
      <w:r w:rsidRPr="00446C53">
        <w:rPr>
          <w:sz w:val="26"/>
          <w:szCs w:val="26"/>
        </w:rPr>
        <w:t>.</w:t>
      </w:r>
      <w:r w:rsidR="00D31221" w:rsidRPr="00446C53">
        <w:rPr>
          <w:sz w:val="26"/>
          <w:szCs w:val="26"/>
        </w:rPr>
        <w:t>90</w:t>
      </w:r>
      <w:r w:rsidRPr="00446C53">
        <w:rPr>
          <w:sz w:val="26"/>
          <w:szCs w:val="26"/>
        </w:rPr>
        <w:t xml:space="preserve">% compared to </w:t>
      </w:r>
      <w:r w:rsidR="00D31221" w:rsidRPr="00446C53">
        <w:rPr>
          <w:sz w:val="26"/>
          <w:szCs w:val="26"/>
        </w:rPr>
        <w:t xml:space="preserve">November </w:t>
      </w:r>
      <w:r w:rsidRPr="00446C53">
        <w:rPr>
          <w:sz w:val="26"/>
          <w:szCs w:val="26"/>
        </w:rPr>
        <w:t>2025.</w:t>
      </w:r>
    </w:p>
    <w:p w:rsidR="003535CC" w:rsidRPr="00446C53" w:rsidRDefault="003535CC" w:rsidP="003535CC">
      <w:pPr>
        <w:pStyle w:val="BodyText2"/>
        <w:bidi w:val="0"/>
        <w:spacing w:after="0" w:line="240" w:lineRule="auto"/>
        <w:jc w:val="both"/>
        <w:rPr>
          <w:sz w:val="26"/>
          <w:szCs w:val="26"/>
        </w:rPr>
      </w:pPr>
    </w:p>
    <w:p w:rsidR="00EA74CA" w:rsidRPr="00446C53" w:rsidRDefault="00EA74CA" w:rsidP="00D31221">
      <w:pPr>
        <w:pStyle w:val="BodyText2"/>
        <w:bidi w:val="0"/>
        <w:spacing w:after="0" w:line="240" w:lineRule="auto"/>
        <w:jc w:val="both"/>
        <w:rPr>
          <w:sz w:val="26"/>
          <w:szCs w:val="26"/>
        </w:rPr>
      </w:pPr>
      <w:r w:rsidRPr="00446C53">
        <w:rPr>
          <w:sz w:val="26"/>
          <w:szCs w:val="26"/>
        </w:rPr>
        <w:t xml:space="preserve">The changes of PPI for </w:t>
      </w:r>
      <w:r w:rsidR="00D31221" w:rsidRPr="00446C53">
        <w:rPr>
          <w:sz w:val="26"/>
          <w:szCs w:val="26"/>
        </w:rPr>
        <w:t xml:space="preserve">December </w:t>
      </w:r>
      <w:r w:rsidR="001F761F" w:rsidRPr="00446C53">
        <w:rPr>
          <w:sz w:val="26"/>
          <w:szCs w:val="26"/>
        </w:rPr>
        <w:t>2025</w:t>
      </w:r>
      <w:r w:rsidRPr="00446C53">
        <w:rPr>
          <w:sz w:val="26"/>
          <w:szCs w:val="26"/>
        </w:rPr>
        <w:t xml:space="preserve"> were traced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tblInd w:w="1834" w:type="dxa"/>
        <w:tblLook w:val="04A0" w:firstRow="1" w:lastRow="0" w:firstColumn="1" w:lastColumn="0" w:noHBand="0" w:noVBand="1"/>
      </w:tblPr>
      <w:tblGrid>
        <w:gridCol w:w="2824"/>
        <w:gridCol w:w="2069"/>
      </w:tblGrid>
      <w:tr w:rsidR="00EA74CA" w:rsidRPr="003C5FBA" w:rsidTr="00446C53">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EA74CA" w:rsidRPr="003C5FBA" w:rsidRDefault="00EA74CA" w:rsidP="00446C53">
            <w:pPr>
              <w:pStyle w:val="BodyText2"/>
              <w:bidi w:val="0"/>
              <w:spacing w:after="0" w:line="240" w:lineRule="auto"/>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EA74CA" w:rsidRPr="003C5FBA" w:rsidRDefault="004759F0" w:rsidP="00446C53">
            <w:pPr>
              <w:pStyle w:val="BodyText2"/>
              <w:bidi w:val="0"/>
              <w:spacing w:after="0" w:line="240" w:lineRule="auto"/>
              <w:ind w:right="-108"/>
            </w:pPr>
            <w:r w:rsidRPr="003C5FBA">
              <w:rPr>
                <w:b/>
                <w:bCs/>
              </w:rPr>
              <w:t>Percent</w:t>
            </w:r>
            <w:r w:rsidR="00EA74CA" w:rsidRPr="003C5FBA">
              <w:rPr>
                <w:b/>
                <w:bCs/>
              </w:rPr>
              <w:t xml:space="preserve"> Change</w:t>
            </w:r>
            <w:r w:rsidRPr="003C5FBA">
              <w:rPr>
                <w:b/>
                <w:bCs/>
              </w:rPr>
              <w:t xml:space="preserve"> %</w:t>
            </w:r>
          </w:p>
        </w:tc>
      </w:tr>
      <w:tr w:rsidR="00BA118C" w:rsidRPr="003C5FBA" w:rsidTr="00446C53">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A118C" w:rsidRPr="003C5FBA" w:rsidRDefault="00BA118C" w:rsidP="00446C53">
            <w:pPr>
              <w:pStyle w:val="BodyText2"/>
              <w:bidi w:val="0"/>
              <w:spacing w:after="0" w:line="240" w:lineRule="auto"/>
            </w:pPr>
            <w:r w:rsidRPr="003C5FBA">
              <w:rPr>
                <w:color w:val="000000"/>
              </w:rPr>
              <w:t>Agriculture, forestry and fishing</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BA118C" w:rsidRPr="003C5FBA" w:rsidRDefault="00D31221" w:rsidP="00446C53">
            <w:pPr>
              <w:pStyle w:val="BodyText2"/>
              <w:tabs>
                <w:tab w:val="right" w:pos="165"/>
              </w:tabs>
              <w:bidi w:val="0"/>
              <w:spacing w:after="0" w:line="240" w:lineRule="auto"/>
            </w:pPr>
            <w:r>
              <w:t>+</w:t>
            </w:r>
            <w:r w:rsidR="00BA118C" w:rsidRPr="003C5FBA">
              <w:t xml:space="preserve"> </w:t>
            </w:r>
            <w:r>
              <w:t>2</w:t>
            </w:r>
            <w:r w:rsidR="00BA118C" w:rsidRPr="003C5FBA">
              <w:t>.</w:t>
            </w:r>
            <w:r>
              <w:t>74</w:t>
            </w:r>
            <w:r w:rsidR="00BA118C" w:rsidRPr="003C5FBA">
              <w:t>%</w:t>
            </w:r>
          </w:p>
        </w:tc>
      </w:tr>
      <w:tr w:rsidR="00D31221" w:rsidRPr="003C5FBA" w:rsidTr="00446C53">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D31221" w:rsidRPr="00AC5CDF" w:rsidRDefault="00D31221" w:rsidP="00446C53">
            <w:pPr>
              <w:pStyle w:val="BodyText2"/>
              <w:bidi w:val="0"/>
              <w:spacing w:after="0" w:line="240" w:lineRule="auto"/>
            </w:pPr>
            <w:r w:rsidRPr="00AC5CDF">
              <w:rPr>
                <w:color w:val="000000"/>
              </w:rPr>
              <w:t>Mining and quarrying</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D31221" w:rsidRPr="00AC5CDF" w:rsidRDefault="00D31221" w:rsidP="00446C53">
            <w:pPr>
              <w:pStyle w:val="BodyText2"/>
              <w:tabs>
                <w:tab w:val="right" w:pos="165"/>
              </w:tabs>
              <w:bidi w:val="0"/>
              <w:spacing w:after="0" w:line="240" w:lineRule="auto"/>
            </w:pPr>
            <w:r w:rsidRPr="00AC5CDF">
              <w:t>0.</w:t>
            </w:r>
            <w:r>
              <w:t>00</w:t>
            </w:r>
            <w:r w:rsidRPr="00AC5CDF">
              <w:t>%</w:t>
            </w:r>
          </w:p>
        </w:tc>
      </w:tr>
      <w:tr w:rsidR="00D31221" w:rsidRPr="003C5FBA" w:rsidTr="00446C53">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D31221" w:rsidRPr="007E3F35" w:rsidRDefault="00D31221" w:rsidP="00446C53">
            <w:pPr>
              <w:pStyle w:val="BodyText2"/>
              <w:bidi w:val="0"/>
              <w:spacing w:after="0" w:line="240" w:lineRule="auto"/>
              <w:rPr>
                <w:color w:val="000000"/>
              </w:rPr>
            </w:pPr>
            <w:r w:rsidRPr="007E3F35">
              <w:rPr>
                <w:color w:val="000000"/>
              </w:rPr>
              <w:t>Manufacturing</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D31221" w:rsidRPr="007E3F35" w:rsidRDefault="00D31221" w:rsidP="00446C53">
            <w:pPr>
              <w:pStyle w:val="BodyText2"/>
              <w:tabs>
                <w:tab w:val="right" w:pos="225"/>
                <w:tab w:val="right" w:pos="480"/>
                <w:tab w:val="right" w:pos="885"/>
              </w:tabs>
              <w:bidi w:val="0"/>
              <w:spacing w:after="0" w:line="240" w:lineRule="auto"/>
              <w:ind w:right="-108"/>
            </w:pPr>
            <w:r>
              <w:t>-</w:t>
            </w:r>
            <w:r w:rsidRPr="007E3F35">
              <w:t xml:space="preserve"> </w:t>
            </w:r>
            <w:r>
              <w:t>1</w:t>
            </w:r>
            <w:r w:rsidRPr="007E3F35">
              <w:t>.</w:t>
            </w:r>
            <w:r>
              <w:t>53</w:t>
            </w:r>
            <w:r w:rsidRPr="007E3F35">
              <w:t>%</w:t>
            </w:r>
          </w:p>
        </w:tc>
      </w:tr>
      <w:tr w:rsidR="00D31221" w:rsidRPr="003C5FBA" w:rsidTr="00446C53">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D31221" w:rsidRPr="003C5FBA" w:rsidRDefault="00D31221" w:rsidP="00446C53">
            <w:pPr>
              <w:pStyle w:val="BodyText2"/>
              <w:bidi w:val="0"/>
              <w:spacing w:after="0" w:line="240" w:lineRule="auto"/>
              <w:rPr>
                <w:sz w:val="2"/>
                <w:szCs w:val="2"/>
              </w:rPr>
            </w:pPr>
          </w:p>
          <w:p w:rsidR="00D31221" w:rsidRPr="003C5FBA" w:rsidRDefault="00D31221" w:rsidP="00446C53">
            <w:pPr>
              <w:pStyle w:val="BodyText2"/>
              <w:bidi w:val="0"/>
              <w:spacing w:after="0" w:line="240" w:lineRule="auto"/>
            </w:pPr>
            <w:r w:rsidRPr="003C5FBA">
              <w:t>Water supply; sewerage, waste management and remediation activities</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D31221" w:rsidRPr="003C5FBA" w:rsidRDefault="00D31221" w:rsidP="00446C53">
            <w:pPr>
              <w:pStyle w:val="BodyText2"/>
              <w:tabs>
                <w:tab w:val="right" w:pos="165"/>
              </w:tabs>
              <w:bidi w:val="0"/>
              <w:spacing w:after="0" w:line="240" w:lineRule="auto"/>
            </w:pPr>
            <w:r>
              <w:t>-</w:t>
            </w:r>
            <w:r w:rsidRPr="003C5FBA">
              <w:t xml:space="preserve"> </w:t>
            </w:r>
            <w:r>
              <w:t>0</w:t>
            </w:r>
            <w:r w:rsidRPr="003C5FBA">
              <w:t>.</w:t>
            </w:r>
            <w:r>
              <w:t>92</w:t>
            </w:r>
            <w:r w:rsidRPr="003C5FBA">
              <w:t>%</w:t>
            </w:r>
          </w:p>
        </w:tc>
      </w:tr>
      <w:tr w:rsidR="00D31221" w:rsidRPr="003C5FBA" w:rsidTr="00446C53">
        <w:trPr>
          <w:trHeight w:val="567"/>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D31221" w:rsidRPr="003C5FBA" w:rsidRDefault="00D31221" w:rsidP="00446C53">
            <w:pPr>
              <w:pStyle w:val="BodyText2"/>
              <w:bidi w:val="0"/>
              <w:spacing w:after="0" w:line="240" w:lineRule="auto"/>
              <w:rPr>
                <w:rFonts w:hint="cs"/>
                <w:rtl/>
              </w:rPr>
            </w:pPr>
            <w:r w:rsidRPr="003C5FBA">
              <w:t>Electricity, gas, steam and air conditioning supply</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D31221" w:rsidRPr="003C5FBA" w:rsidRDefault="00D31221" w:rsidP="00446C53">
            <w:pPr>
              <w:pStyle w:val="BodyText2"/>
              <w:tabs>
                <w:tab w:val="right" w:pos="219"/>
                <w:tab w:val="right" w:pos="885"/>
              </w:tabs>
              <w:bidi w:val="0"/>
              <w:spacing w:after="0" w:line="240" w:lineRule="auto"/>
            </w:pPr>
            <w:r>
              <w:t>-  0</w:t>
            </w:r>
            <w:r w:rsidRPr="003C5FBA">
              <w:t>.</w:t>
            </w:r>
            <w:r>
              <w:t>22</w:t>
            </w:r>
            <w:r w:rsidRPr="003C5FBA">
              <w:t>%</w:t>
            </w:r>
          </w:p>
        </w:tc>
      </w:tr>
    </w:tbl>
    <w:p w:rsidR="00271D64" w:rsidRDefault="00271D64" w:rsidP="00271D64">
      <w:pPr>
        <w:autoSpaceDE w:val="0"/>
        <w:autoSpaceDN w:val="0"/>
        <w:bidi w:val="0"/>
        <w:adjustRightInd w:val="0"/>
        <w:spacing w:line="276" w:lineRule="auto"/>
        <w:jc w:val="both"/>
        <w:rPr>
          <w:rFonts w:cs="Simplified Arabic"/>
          <w:snapToGrid w:val="0"/>
          <w:color w:val="000000"/>
        </w:rPr>
      </w:pPr>
    </w:p>
    <w:p w:rsidR="00271D64" w:rsidRDefault="00271D64" w:rsidP="00271D64">
      <w:pPr>
        <w:autoSpaceDE w:val="0"/>
        <w:autoSpaceDN w:val="0"/>
        <w:bidi w:val="0"/>
        <w:adjustRightInd w:val="0"/>
        <w:spacing w:line="276" w:lineRule="auto"/>
        <w:jc w:val="both"/>
        <w:rPr>
          <w:rFonts w:cs="Simplified Arabic"/>
          <w:snapToGrid w:val="0"/>
          <w:color w:val="000000"/>
        </w:rPr>
      </w:pPr>
    </w:p>
    <w:p w:rsidR="00271D64" w:rsidRPr="00446C53" w:rsidRDefault="00271D64" w:rsidP="00446C53">
      <w:pPr>
        <w:autoSpaceDE w:val="0"/>
        <w:autoSpaceDN w:val="0"/>
        <w:bidi w:val="0"/>
        <w:adjustRightInd w:val="0"/>
        <w:spacing w:line="276" w:lineRule="auto"/>
        <w:jc w:val="both"/>
        <w:rPr>
          <w:rFonts w:cs="Simplified Arabic"/>
          <w:b/>
          <w:bCs/>
          <w:snapToGrid w:val="0"/>
          <w:color w:val="000000"/>
        </w:rPr>
      </w:pPr>
      <w:r w:rsidRPr="00446C53">
        <w:rPr>
          <w:rFonts w:cs="Simplified Arabic"/>
          <w:b/>
          <w:bCs/>
          <w:snapToGrid w:val="0"/>
          <w:color w:val="000000"/>
        </w:rPr>
        <w:t>The table shows monthly percent changes in Palestinian PPI for the months</w:t>
      </w:r>
    </w:p>
    <w:p w:rsidR="00271D64" w:rsidRPr="009022DC" w:rsidRDefault="00271D64" w:rsidP="00271D64">
      <w:pPr>
        <w:autoSpaceDE w:val="0"/>
        <w:autoSpaceDN w:val="0"/>
        <w:bidi w:val="0"/>
        <w:adjustRightInd w:val="0"/>
        <w:spacing w:line="276" w:lineRule="auto"/>
        <w:jc w:val="both"/>
        <w:rPr>
          <w:rFonts w:cs="Simplified Arabic"/>
          <w:snapToGrid w:val="0"/>
          <w:color w:val="000000"/>
          <w:sz w:val="8"/>
          <w:szCs w:val="8"/>
        </w:rPr>
      </w:pPr>
    </w:p>
    <w:tbl>
      <w:tblPr>
        <w:tblW w:w="5246" w:type="dxa"/>
        <w:tblInd w:w="1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276"/>
        <w:gridCol w:w="1276"/>
      </w:tblGrid>
      <w:tr w:rsidR="00271D64" w:rsidRPr="00696998" w:rsidTr="00446C53">
        <w:trPr>
          <w:tblHeader/>
        </w:trPr>
        <w:tc>
          <w:tcPr>
            <w:tcW w:w="1418" w:type="dxa"/>
            <w:vAlign w:val="center"/>
          </w:tcPr>
          <w:p w:rsidR="00271D64" w:rsidRPr="00696998" w:rsidRDefault="00271D64" w:rsidP="00AE3175">
            <w:pPr>
              <w:autoSpaceDE w:val="0"/>
              <w:autoSpaceDN w:val="0"/>
              <w:bidi w:val="0"/>
              <w:adjustRightInd w:val="0"/>
              <w:spacing w:line="276" w:lineRule="auto"/>
              <w:jc w:val="center"/>
              <w:rPr>
                <w:rFonts w:cs="Simplified Arabic"/>
                <w:b/>
                <w:bCs/>
                <w:snapToGrid w:val="0"/>
                <w:color w:val="000000"/>
              </w:rPr>
            </w:pPr>
            <w:r w:rsidRPr="00696998">
              <w:rPr>
                <w:rFonts w:cs="Simplified Arabic"/>
                <w:b/>
                <w:bCs/>
                <w:snapToGrid w:val="0"/>
                <w:color w:val="000000"/>
              </w:rPr>
              <w:t>Month</w:t>
            </w:r>
          </w:p>
        </w:tc>
        <w:tc>
          <w:tcPr>
            <w:tcW w:w="1276" w:type="dxa"/>
          </w:tcPr>
          <w:p w:rsidR="00271D64" w:rsidRPr="00696998" w:rsidRDefault="00271D64" w:rsidP="00AE3175">
            <w:pPr>
              <w:autoSpaceDE w:val="0"/>
              <w:autoSpaceDN w:val="0"/>
              <w:bidi w:val="0"/>
              <w:adjustRightInd w:val="0"/>
              <w:spacing w:line="276" w:lineRule="auto"/>
              <w:jc w:val="center"/>
              <w:rPr>
                <w:rFonts w:cs="Simplified Arabic"/>
                <w:b/>
                <w:bCs/>
                <w:snapToGrid w:val="0"/>
                <w:color w:val="000000"/>
              </w:rPr>
            </w:pPr>
            <w:r w:rsidRPr="00696998">
              <w:rPr>
                <w:rFonts w:cs="Simplified Arabic"/>
                <w:b/>
                <w:bCs/>
                <w:snapToGrid w:val="0"/>
                <w:color w:val="000000"/>
              </w:rPr>
              <w:t>Local Products</w:t>
            </w:r>
          </w:p>
        </w:tc>
        <w:tc>
          <w:tcPr>
            <w:tcW w:w="1276" w:type="dxa"/>
          </w:tcPr>
          <w:p w:rsidR="00271D64" w:rsidRPr="00696998" w:rsidRDefault="00271D64" w:rsidP="00AE3175">
            <w:pPr>
              <w:autoSpaceDE w:val="0"/>
              <w:autoSpaceDN w:val="0"/>
              <w:bidi w:val="0"/>
              <w:adjustRightInd w:val="0"/>
              <w:spacing w:line="276" w:lineRule="auto"/>
              <w:jc w:val="center"/>
              <w:rPr>
                <w:rFonts w:cs="Simplified Arabic"/>
                <w:b/>
                <w:bCs/>
                <w:snapToGrid w:val="0"/>
                <w:color w:val="000000"/>
              </w:rPr>
            </w:pPr>
            <w:r w:rsidRPr="00696998">
              <w:rPr>
                <w:rFonts w:cs="Simplified Arabic"/>
                <w:b/>
                <w:bCs/>
                <w:snapToGrid w:val="0"/>
                <w:color w:val="000000"/>
              </w:rPr>
              <w:t>Exported Products</w:t>
            </w:r>
          </w:p>
        </w:tc>
        <w:tc>
          <w:tcPr>
            <w:tcW w:w="1276" w:type="dxa"/>
          </w:tcPr>
          <w:p w:rsidR="00271D64" w:rsidRPr="00696998" w:rsidRDefault="00271D64" w:rsidP="00AE3175">
            <w:pPr>
              <w:autoSpaceDE w:val="0"/>
              <w:autoSpaceDN w:val="0"/>
              <w:bidi w:val="0"/>
              <w:adjustRightInd w:val="0"/>
              <w:spacing w:line="276" w:lineRule="auto"/>
              <w:jc w:val="center"/>
              <w:rPr>
                <w:rFonts w:cs="Simplified Arabic"/>
                <w:b/>
                <w:bCs/>
                <w:snapToGrid w:val="0"/>
                <w:color w:val="000000"/>
              </w:rPr>
            </w:pPr>
            <w:r>
              <w:rPr>
                <w:rFonts w:cs="Simplified Arabic"/>
                <w:b/>
                <w:bCs/>
                <w:snapToGrid w:val="0"/>
                <w:color w:val="000000"/>
              </w:rPr>
              <w:t>All</w:t>
            </w:r>
            <w:r w:rsidRPr="00696998">
              <w:rPr>
                <w:rFonts w:cs="Simplified Arabic"/>
                <w:b/>
                <w:bCs/>
                <w:snapToGrid w:val="0"/>
                <w:color w:val="000000"/>
              </w:rPr>
              <w:t xml:space="preserve"> Products</w:t>
            </w:r>
          </w:p>
        </w:tc>
      </w:tr>
      <w:tr w:rsidR="00667D2A" w:rsidRPr="00696998"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January</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lang w:eastAsia="en-US"/>
              </w:rPr>
            </w:pPr>
            <w:r>
              <w:rPr>
                <w:rFonts w:ascii="Simplified Arabic" w:hAnsi="Simplified Arabic" w:cs="Simplified Arabic"/>
                <w:color w:val="000000"/>
                <w:sz w:val="20"/>
                <w:szCs w:val="20"/>
              </w:rPr>
              <w:t>-4</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95</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2</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72</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-4</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79</w:t>
            </w:r>
          </w:p>
        </w:tc>
      </w:tr>
      <w:tr w:rsidR="00667D2A" w:rsidRPr="00696998"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February</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-10</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48</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-4</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27</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-10</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04</w:t>
            </w:r>
          </w:p>
        </w:tc>
      </w:tr>
      <w:tr w:rsidR="00667D2A" w:rsidRPr="00696998"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March</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12</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58</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3</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03</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11</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85</w:t>
            </w:r>
          </w:p>
        </w:tc>
      </w:tr>
      <w:tr w:rsidR="00667D2A" w:rsidRPr="008F385D"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April</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13</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69</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3</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29</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12</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96</w:t>
            </w:r>
          </w:p>
        </w:tc>
      </w:tr>
      <w:tr w:rsidR="00667D2A" w:rsidRPr="008F385D"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May</w:t>
            </w:r>
          </w:p>
        </w:tc>
        <w:tc>
          <w:tcPr>
            <w:tcW w:w="1276" w:type="dxa"/>
            <w:shd w:val="clear" w:color="auto" w:fill="auto"/>
            <w:vAlign w:val="bottom"/>
          </w:tcPr>
          <w:p w:rsidR="00667D2A" w:rsidRPr="00AA3E1B" w:rsidRDefault="00667D2A" w:rsidP="00667D2A">
            <w:pPr>
              <w:bidi w:val="0"/>
              <w:jc w:val="right"/>
              <w:rPr>
                <w:rFonts w:ascii="Simplified Arabic" w:hAnsi="Simplified Arabic" w:cs="Simplified Arabic"/>
                <w:color w:val="000000"/>
                <w:sz w:val="20"/>
                <w:szCs w:val="20"/>
              </w:rPr>
            </w:pPr>
            <w:r w:rsidRPr="00AA3E1B">
              <w:rPr>
                <w:rFonts w:ascii="Simplified Arabic" w:hAnsi="Simplified Arabic" w:cs="Simplified Arabic"/>
                <w:color w:val="000000"/>
                <w:sz w:val="20"/>
                <w:szCs w:val="20"/>
              </w:rPr>
              <w:t>33.78</w:t>
            </w:r>
          </w:p>
        </w:tc>
        <w:tc>
          <w:tcPr>
            <w:tcW w:w="1276" w:type="dxa"/>
            <w:shd w:val="clear" w:color="auto" w:fill="auto"/>
            <w:vAlign w:val="bottom"/>
          </w:tcPr>
          <w:p w:rsidR="00667D2A" w:rsidRPr="00AA3E1B" w:rsidRDefault="00667D2A" w:rsidP="003E2E78">
            <w:pPr>
              <w:bidi w:val="0"/>
              <w:jc w:val="right"/>
              <w:rPr>
                <w:rFonts w:ascii="Simplified Arabic" w:hAnsi="Simplified Arabic" w:cs="Simplified Arabic"/>
                <w:color w:val="000000"/>
                <w:sz w:val="20"/>
                <w:szCs w:val="20"/>
              </w:rPr>
            </w:pPr>
            <w:r w:rsidRPr="00AA3E1B">
              <w:rPr>
                <w:rFonts w:ascii="Simplified Arabic" w:hAnsi="Simplified Arabic" w:cs="Simplified Arabic"/>
                <w:color w:val="000000"/>
                <w:sz w:val="20"/>
                <w:szCs w:val="20"/>
              </w:rPr>
              <w:t>-</w:t>
            </w:r>
            <w:r w:rsidR="003E2E78">
              <w:rPr>
                <w:rFonts w:ascii="Simplified Arabic" w:hAnsi="Simplified Arabic" w:cs="Simplified Arabic"/>
                <w:color w:val="000000"/>
                <w:sz w:val="20"/>
                <w:szCs w:val="20"/>
              </w:rPr>
              <w:t>0</w:t>
            </w:r>
            <w:r w:rsidRPr="00AA3E1B">
              <w:rPr>
                <w:rFonts w:ascii="Simplified Arabic" w:hAnsi="Simplified Arabic" w:cs="Simplified Arabic"/>
                <w:color w:val="000000"/>
                <w:sz w:val="20"/>
                <w:szCs w:val="20"/>
              </w:rPr>
              <w:t>.17</w:t>
            </w:r>
          </w:p>
        </w:tc>
        <w:tc>
          <w:tcPr>
            <w:tcW w:w="1276" w:type="dxa"/>
            <w:shd w:val="clear" w:color="auto" w:fill="auto"/>
            <w:vAlign w:val="bottom"/>
          </w:tcPr>
          <w:p w:rsidR="00667D2A" w:rsidRPr="00AA3E1B" w:rsidRDefault="00667D2A" w:rsidP="00667D2A">
            <w:pPr>
              <w:bidi w:val="0"/>
              <w:jc w:val="right"/>
              <w:rPr>
                <w:rFonts w:ascii="Simplified Arabic" w:hAnsi="Simplified Arabic" w:cs="Simplified Arabic"/>
                <w:color w:val="000000"/>
                <w:sz w:val="20"/>
                <w:szCs w:val="20"/>
              </w:rPr>
            </w:pPr>
            <w:r w:rsidRPr="00AA3E1B">
              <w:rPr>
                <w:rFonts w:ascii="Simplified Arabic" w:hAnsi="Simplified Arabic" w:cs="Simplified Arabic"/>
                <w:color w:val="000000"/>
                <w:sz w:val="20"/>
                <w:szCs w:val="20"/>
              </w:rPr>
              <w:t>31.61</w:t>
            </w:r>
          </w:p>
        </w:tc>
      </w:tr>
      <w:tr w:rsidR="00667D2A" w:rsidRPr="008F385D"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June</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2.81</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7.95</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3.06</w:t>
            </w:r>
          </w:p>
        </w:tc>
      </w:tr>
      <w:tr w:rsidR="00667D2A" w:rsidRPr="008F385D"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July</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0.41</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-0.85</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0.35</w:t>
            </w:r>
          </w:p>
        </w:tc>
      </w:tr>
      <w:tr w:rsidR="00667D2A" w:rsidRPr="008F385D"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August</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-5.07</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0.68</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-4.78</w:t>
            </w:r>
          </w:p>
        </w:tc>
      </w:tr>
      <w:tr w:rsidR="00667D2A" w:rsidRPr="008F385D"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September</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-2.70</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0.00</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-2.56</w:t>
            </w:r>
          </w:p>
        </w:tc>
      </w:tr>
      <w:tr w:rsidR="00667D2A" w:rsidRPr="008F385D"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October</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-6.29</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-4.46</w:t>
            </w:r>
          </w:p>
        </w:tc>
        <w:tc>
          <w:tcPr>
            <w:tcW w:w="1276" w:type="dxa"/>
            <w:shd w:val="clear" w:color="auto" w:fill="auto"/>
            <w:vAlign w:val="bottom"/>
          </w:tcPr>
          <w:p w:rsidR="00667D2A" w:rsidRPr="002A7A99" w:rsidRDefault="00667D2A" w:rsidP="00667D2A">
            <w:pPr>
              <w:bidi w:val="0"/>
              <w:jc w:val="right"/>
              <w:rPr>
                <w:rFonts w:ascii="Simplified Arabic" w:hAnsi="Simplified Arabic" w:cs="Simplified Arabic"/>
                <w:color w:val="000000"/>
                <w:sz w:val="20"/>
                <w:szCs w:val="20"/>
              </w:rPr>
            </w:pPr>
            <w:r w:rsidRPr="002A7A99">
              <w:rPr>
                <w:rFonts w:ascii="Simplified Arabic" w:hAnsi="Simplified Arabic" w:cs="Simplified Arabic"/>
                <w:color w:val="000000"/>
                <w:sz w:val="20"/>
                <w:szCs w:val="20"/>
              </w:rPr>
              <w:t>-6.19</w:t>
            </w:r>
          </w:p>
        </w:tc>
      </w:tr>
      <w:tr w:rsidR="00667D2A" w:rsidRPr="008F385D"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November</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15</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13</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6</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39</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14</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64</w:t>
            </w:r>
          </w:p>
        </w:tc>
      </w:tr>
      <w:tr w:rsidR="00667D2A" w:rsidRPr="008F385D" w:rsidTr="00446C53">
        <w:trPr>
          <w:tblHeader/>
        </w:trPr>
        <w:tc>
          <w:tcPr>
            <w:tcW w:w="1418" w:type="dxa"/>
            <w:vAlign w:val="center"/>
          </w:tcPr>
          <w:p w:rsidR="00667D2A" w:rsidRDefault="00667D2A" w:rsidP="00667D2A">
            <w:pPr>
              <w:autoSpaceDE w:val="0"/>
              <w:autoSpaceDN w:val="0"/>
              <w:bidi w:val="0"/>
              <w:adjustRightInd w:val="0"/>
              <w:spacing w:line="276" w:lineRule="auto"/>
              <w:rPr>
                <w:rFonts w:cs="Simplified Arabic"/>
                <w:snapToGrid w:val="0"/>
                <w:color w:val="000000"/>
              </w:rPr>
            </w:pPr>
            <w:r>
              <w:rPr>
                <w:rFonts w:cs="Simplified Arabic"/>
                <w:snapToGrid w:val="0"/>
                <w:color w:val="000000"/>
              </w:rPr>
              <w:t>December</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0</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90</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1</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16</w:t>
            </w:r>
          </w:p>
        </w:tc>
        <w:tc>
          <w:tcPr>
            <w:tcW w:w="1276" w:type="dxa"/>
            <w:shd w:val="clear" w:color="auto" w:fill="auto"/>
            <w:vAlign w:val="bottom"/>
          </w:tcPr>
          <w:p w:rsidR="00667D2A" w:rsidRPr="0022202D" w:rsidRDefault="00667D2A" w:rsidP="00667D2A">
            <w:pPr>
              <w:bidi w:val="0"/>
              <w:jc w:val="right"/>
              <w:rPr>
                <w:rFonts w:ascii="Simplified Arabic" w:hAnsi="Simplified Arabic" w:cs="Simplified Arabic"/>
                <w:color w:val="000000"/>
                <w:sz w:val="20"/>
                <w:szCs w:val="20"/>
              </w:rPr>
            </w:pPr>
            <w:r>
              <w:rPr>
                <w:rFonts w:ascii="Simplified Arabic" w:hAnsi="Simplified Arabic" w:cs="Simplified Arabic"/>
                <w:color w:val="000000"/>
                <w:sz w:val="20"/>
                <w:szCs w:val="20"/>
              </w:rPr>
              <w:t>0</w:t>
            </w:r>
            <w:r w:rsidRPr="0022202D">
              <w:rPr>
                <w:rFonts w:ascii="Simplified Arabic" w:hAnsi="Simplified Arabic" w:cs="Simplified Arabic"/>
                <w:color w:val="000000"/>
                <w:sz w:val="20"/>
                <w:szCs w:val="20"/>
              </w:rPr>
              <w:t>.</w:t>
            </w:r>
            <w:r>
              <w:rPr>
                <w:rFonts w:ascii="Simplified Arabic" w:hAnsi="Simplified Arabic" w:cs="Simplified Arabic"/>
                <w:color w:val="000000"/>
                <w:sz w:val="20"/>
                <w:szCs w:val="20"/>
              </w:rPr>
              <w:t>91</w:t>
            </w:r>
          </w:p>
        </w:tc>
      </w:tr>
      <w:tr w:rsidR="00667D2A" w:rsidRPr="00A95AC6" w:rsidTr="00446C53">
        <w:trPr>
          <w:tblHeader/>
        </w:trPr>
        <w:tc>
          <w:tcPr>
            <w:tcW w:w="1418" w:type="dxa"/>
            <w:vAlign w:val="center"/>
          </w:tcPr>
          <w:p w:rsidR="00667D2A" w:rsidRPr="00A95AC6" w:rsidRDefault="00667D2A" w:rsidP="00667D2A">
            <w:pPr>
              <w:autoSpaceDE w:val="0"/>
              <w:autoSpaceDN w:val="0"/>
              <w:bidi w:val="0"/>
              <w:adjustRightInd w:val="0"/>
              <w:spacing w:line="276" w:lineRule="auto"/>
              <w:rPr>
                <w:rFonts w:cs="Simplified Arabic"/>
                <w:b/>
                <w:bCs/>
                <w:snapToGrid w:val="0"/>
                <w:color w:val="000000"/>
              </w:rPr>
            </w:pPr>
            <w:r>
              <w:rPr>
                <w:rFonts w:cs="Simplified Arabic"/>
                <w:b/>
                <w:bCs/>
                <w:snapToGrid w:val="0"/>
                <w:color w:val="000000"/>
              </w:rPr>
              <w:t>2025</w:t>
            </w:r>
            <w:r w:rsidRPr="00A95AC6">
              <w:rPr>
                <w:rFonts w:cs="Simplified Arabic"/>
                <w:b/>
                <w:bCs/>
                <w:snapToGrid w:val="0"/>
                <w:color w:val="000000"/>
              </w:rPr>
              <w:t xml:space="preserve"> Com. </w:t>
            </w:r>
            <w:r>
              <w:rPr>
                <w:rFonts w:cs="Simplified Arabic"/>
                <w:b/>
                <w:bCs/>
                <w:snapToGrid w:val="0"/>
                <w:color w:val="000000"/>
              </w:rPr>
              <w:t>2024</w:t>
            </w:r>
          </w:p>
        </w:tc>
        <w:tc>
          <w:tcPr>
            <w:tcW w:w="1276" w:type="dxa"/>
            <w:vAlign w:val="center"/>
          </w:tcPr>
          <w:p w:rsidR="00667D2A" w:rsidRPr="0022202D" w:rsidRDefault="00667D2A" w:rsidP="00667D2A">
            <w:pPr>
              <w:pStyle w:val="Header"/>
              <w:ind w:right="-180"/>
              <w:rPr>
                <w:rFonts w:cs="Simplified Arabic" w:hint="cs"/>
                <w:b/>
                <w:bCs/>
                <w:snapToGrid/>
                <w:color w:val="000000"/>
                <w:rtl/>
                <w:lang w:eastAsia="ar-SA"/>
              </w:rPr>
            </w:pPr>
            <w:r w:rsidRPr="0022202D">
              <w:rPr>
                <w:rFonts w:cs="Simplified Arabic" w:hint="cs"/>
                <w:b/>
                <w:bCs/>
                <w:snapToGrid/>
                <w:color w:val="000000"/>
                <w:rtl/>
                <w:lang w:eastAsia="ar-SA"/>
              </w:rPr>
              <w:t xml:space="preserve"> </w:t>
            </w:r>
            <w:r>
              <w:rPr>
                <w:rFonts w:cs="Simplified Arabic" w:hint="cs"/>
                <w:b/>
                <w:bCs/>
                <w:snapToGrid/>
                <w:color w:val="000000"/>
                <w:rtl/>
                <w:lang w:eastAsia="ar-SA"/>
              </w:rPr>
              <w:t>35</w:t>
            </w:r>
            <w:r w:rsidRPr="0022202D">
              <w:rPr>
                <w:rFonts w:cs="Simplified Arabic" w:hint="cs"/>
                <w:b/>
                <w:bCs/>
                <w:snapToGrid/>
                <w:color w:val="000000"/>
                <w:rtl/>
                <w:lang w:eastAsia="ar-SA"/>
              </w:rPr>
              <w:t>.</w:t>
            </w:r>
            <w:r>
              <w:rPr>
                <w:rFonts w:cs="Simplified Arabic" w:hint="cs"/>
                <w:b/>
                <w:bCs/>
                <w:snapToGrid/>
                <w:color w:val="000000"/>
                <w:rtl/>
                <w:lang w:eastAsia="ar-SA"/>
              </w:rPr>
              <w:t>22</w:t>
            </w:r>
          </w:p>
        </w:tc>
        <w:tc>
          <w:tcPr>
            <w:tcW w:w="1276" w:type="dxa"/>
            <w:vAlign w:val="center"/>
          </w:tcPr>
          <w:p w:rsidR="00667D2A" w:rsidRPr="0022202D" w:rsidRDefault="00667D2A" w:rsidP="00667D2A">
            <w:pPr>
              <w:pStyle w:val="Header"/>
              <w:ind w:right="-180"/>
              <w:rPr>
                <w:rFonts w:cs="Simplified Arabic" w:hint="cs"/>
                <w:b/>
                <w:bCs/>
                <w:snapToGrid/>
                <w:color w:val="000000"/>
                <w:rtl/>
                <w:lang w:eastAsia="ar-SA"/>
              </w:rPr>
            </w:pPr>
            <w:r w:rsidRPr="0022202D">
              <w:rPr>
                <w:rFonts w:cs="Simplified Arabic" w:hint="cs"/>
                <w:b/>
                <w:bCs/>
                <w:snapToGrid/>
                <w:color w:val="000000"/>
                <w:rtl/>
                <w:lang w:eastAsia="ar-SA"/>
              </w:rPr>
              <w:t xml:space="preserve"> </w:t>
            </w:r>
            <w:r>
              <w:rPr>
                <w:rFonts w:cs="Simplified Arabic" w:hint="cs"/>
                <w:b/>
                <w:bCs/>
                <w:snapToGrid/>
                <w:color w:val="000000"/>
                <w:rtl/>
                <w:lang w:eastAsia="ar-SA"/>
              </w:rPr>
              <w:t>3</w:t>
            </w:r>
            <w:r w:rsidRPr="0022202D">
              <w:rPr>
                <w:rFonts w:cs="Simplified Arabic" w:hint="cs"/>
                <w:b/>
                <w:bCs/>
                <w:snapToGrid/>
                <w:color w:val="000000"/>
                <w:rtl/>
                <w:lang w:eastAsia="ar-SA"/>
              </w:rPr>
              <w:t>.</w:t>
            </w:r>
            <w:r>
              <w:rPr>
                <w:rFonts w:cs="Simplified Arabic" w:hint="cs"/>
                <w:b/>
                <w:bCs/>
                <w:snapToGrid/>
                <w:color w:val="000000"/>
                <w:rtl/>
                <w:lang w:eastAsia="ar-SA"/>
              </w:rPr>
              <w:t>89</w:t>
            </w:r>
          </w:p>
        </w:tc>
        <w:tc>
          <w:tcPr>
            <w:tcW w:w="1276" w:type="dxa"/>
            <w:vAlign w:val="center"/>
          </w:tcPr>
          <w:p w:rsidR="00667D2A" w:rsidRPr="0022202D" w:rsidRDefault="00667D2A" w:rsidP="00667D2A">
            <w:pPr>
              <w:pStyle w:val="Header"/>
              <w:ind w:right="-180"/>
              <w:rPr>
                <w:rFonts w:cs="Simplified Arabic" w:hint="cs"/>
                <w:b/>
                <w:bCs/>
                <w:snapToGrid/>
                <w:color w:val="000000"/>
                <w:rtl/>
                <w:lang w:eastAsia="ar-SA"/>
              </w:rPr>
            </w:pPr>
            <w:r w:rsidRPr="0022202D">
              <w:rPr>
                <w:rFonts w:cs="Simplified Arabic" w:hint="cs"/>
                <w:b/>
                <w:bCs/>
                <w:snapToGrid/>
                <w:color w:val="000000"/>
                <w:rtl/>
                <w:lang w:eastAsia="ar-SA"/>
              </w:rPr>
              <w:t xml:space="preserve"> </w:t>
            </w:r>
            <w:r>
              <w:rPr>
                <w:rFonts w:cs="Simplified Arabic" w:hint="cs"/>
                <w:b/>
                <w:bCs/>
                <w:snapToGrid/>
                <w:color w:val="000000"/>
                <w:rtl/>
                <w:lang w:eastAsia="ar-SA"/>
              </w:rPr>
              <w:t>32</w:t>
            </w:r>
            <w:r w:rsidRPr="0022202D">
              <w:rPr>
                <w:rFonts w:cs="Simplified Arabic" w:hint="cs"/>
                <w:b/>
                <w:bCs/>
                <w:snapToGrid/>
                <w:color w:val="000000"/>
                <w:rtl/>
                <w:lang w:eastAsia="ar-SA"/>
              </w:rPr>
              <w:t>.</w:t>
            </w:r>
            <w:r>
              <w:rPr>
                <w:rFonts w:cs="Simplified Arabic" w:hint="cs"/>
                <w:b/>
                <w:bCs/>
                <w:snapToGrid/>
                <w:color w:val="000000"/>
                <w:rtl/>
                <w:lang w:eastAsia="ar-SA"/>
              </w:rPr>
              <w:t>90</w:t>
            </w:r>
          </w:p>
        </w:tc>
      </w:tr>
    </w:tbl>
    <w:p w:rsidR="00271D64" w:rsidRDefault="00271D64" w:rsidP="00271D64">
      <w:pPr>
        <w:bidi w:val="0"/>
        <w:spacing w:line="276" w:lineRule="auto"/>
        <w:rPr>
          <w:b/>
          <w:bCs/>
        </w:rPr>
      </w:pPr>
    </w:p>
    <w:p w:rsidR="00446C53" w:rsidRDefault="00446C53" w:rsidP="001210FD">
      <w:pPr>
        <w:bidi w:val="0"/>
        <w:spacing w:line="276" w:lineRule="auto"/>
        <w:jc w:val="center"/>
        <w:rPr>
          <w:b/>
          <w:bCs/>
        </w:rPr>
      </w:pPr>
    </w:p>
    <w:p w:rsidR="00446C53" w:rsidRDefault="00446C53" w:rsidP="00446C53">
      <w:pPr>
        <w:bidi w:val="0"/>
        <w:spacing w:line="276" w:lineRule="auto"/>
        <w:jc w:val="center"/>
        <w:rPr>
          <w:b/>
          <w:bCs/>
        </w:rPr>
      </w:pPr>
    </w:p>
    <w:p w:rsidR="00446C53" w:rsidRDefault="00446C53" w:rsidP="00446C53">
      <w:pPr>
        <w:bidi w:val="0"/>
        <w:spacing w:line="276" w:lineRule="auto"/>
        <w:jc w:val="center"/>
        <w:rPr>
          <w:b/>
          <w:bCs/>
        </w:rPr>
      </w:pPr>
    </w:p>
    <w:p w:rsidR="00446C53" w:rsidRDefault="00446C53" w:rsidP="00446C53">
      <w:pPr>
        <w:bidi w:val="0"/>
        <w:spacing w:line="276" w:lineRule="auto"/>
        <w:jc w:val="center"/>
        <w:rPr>
          <w:b/>
          <w:bCs/>
        </w:rPr>
      </w:pPr>
    </w:p>
    <w:p w:rsidR="00446C53" w:rsidRDefault="00446C53" w:rsidP="00446C53">
      <w:pPr>
        <w:bidi w:val="0"/>
        <w:spacing w:line="276" w:lineRule="auto"/>
        <w:jc w:val="center"/>
        <w:rPr>
          <w:b/>
          <w:bCs/>
        </w:rPr>
      </w:pPr>
    </w:p>
    <w:p w:rsidR="00446C53" w:rsidRDefault="00446C53" w:rsidP="00446C53">
      <w:pPr>
        <w:bidi w:val="0"/>
        <w:spacing w:line="276" w:lineRule="auto"/>
        <w:jc w:val="center"/>
        <w:rPr>
          <w:b/>
          <w:bCs/>
        </w:rPr>
      </w:pPr>
    </w:p>
    <w:p w:rsidR="00446C53" w:rsidRDefault="00446C53" w:rsidP="00446C53">
      <w:pPr>
        <w:bidi w:val="0"/>
        <w:spacing w:line="276" w:lineRule="auto"/>
        <w:jc w:val="center"/>
        <w:rPr>
          <w:b/>
          <w:bCs/>
        </w:rPr>
      </w:pPr>
    </w:p>
    <w:p w:rsidR="00446C53" w:rsidRDefault="00446C53" w:rsidP="00446C53">
      <w:pPr>
        <w:bidi w:val="0"/>
        <w:spacing w:line="276" w:lineRule="auto"/>
        <w:jc w:val="center"/>
        <w:rPr>
          <w:b/>
          <w:bCs/>
        </w:rPr>
      </w:pPr>
    </w:p>
    <w:p w:rsidR="00446C53" w:rsidRDefault="00446C53" w:rsidP="00446C53">
      <w:pPr>
        <w:bidi w:val="0"/>
        <w:spacing w:line="276" w:lineRule="auto"/>
        <w:jc w:val="center"/>
        <w:rPr>
          <w:b/>
          <w:bCs/>
        </w:rPr>
      </w:pPr>
    </w:p>
    <w:p w:rsidR="00271D64" w:rsidRPr="00DD7595" w:rsidRDefault="00271D64" w:rsidP="00446C53">
      <w:pPr>
        <w:bidi w:val="0"/>
        <w:spacing w:line="276" w:lineRule="auto"/>
        <w:jc w:val="center"/>
        <w:rPr>
          <w:b/>
          <w:bCs/>
        </w:rPr>
      </w:pPr>
      <w:r w:rsidRPr="00DD7595">
        <w:rPr>
          <w:b/>
          <w:bCs/>
        </w:rPr>
        <w:t xml:space="preserve">The trend line </w:t>
      </w:r>
      <w:r>
        <w:rPr>
          <w:b/>
          <w:bCs/>
        </w:rPr>
        <w:t>of</w:t>
      </w:r>
      <w:r w:rsidRPr="00DD7595">
        <w:rPr>
          <w:b/>
          <w:bCs/>
        </w:rPr>
        <w:t xml:space="preserve"> the </w:t>
      </w:r>
      <w:r>
        <w:rPr>
          <w:b/>
          <w:bCs/>
        </w:rPr>
        <w:t>PPI</w:t>
      </w:r>
      <w:r w:rsidRPr="00DD7595">
        <w:rPr>
          <w:b/>
          <w:bCs/>
        </w:rPr>
        <w:t xml:space="preserve"> in Palestin</w:t>
      </w:r>
      <w:r>
        <w:rPr>
          <w:b/>
          <w:bCs/>
        </w:rPr>
        <w:t>e</w:t>
      </w:r>
      <w:r w:rsidRPr="00DD7595">
        <w:rPr>
          <w:b/>
          <w:bCs/>
        </w:rPr>
        <w:t xml:space="preserve">, for the </w:t>
      </w:r>
      <w:r>
        <w:rPr>
          <w:b/>
          <w:bCs/>
        </w:rPr>
        <w:t>months</w:t>
      </w:r>
      <w:r w:rsidRPr="00DD7595">
        <w:rPr>
          <w:b/>
          <w:bCs/>
        </w:rPr>
        <w:t>:</w:t>
      </w:r>
      <w:r>
        <w:rPr>
          <w:b/>
          <w:bCs/>
        </w:rPr>
        <w:t xml:space="preserve"> January </w:t>
      </w:r>
      <w:r w:rsidRPr="00DD7595">
        <w:rPr>
          <w:b/>
          <w:bCs/>
        </w:rPr>
        <w:t>-</w:t>
      </w:r>
      <w:r>
        <w:rPr>
          <w:b/>
          <w:bCs/>
          <w:color w:val="000000"/>
        </w:rPr>
        <w:t xml:space="preserve"> Dec</w:t>
      </w:r>
      <w:r>
        <w:rPr>
          <w:b/>
          <w:bCs/>
        </w:rPr>
        <w:t xml:space="preserve">ember </w:t>
      </w:r>
      <w:r w:rsidR="001210FD">
        <w:rPr>
          <w:b/>
          <w:bCs/>
          <w:color w:val="000000"/>
        </w:rPr>
        <w:t>2025</w:t>
      </w:r>
      <w:r w:rsidRPr="00DD7595">
        <w:rPr>
          <w:b/>
          <w:bCs/>
        </w:rPr>
        <w:t xml:space="preserve"> </w:t>
      </w:r>
    </w:p>
    <w:p w:rsidR="00271D64" w:rsidRDefault="00271D64" w:rsidP="00271D64">
      <w:pPr>
        <w:bidi w:val="0"/>
        <w:spacing w:line="276" w:lineRule="auto"/>
        <w:ind w:left="4111" w:hanging="4111"/>
        <w:jc w:val="center"/>
        <w:rPr>
          <w:b/>
          <w:bCs/>
        </w:rPr>
      </w:pPr>
      <w:r w:rsidRPr="00DD7595">
        <w:rPr>
          <w:b/>
          <w:bCs/>
        </w:rPr>
        <w:t xml:space="preserve">(Base </w:t>
      </w:r>
      <w:r>
        <w:rPr>
          <w:b/>
          <w:bCs/>
        </w:rPr>
        <w:t xml:space="preserve">Year 2019 </w:t>
      </w:r>
      <w:r w:rsidRPr="00DD7595">
        <w:rPr>
          <w:b/>
          <w:bCs/>
        </w:rPr>
        <w:t>=</w:t>
      </w:r>
      <w:r>
        <w:rPr>
          <w:b/>
          <w:bCs/>
        </w:rPr>
        <w:t xml:space="preserve"> </w:t>
      </w:r>
      <w:r w:rsidRPr="00DD7595">
        <w:rPr>
          <w:b/>
          <w:bCs/>
        </w:rPr>
        <w:t>100)</w:t>
      </w:r>
    </w:p>
    <w:p w:rsidR="00271D64" w:rsidRPr="00430136" w:rsidRDefault="00271D64" w:rsidP="00271D64">
      <w:pPr>
        <w:bidi w:val="0"/>
        <w:spacing w:line="276" w:lineRule="auto"/>
        <w:ind w:left="4111" w:hanging="4111"/>
        <w:rPr>
          <w:b/>
          <w:bCs/>
          <w:sz w:val="8"/>
          <w:szCs w:val="8"/>
        </w:rPr>
      </w:pPr>
    </w:p>
    <w:p w:rsidR="00271D64" w:rsidRDefault="002F0A43" w:rsidP="00446C53">
      <w:pPr>
        <w:pStyle w:val="NormalWeb"/>
        <w:spacing w:after="0"/>
        <w:jc w:val="center"/>
        <w:rPr>
          <w:b/>
          <w:bCs/>
          <w:color w:val="FF0000"/>
          <w:sz w:val="22"/>
          <w:szCs w:val="22"/>
        </w:rPr>
      </w:pPr>
      <w:r>
        <w:rPr>
          <w:noProof/>
          <w:lang w:val="en-GB" w:eastAsia="en-GB"/>
        </w:rPr>
        <w:drawing>
          <wp:inline distT="0" distB="0" distL="0" distR="0">
            <wp:extent cx="2954655" cy="218376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74CA" w:rsidRPr="003C5FBA" w:rsidRDefault="00EA74CA" w:rsidP="008A77E1">
      <w:pPr>
        <w:pStyle w:val="NormalWeb"/>
        <w:spacing w:after="0"/>
        <w:rPr>
          <w:b/>
          <w:bCs/>
          <w:color w:val="FF0000"/>
          <w:sz w:val="22"/>
          <w:szCs w:val="22"/>
        </w:rPr>
      </w:pPr>
      <w:r w:rsidRPr="003C5FBA">
        <w:rPr>
          <w:b/>
          <w:bCs/>
          <w:color w:val="FF0000"/>
          <w:sz w:val="22"/>
          <w:szCs w:val="22"/>
        </w:rPr>
        <w:t>Notice for Users:</w:t>
      </w:r>
    </w:p>
    <w:p w:rsidR="00EA74CA" w:rsidRPr="003C5FBA" w:rsidRDefault="00464086" w:rsidP="001210FD">
      <w:pPr>
        <w:numPr>
          <w:ilvl w:val="0"/>
          <w:numId w:val="13"/>
        </w:numPr>
        <w:bidi w:val="0"/>
        <w:spacing w:before="100" w:beforeAutospacing="1"/>
        <w:ind w:left="284" w:hanging="284"/>
        <w:jc w:val="both"/>
        <w:rPr>
          <w:sz w:val="22"/>
          <w:szCs w:val="22"/>
          <w:lang w:eastAsia="en-US"/>
        </w:rPr>
      </w:pPr>
      <w:r w:rsidRPr="003C5FBA">
        <w:rPr>
          <w:sz w:val="22"/>
          <w:szCs w:val="22"/>
          <w:lang w:eastAsia="en-US"/>
        </w:rPr>
        <w:t>The data collection process for agricultural commodities, which was collected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w:t>
      </w:r>
      <w:r w:rsidR="009167A3">
        <w:rPr>
          <w:sz w:val="22"/>
          <w:szCs w:val="22"/>
          <w:lang w:eastAsia="en-US"/>
        </w:rPr>
        <w:t>October</w:t>
      </w:r>
      <w:r w:rsidRPr="003C5FBA">
        <w:rPr>
          <w:sz w:val="22"/>
          <w:szCs w:val="22"/>
          <w:lang w:eastAsia="en-US"/>
        </w:rPr>
        <w:t xml:space="preserve"> 7th, </w:t>
      </w:r>
      <w:r w:rsidR="00B26413">
        <w:rPr>
          <w:sz w:val="22"/>
          <w:szCs w:val="22"/>
          <w:lang w:eastAsia="en-US"/>
        </w:rPr>
        <w:t>2023</w:t>
      </w:r>
      <w:r w:rsidRPr="003C5FBA">
        <w:rPr>
          <w:sz w:val="22"/>
          <w:szCs w:val="22"/>
          <w:lang w:eastAsia="en-US"/>
        </w:rPr>
        <w:t xml:space="preserve">, the data for </w:t>
      </w:r>
      <w:r w:rsidR="001210FD">
        <w:rPr>
          <w:sz w:val="22"/>
          <w:szCs w:val="22"/>
          <w:lang w:eastAsia="en-US"/>
        </w:rPr>
        <w:t>December</w:t>
      </w:r>
      <w:r w:rsidRPr="003C5FBA">
        <w:rPr>
          <w:sz w:val="22"/>
          <w:szCs w:val="22"/>
          <w:lang w:eastAsia="en-US"/>
        </w:rPr>
        <w:t xml:space="preserve"> </w:t>
      </w:r>
      <w:r w:rsidR="001F761F">
        <w:rPr>
          <w:sz w:val="22"/>
          <w:szCs w:val="22"/>
          <w:lang w:eastAsia="en-US"/>
        </w:rPr>
        <w:t>2025</w:t>
      </w:r>
      <w:r w:rsidRPr="003C5FBA">
        <w:rPr>
          <w:sz w:val="22"/>
          <w:szCs w:val="22"/>
          <w:lang w:eastAsia="en-US"/>
        </w:rPr>
        <w:t xml:space="preserve">,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1210FD">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1210FD">
        <w:rPr>
          <w:sz w:val="22"/>
          <w:szCs w:val="22"/>
          <w:lang w:eastAsia="en-US"/>
        </w:rPr>
        <w:t>December</w:t>
      </w:r>
      <w:r w:rsidR="001210FD" w:rsidRPr="003C5FBA">
        <w:rPr>
          <w:sz w:val="22"/>
          <w:szCs w:val="22"/>
          <w:lang w:eastAsia="en-US"/>
        </w:rPr>
        <w:t xml:space="preserve"> </w:t>
      </w:r>
      <w:r w:rsidR="001F761F">
        <w:rPr>
          <w:sz w:val="22"/>
          <w:szCs w:val="22"/>
          <w:lang w:eastAsia="en-US"/>
        </w:rPr>
        <w:t>2025</w:t>
      </w:r>
      <w:r w:rsidRPr="003C5FBA">
        <w:rPr>
          <w:sz w:val="22"/>
          <w:szCs w:val="22"/>
          <w:lang w:eastAsia="en-US"/>
        </w:rPr>
        <w:t xml:space="preserve">, while in Gaza Strip; the data of all industrial establishments was estimated due to the accelerated Israeli escalation witnessed in Gaza Strip on </w:t>
      </w:r>
      <w:r w:rsidR="009167A3">
        <w:rPr>
          <w:sz w:val="22"/>
          <w:szCs w:val="22"/>
          <w:lang w:eastAsia="en-US"/>
        </w:rPr>
        <w:t>October</w:t>
      </w:r>
      <w:r w:rsidR="00C5056D" w:rsidRPr="003C5FBA">
        <w:rPr>
          <w:sz w:val="22"/>
          <w:szCs w:val="22"/>
          <w:lang w:eastAsia="en-US"/>
        </w:rPr>
        <w:t xml:space="preserve"> 7 </w:t>
      </w:r>
      <w:r w:rsidRPr="003C5FBA">
        <w:rPr>
          <w:sz w:val="22"/>
          <w:szCs w:val="22"/>
          <w:lang w:eastAsia="en-US"/>
        </w:rPr>
        <w:t xml:space="preserve">during </w:t>
      </w:r>
      <w:r w:rsidR="00B26413">
        <w:rPr>
          <w:sz w:val="22"/>
          <w:szCs w:val="22"/>
          <w:lang w:eastAsia="en-US"/>
        </w:rPr>
        <w:t>2023</w:t>
      </w:r>
      <w:r w:rsidRPr="003C5FBA">
        <w:rPr>
          <w:sz w:val="22"/>
          <w:szCs w:val="22"/>
          <w:lang w:eastAsia="en-US"/>
        </w:rPr>
        <w:t xml:space="preserve"> against all aspects of society</w:t>
      </w:r>
      <w:r w:rsidR="00EA74CA" w:rsidRPr="003C5FBA">
        <w:rPr>
          <w:sz w:val="22"/>
          <w:szCs w:val="22"/>
          <w:lang w:eastAsia="en-US"/>
        </w:rPr>
        <w:t>.</w:t>
      </w:r>
    </w:p>
    <w:p w:rsidR="00EA74CA" w:rsidRPr="003C5FBA" w:rsidRDefault="00EA74CA" w:rsidP="00646670">
      <w:pPr>
        <w:numPr>
          <w:ilvl w:val="0"/>
          <w:numId w:val="13"/>
        </w:numPr>
        <w:bidi w:val="0"/>
        <w:spacing w:before="100" w:beforeAutospacing="1"/>
        <w:ind w:left="284" w:hanging="284"/>
        <w:jc w:val="both"/>
        <w:rPr>
          <w:sz w:val="22"/>
          <w:szCs w:val="22"/>
          <w:lang w:eastAsia="en-US"/>
        </w:rPr>
      </w:pPr>
      <w:r w:rsidRPr="003C5FBA">
        <w:rPr>
          <w:sz w:val="22"/>
          <w:szCs w:val="22"/>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DA6011" w:rsidRDefault="00EA74CA" w:rsidP="00DA6011">
      <w:pPr>
        <w:numPr>
          <w:ilvl w:val="0"/>
          <w:numId w:val="13"/>
        </w:numPr>
        <w:bidi w:val="0"/>
        <w:spacing w:before="100" w:beforeAutospacing="1"/>
        <w:ind w:left="284" w:hanging="284"/>
        <w:jc w:val="both"/>
        <w:rPr>
          <w:sz w:val="22"/>
          <w:szCs w:val="22"/>
          <w:lang w:eastAsia="en-US"/>
        </w:rPr>
      </w:pPr>
      <w:r w:rsidRPr="003C5FBA">
        <w:rPr>
          <w:sz w:val="22"/>
          <w:szCs w:val="22"/>
          <w:lang w:eastAsia="en-US"/>
        </w:rPr>
        <w:t>The estimate is also used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p w:rsidR="00DA6011" w:rsidRPr="00DA6011" w:rsidRDefault="00DA6011" w:rsidP="00DA6011">
      <w:pPr>
        <w:bidi w:val="0"/>
        <w:spacing w:before="100" w:beforeAutospacing="1"/>
        <w:ind w:left="284"/>
        <w:jc w:val="both"/>
        <w:rPr>
          <w:sz w:val="22"/>
          <w:szCs w:val="22"/>
          <w:lang w:eastAsia="en-US"/>
        </w:rPr>
      </w:pPr>
    </w:p>
    <w:tbl>
      <w:tblPr>
        <w:tblW w:w="0" w:type="auto"/>
        <w:tblLayout w:type="fixed"/>
        <w:tblLook w:val="04A0" w:firstRow="1" w:lastRow="0" w:firstColumn="1" w:lastColumn="0" w:noHBand="0" w:noVBand="1"/>
      </w:tblPr>
      <w:tblGrid>
        <w:gridCol w:w="2628"/>
        <w:gridCol w:w="2265"/>
      </w:tblGrid>
      <w:tr w:rsidR="00DA6011" w:rsidRPr="00DC366C" w:rsidTr="00663E0C">
        <w:tc>
          <w:tcPr>
            <w:tcW w:w="2628" w:type="dxa"/>
            <w:shd w:val="clear" w:color="auto" w:fill="auto"/>
          </w:tcPr>
          <w:p w:rsidR="00DA6011" w:rsidRPr="00FD7A42" w:rsidRDefault="00DA6011" w:rsidP="00663E0C">
            <w:pPr>
              <w:bidi w:val="0"/>
              <w:jc w:val="both"/>
            </w:pPr>
          </w:p>
        </w:tc>
        <w:tc>
          <w:tcPr>
            <w:tcW w:w="2265" w:type="dxa"/>
            <w:shd w:val="clear" w:color="auto" w:fill="auto"/>
          </w:tcPr>
          <w:p w:rsidR="00DA6011" w:rsidRPr="00DC366C" w:rsidRDefault="00DA6011" w:rsidP="00663E0C">
            <w:pPr>
              <w:bidi w:val="0"/>
              <w:jc w:val="both"/>
              <w:rPr>
                <w:b/>
                <w:bCs/>
                <w:sz w:val="12"/>
                <w:szCs w:val="12"/>
              </w:rPr>
            </w:pPr>
          </w:p>
        </w:tc>
      </w:tr>
    </w:tbl>
    <w:p w:rsidR="002B4A04" w:rsidRDefault="002B4A04" w:rsidP="00446C53">
      <w:pPr>
        <w:bidi w:val="0"/>
        <w:spacing w:before="100" w:beforeAutospacing="1"/>
        <w:jc w:val="both"/>
        <w:rPr>
          <w:b/>
          <w:bCs/>
          <w:sz w:val="20"/>
          <w:szCs w:val="20"/>
        </w:rPr>
      </w:pPr>
    </w:p>
    <w:sectPr w:rsidR="002B4A04" w:rsidSect="007C397C">
      <w:footerReference w:type="even" r:id="rId10"/>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D99" w:rsidRDefault="00CC7D99">
      <w:r>
        <w:separator/>
      </w:r>
    </w:p>
  </w:endnote>
  <w:endnote w:type="continuationSeparator" w:id="0">
    <w:p w:rsidR="00CC7D99" w:rsidRDefault="00CC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D99" w:rsidRDefault="00CC7D99">
      <w:r>
        <w:separator/>
      </w:r>
    </w:p>
  </w:footnote>
  <w:footnote w:type="continuationSeparator" w:id="0">
    <w:p w:rsidR="00CC7D99" w:rsidRDefault="00CC7D99">
      <w:r>
        <w:continuationSeparator/>
      </w:r>
    </w:p>
  </w:footnote>
  <w:footnote w:id="1">
    <w:p w:rsidR="00271D64" w:rsidRDefault="00271D64" w:rsidP="00271D64">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271D64" w:rsidRPr="00430332" w:rsidRDefault="00271D64" w:rsidP="00271D64">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4D8"/>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5400"/>
    <w:rsid w:val="00045C31"/>
    <w:rsid w:val="000461C1"/>
    <w:rsid w:val="000508C8"/>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10FD"/>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91C"/>
    <w:rsid w:val="001D5DD2"/>
    <w:rsid w:val="001D6908"/>
    <w:rsid w:val="001D7143"/>
    <w:rsid w:val="001E044B"/>
    <w:rsid w:val="001E10AF"/>
    <w:rsid w:val="001E1479"/>
    <w:rsid w:val="001E14DD"/>
    <w:rsid w:val="001E4451"/>
    <w:rsid w:val="001E5653"/>
    <w:rsid w:val="001E77B3"/>
    <w:rsid w:val="001F0B3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2BAD"/>
    <w:rsid w:val="00244AF1"/>
    <w:rsid w:val="00247EAB"/>
    <w:rsid w:val="0025235A"/>
    <w:rsid w:val="00252666"/>
    <w:rsid w:val="00254180"/>
    <w:rsid w:val="00264114"/>
    <w:rsid w:val="002651AF"/>
    <w:rsid w:val="0026586C"/>
    <w:rsid w:val="00265875"/>
    <w:rsid w:val="0026620B"/>
    <w:rsid w:val="00266AD4"/>
    <w:rsid w:val="00267C5B"/>
    <w:rsid w:val="00270003"/>
    <w:rsid w:val="00270974"/>
    <w:rsid w:val="00270C60"/>
    <w:rsid w:val="00271A23"/>
    <w:rsid w:val="00271D64"/>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26A"/>
    <w:rsid w:val="002D5934"/>
    <w:rsid w:val="002D6670"/>
    <w:rsid w:val="002D68A3"/>
    <w:rsid w:val="002E22CB"/>
    <w:rsid w:val="002E2B07"/>
    <w:rsid w:val="002F0A43"/>
    <w:rsid w:val="002F2F8E"/>
    <w:rsid w:val="002F4471"/>
    <w:rsid w:val="0030114B"/>
    <w:rsid w:val="003016BE"/>
    <w:rsid w:val="003047EB"/>
    <w:rsid w:val="00304E7E"/>
    <w:rsid w:val="0030571E"/>
    <w:rsid w:val="00305C3F"/>
    <w:rsid w:val="00306DB8"/>
    <w:rsid w:val="00307C1C"/>
    <w:rsid w:val="003122BF"/>
    <w:rsid w:val="00312E3C"/>
    <w:rsid w:val="003132E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977E0"/>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2E78"/>
    <w:rsid w:val="003E324A"/>
    <w:rsid w:val="003E4C37"/>
    <w:rsid w:val="003E5816"/>
    <w:rsid w:val="003E58BA"/>
    <w:rsid w:val="003E7D11"/>
    <w:rsid w:val="003F0A1A"/>
    <w:rsid w:val="003F38C6"/>
    <w:rsid w:val="003F6FDD"/>
    <w:rsid w:val="00407112"/>
    <w:rsid w:val="00407C18"/>
    <w:rsid w:val="0041150A"/>
    <w:rsid w:val="004129BE"/>
    <w:rsid w:val="004159B7"/>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6C53"/>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4AD3"/>
    <w:rsid w:val="004B5096"/>
    <w:rsid w:val="004B570C"/>
    <w:rsid w:val="004C02E4"/>
    <w:rsid w:val="004D257B"/>
    <w:rsid w:val="004D28E9"/>
    <w:rsid w:val="004D4240"/>
    <w:rsid w:val="004D58CF"/>
    <w:rsid w:val="004D640D"/>
    <w:rsid w:val="004D75AD"/>
    <w:rsid w:val="004E1EC8"/>
    <w:rsid w:val="004E7314"/>
    <w:rsid w:val="004E78D4"/>
    <w:rsid w:val="004F1277"/>
    <w:rsid w:val="004F3991"/>
    <w:rsid w:val="004F7D1A"/>
    <w:rsid w:val="0050182A"/>
    <w:rsid w:val="00504555"/>
    <w:rsid w:val="005061D1"/>
    <w:rsid w:val="005075DB"/>
    <w:rsid w:val="0052134C"/>
    <w:rsid w:val="005234A9"/>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96340"/>
    <w:rsid w:val="005A57E0"/>
    <w:rsid w:val="005A6DB9"/>
    <w:rsid w:val="005A6EB2"/>
    <w:rsid w:val="005A7B5B"/>
    <w:rsid w:val="005B0778"/>
    <w:rsid w:val="005B1F7E"/>
    <w:rsid w:val="005B2AF9"/>
    <w:rsid w:val="005B3BD8"/>
    <w:rsid w:val="005B3C0A"/>
    <w:rsid w:val="005B3FA3"/>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9A5"/>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67D2A"/>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A40"/>
    <w:rsid w:val="006B3BD9"/>
    <w:rsid w:val="006B4F3B"/>
    <w:rsid w:val="006C0E53"/>
    <w:rsid w:val="006C10A8"/>
    <w:rsid w:val="006C19C2"/>
    <w:rsid w:val="006C4DB6"/>
    <w:rsid w:val="006C56B0"/>
    <w:rsid w:val="006C6817"/>
    <w:rsid w:val="006C748A"/>
    <w:rsid w:val="006C79CD"/>
    <w:rsid w:val="006D18CA"/>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2FFB"/>
    <w:rsid w:val="007155E3"/>
    <w:rsid w:val="00716B8F"/>
    <w:rsid w:val="00723BB9"/>
    <w:rsid w:val="007244E5"/>
    <w:rsid w:val="00724A86"/>
    <w:rsid w:val="00725047"/>
    <w:rsid w:val="00726E53"/>
    <w:rsid w:val="00727EF4"/>
    <w:rsid w:val="00732B5D"/>
    <w:rsid w:val="00741AF2"/>
    <w:rsid w:val="00745391"/>
    <w:rsid w:val="007456F9"/>
    <w:rsid w:val="00745B40"/>
    <w:rsid w:val="00746749"/>
    <w:rsid w:val="007472CB"/>
    <w:rsid w:val="00747D66"/>
    <w:rsid w:val="00750131"/>
    <w:rsid w:val="00751815"/>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97C"/>
    <w:rsid w:val="007C3B52"/>
    <w:rsid w:val="007C3D47"/>
    <w:rsid w:val="007C4F6A"/>
    <w:rsid w:val="007C603D"/>
    <w:rsid w:val="007D0141"/>
    <w:rsid w:val="007D02C5"/>
    <w:rsid w:val="007D1E62"/>
    <w:rsid w:val="007D32FE"/>
    <w:rsid w:val="007D6823"/>
    <w:rsid w:val="007E0847"/>
    <w:rsid w:val="007E263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5E7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3235"/>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6753"/>
    <w:rsid w:val="00997CFD"/>
    <w:rsid w:val="00997D41"/>
    <w:rsid w:val="009A019D"/>
    <w:rsid w:val="009A5CA8"/>
    <w:rsid w:val="009B1628"/>
    <w:rsid w:val="009B2A04"/>
    <w:rsid w:val="009B34A7"/>
    <w:rsid w:val="009B3709"/>
    <w:rsid w:val="009B5932"/>
    <w:rsid w:val="009B6026"/>
    <w:rsid w:val="009B6539"/>
    <w:rsid w:val="009B664E"/>
    <w:rsid w:val="009B717A"/>
    <w:rsid w:val="009B7993"/>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146B2"/>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14E"/>
    <w:rsid w:val="00A8629F"/>
    <w:rsid w:val="00A87435"/>
    <w:rsid w:val="00A90227"/>
    <w:rsid w:val="00A9339D"/>
    <w:rsid w:val="00A93DB2"/>
    <w:rsid w:val="00A94556"/>
    <w:rsid w:val="00A95AC6"/>
    <w:rsid w:val="00AA023F"/>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C5CDF"/>
    <w:rsid w:val="00AD0961"/>
    <w:rsid w:val="00AD1542"/>
    <w:rsid w:val="00AD19AD"/>
    <w:rsid w:val="00AD219A"/>
    <w:rsid w:val="00AD3DCD"/>
    <w:rsid w:val="00AE0D93"/>
    <w:rsid w:val="00AE1EEE"/>
    <w:rsid w:val="00AE3175"/>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108C0"/>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8C"/>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C6FA0"/>
    <w:rsid w:val="00CC7D99"/>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1221"/>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008B"/>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A6ED4"/>
    <w:rsid w:val="00DB0B87"/>
    <w:rsid w:val="00DB17F8"/>
    <w:rsid w:val="00DB1B38"/>
    <w:rsid w:val="00DB2C3B"/>
    <w:rsid w:val="00DB5039"/>
    <w:rsid w:val="00DB7C95"/>
    <w:rsid w:val="00DC17EE"/>
    <w:rsid w:val="00DC2255"/>
    <w:rsid w:val="00DC2614"/>
    <w:rsid w:val="00DC3DE5"/>
    <w:rsid w:val="00DC471C"/>
    <w:rsid w:val="00DC5B0A"/>
    <w:rsid w:val="00DC6FF6"/>
    <w:rsid w:val="00DC7AC2"/>
    <w:rsid w:val="00DD15CB"/>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1CAF"/>
    <w:rsid w:val="00E91EF9"/>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315C"/>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57CCA"/>
    <w:rsid w:val="00F6097F"/>
    <w:rsid w:val="00F62BD7"/>
    <w:rsid w:val="00F64C11"/>
    <w:rsid w:val="00F7118D"/>
    <w:rsid w:val="00F76B50"/>
    <w:rsid w:val="00F76FC7"/>
    <w:rsid w:val="00F83364"/>
    <w:rsid w:val="00F85623"/>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3E8484-0ACC-4BB8-A742-89F0786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 w:id="19234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10810810810811"/>
          <c:y val="0.1065989847715736"/>
          <c:w val="0.68243243243243246"/>
          <c:h val="0.7258883248730964"/>
        </c:manualLayout>
      </c:layout>
      <c:lineChart>
        <c:grouping val="standard"/>
        <c:varyColors val="0"/>
        <c:ser>
          <c:idx val="0"/>
          <c:order val="0"/>
          <c:tx>
            <c:strRef>
              <c:f>Sheet1!$A$2</c:f>
              <c:strCache>
                <c:ptCount val="1"/>
                <c:pt idx="0">
                  <c:v>inflation rate</c:v>
                </c:pt>
              </c:strCache>
            </c:strRef>
          </c:tx>
          <c:spPr>
            <a:ln w="12666">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Mode val="edge"/>
                  <c:yMode val="edge"/>
                  <c:x val="0.23986486486486486"/>
                  <c:y val="0.52284263959390864"/>
                </c:manualLayout>
              </c:layout>
              <c:spPr>
                <a:noFill/>
                <a:ln w="25333">
                  <a:noFill/>
                </a:ln>
              </c:spPr>
              <c:txPr>
                <a:bodyPr/>
                <a:lstStyle/>
                <a:p>
                  <a:pPr>
                    <a:defRPr sz="873"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98-488C-BAA1-48513BA3A3D3}"/>
                </c:ext>
              </c:extLst>
            </c:dLbl>
            <c:dLbl>
              <c:idx val="5"/>
              <c:layout>
                <c:manualLayout>
                  <c:xMode val="edge"/>
                  <c:yMode val="edge"/>
                  <c:x val="0.5"/>
                  <c:y val="0.52284263959390864"/>
                </c:manualLayout>
              </c:layout>
              <c:spPr>
                <a:noFill/>
                <a:ln w="25333">
                  <a:noFill/>
                </a:ln>
              </c:spPr>
              <c:txPr>
                <a:bodyPr/>
                <a:lstStyle/>
                <a:p>
                  <a:pPr>
                    <a:defRPr sz="873"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98-488C-BAA1-48513BA3A3D3}"/>
                </c:ext>
              </c:extLst>
            </c:dLbl>
            <c:dLbl>
              <c:idx val="9"/>
              <c:layout>
                <c:manualLayout>
                  <c:xMode val="edge"/>
                  <c:yMode val="edge"/>
                  <c:x val="0.71959459459459463"/>
                  <c:y val="4.060913705583756E-2"/>
                </c:manualLayout>
              </c:layout>
              <c:spPr>
                <a:noFill/>
                <a:ln w="25333">
                  <a:noFill/>
                </a:ln>
              </c:spPr>
              <c:txPr>
                <a:bodyPr/>
                <a:lstStyle/>
                <a:p>
                  <a:pPr>
                    <a:defRPr sz="873"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98-488C-BAA1-48513BA3A3D3}"/>
                </c:ext>
              </c:extLst>
            </c:dLbl>
            <c:dLbl>
              <c:idx val="10"/>
              <c:layout>
                <c:manualLayout>
                  <c:xMode val="edge"/>
                  <c:yMode val="edge"/>
                  <c:x val="0.83783783783783783"/>
                  <c:y val="0.18781725888324874"/>
                </c:manualLayout>
              </c:layout>
              <c:spPr>
                <a:noFill/>
                <a:ln w="25333">
                  <a:noFill/>
                </a:ln>
              </c:spPr>
              <c:txPr>
                <a:bodyPr/>
                <a:lstStyle/>
                <a:p>
                  <a:pPr>
                    <a:defRPr sz="873"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98-488C-BAA1-48513BA3A3D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Sheet1!$B$1:$L$1</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Sheet1!$B$2:$L$2</c:f>
              <c:numCache>
                <c:formatCode>0.00%</c:formatCode>
                <c:ptCount val="11"/>
                <c:pt idx="0">
                  <c:v>1.7299999999999999E-2</c:v>
                </c:pt>
                <c:pt idx="1">
                  <c:v>1.7600000000000001E-2</c:v>
                </c:pt>
                <c:pt idx="2">
                  <c:v>8.8000000000000005E-3</c:v>
                </c:pt>
                <c:pt idx="3">
                  <c:v>2.2200000000000001E-2</c:v>
                </c:pt>
                <c:pt idx="4">
                  <c:v>-5.7999999999999996E-3</c:v>
                </c:pt>
                <c:pt idx="5">
                  <c:v>-4.5100000000000001E-2</c:v>
                </c:pt>
                <c:pt idx="6">
                  <c:v>2.6700000000000002E-2</c:v>
                </c:pt>
                <c:pt idx="7">
                  <c:v>7.4300000000000005E-2</c:v>
                </c:pt>
                <c:pt idx="8">
                  <c:v>5.4800000000000001E-2</c:v>
                </c:pt>
                <c:pt idx="9">
                  <c:v>0.35420000000000001</c:v>
                </c:pt>
                <c:pt idx="10">
                  <c:v>0.32900000000000001</c:v>
                </c:pt>
              </c:numCache>
            </c:numRef>
          </c:val>
          <c:smooth val="0"/>
          <c:extLst>
            <c:ext xmlns:c16="http://schemas.microsoft.com/office/drawing/2014/chart" uri="{C3380CC4-5D6E-409C-BE32-E72D297353CC}">
              <c16:uniqueId val="{00000004-5A98-488C-BAA1-48513BA3A3D3}"/>
            </c:ext>
          </c:extLst>
        </c:ser>
        <c:dLbls>
          <c:showLegendKey val="0"/>
          <c:showVal val="0"/>
          <c:showCatName val="0"/>
          <c:showSerName val="0"/>
          <c:showPercent val="0"/>
          <c:showBubbleSize val="0"/>
        </c:dLbls>
        <c:marker val="1"/>
        <c:smooth val="0"/>
        <c:axId val="241418024"/>
        <c:axId val="1"/>
      </c:lineChart>
      <c:catAx>
        <c:axId val="241418024"/>
        <c:scaling>
          <c:orientation val="minMax"/>
        </c:scaling>
        <c:delete val="0"/>
        <c:axPos val="b"/>
        <c:numFmt formatCode="General" sourceLinked="1"/>
        <c:majorTickMark val="out"/>
        <c:minorTickMark val="none"/>
        <c:tickLblPos val="nextTo"/>
        <c:spPr>
          <a:ln w="3167">
            <a:solidFill>
              <a:srgbClr val="000000"/>
            </a:solidFill>
            <a:prstDash val="solid"/>
          </a:ln>
        </c:spPr>
        <c:txPr>
          <a:bodyPr rot="2820000" vert="horz"/>
          <a:lstStyle/>
          <a:p>
            <a:pPr>
              <a:defRPr sz="873" b="0" i="0" u="none" strike="noStrike" baseline="0">
                <a:solidFill>
                  <a:srgbClr val="000000"/>
                </a:solidFill>
                <a:latin typeface="Arial"/>
                <a:ea typeface="Arial"/>
                <a:cs typeface="Arial"/>
              </a:defRPr>
            </a:pPr>
            <a:endParaRPr lang="en-US"/>
          </a:p>
        </c:txPr>
        <c:crossAx val="1"/>
        <c:crosses val="autoZero"/>
        <c:auto val="1"/>
        <c:lblAlgn val="ctr"/>
        <c:lblOffset val="500"/>
        <c:tickLblSkip val="1"/>
        <c:tickMarkSkip val="1"/>
        <c:noMultiLvlLbl val="0"/>
      </c:catAx>
      <c:valAx>
        <c:axId val="1"/>
        <c:scaling>
          <c:orientation val="minMax"/>
        </c:scaling>
        <c:delete val="0"/>
        <c:axPos val="l"/>
        <c:title>
          <c:tx>
            <c:rich>
              <a:bodyPr/>
              <a:lstStyle/>
              <a:p>
                <a:pPr>
                  <a:defRPr sz="873" b="0" i="0" u="none" strike="noStrike" baseline="0">
                    <a:solidFill>
                      <a:srgbClr val="000000"/>
                    </a:solidFill>
                    <a:latin typeface="Arial"/>
                    <a:ea typeface="Arial"/>
                    <a:cs typeface="Arial"/>
                  </a:defRPr>
                </a:pPr>
                <a:r>
                  <a:rPr lang="en-GB"/>
                  <a:t>Yearly Percent Changes</a:t>
                </a:r>
              </a:p>
            </c:rich>
          </c:tx>
          <c:layout>
            <c:manualLayout>
              <c:xMode val="edge"/>
              <c:yMode val="edge"/>
              <c:x val="0"/>
              <c:y val="0.13197969543147209"/>
            </c:manualLayout>
          </c:layout>
          <c:overlay val="0"/>
          <c:spPr>
            <a:noFill/>
            <a:ln w="25333">
              <a:noFill/>
            </a:ln>
          </c:spPr>
        </c:title>
        <c:numFmt formatCode="0%" sourceLinked="0"/>
        <c:majorTickMark val="out"/>
        <c:minorTickMark val="none"/>
        <c:tickLblPos val="nextTo"/>
        <c:spPr>
          <a:ln w="3167">
            <a:solidFill>
              <a:srgbClr val="000000"/>
            </a:solidFill>
            <a:prstDash val="solid"/>
          </a:ln>
        </c:spPr>
        <c:txPr>
          <a:bodyPr rot="0" vert="horz"/>
          <a:lstStyle/>
          <a:p>
            <a:pPr>
              <a:defRPr sz="873" b="0" i="0" u="none" strike="noStrike" baseline="0">
                <a:solidFill>
                  <a:srgbClr val="000000"/>
                </a:solidFill>
                <a:latin typeface="Arial"/>
                <a:ea typeface="Arial"/>
                <a:cs typeface="Arial"/>
              </a:defRPr>
            </a:pPr>
            <a:endParaRPr lang="en-US"/>
          </a:p>
        </c:txPr>
        <c:crossAx val="241418024"/>
        <c:crosses val="autoZero"/>
        <c:crossBetween val="between"/>
      </c:valAx>
      <c:spPr>
        <a:noFill/>
        <a:ln w="25333">
          <a:noFill/>
        </a:ln>
      </c:spPr>
    </c:plotArea>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848"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40199335548174"/>
          <c:y val="9.1324200913242004E-2"/>
          <c:w val="0.68438538205980071"/>
          <c:h val="0.64383561643835618"/>
        </c:manualLayout>
      </c:layout>
      <c:lineChart>
        <c:grouping val="standard"/>
        <c:varyColors val="0"/>
        <c:ser>
          <c:idx val="0"/>
          <c:order val="0"/>
          <c:tx>
            <c:strRef>
              <c:f>Sheet1!$A$2</c:f>
              <c:strCache>
                <c:ptCount val="1"/>
                <c:pt idx="0">
                  <c:v>Price Index</c:v>
                </c:pt>
              </c:strCache>
            </c:strRef>
          </c:tx>
          <c:spPr>
            <a:ln w="12668">
              <a:solidFill>
                <a:srgbClr val="000080"/>
              </a:solidFill>
              <a:prstDash val="solid"/>
            </a:ln>
          </c:spPr>
          <c:marker>
            <c:symbol val="x"/>
            <c:size val="4"/>
            <c:spPr>
              <a:solidFill>
                <a:srgbClr val="000080"/>
              </a:solidFill>
              <a:ln>
                <a:solidFill>
                  <a:srgbClr val="000080"/>
                </a:solidFill>
                <a:prstDash val="solid"/>
              </a:ln>
            </c:spPr>
          </c:marker>
          <c:dLbls>
            <c:dLbl>
              <c:idx val="0"/>
              <c:layout>
                <c:manualLayout>
                  <c:xMode val="edge"/>
                  <c:yMode val="edge"/>
                  <c:x val="0.18604651162790697"/>
                  <c:y val="0.39726027397260272"/>
                </c:manualLayout>
              </c:layout>
              <c:numFmt formatCode="0.00" sourceLinked="0"/>
              <c:spPr>
                <a:noFill/>
                <a:ln w="25335">
                  <a:noFill/>
                </a:ln>
              </c:spPr>
              <c:txPr>
                <a:bodyPr/>
                <a:lstStyle/>
                <a:p>
                  <a:pPr>
                    <a:defRPr sz="798"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8D-402E-8EE4-A204832DEA00}"/>
                </c:ext>
              </c:extLst>
            </c:dLbl>
            <c:dLbl>
              <c:idx val="11"/>
              <c:layout>
                <c:manualLayout>
                  <c:xMode val="edge"/>
                  <c:yMode val="edge"/>
                  <c:x val="0.77740863787375414"/>
                  <c:y val="0.44748858447488582"/>
                </c:manualLayout>
              </c:layout>
              <c:numFmt formatCode="0.00" sourceLinked="0"/>
              <c:spPr>
                <a:noFill/>
                <a:ln w="25335">
                  <a:noFill/>
                </a:ln>
              </c:spPr>
              <c:txPr>
                <a:bodyPr/>
                <a:lstStyle/>
                <a:p>
                  <a:pPr>
                    <a:defRPr sz="798"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8D-402E-8EE4-A204832DEA0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Sheet1!$B$2:$M$2</c:f>
              <c:numCache>
                <c:formatCode>General</c:formatCode>
                <c:ptCount val="12"/>
                <c:pt idx="0">
                  <c:v>157.91999999999999</c:v>
                </c:pt>
                <c:pt idx="1">
                  <c:v>142.06</c:v>
                </c:pt>
                <c:pt idx="2">
                  <c:v>158.9</c:v>
                </c:pt>
                <c:pt idx="3">
                  <c:v>179.5</c:v>
                </c:pt>
                <c:pt idx="4">
                  <c:v>236.24</c:v>
                </c:pt>
                <c:pt idx="5">
                  <c:v>243.48</c:v>
                </c:pt>
                <c:pt idx="6">
                  <c:v>244.33</c:v>
                </c:pt>
                <c:pt idx="7">
                  <c:v>232.66</c:v>
                </c:pt>
                <c:pt idx="8">
                  <c:v>226.7</c:v>
                </c:pt>
                <c:pt idx="9">
                  <c:v>212.66</c:v>
                </c:pt>
                <c:pt idx="10">
                  <c:v>181.52</c:v>
                </c:pt>
                <c:pt idx="11">
                  <c:v>183.18</c:v>
                </c:pt>
              </c:numCache>
            </c:numRef>
          </c:val>
          <c:smooth val="0"/>
          <c:extLst>
            <c:ext xmlns:c16="http://schemas.microsoft.com/office/drawing/2014/chart" uri="{C3380CC4-5D6E-409C-BE32-E72D297353CC}">
              <c16:uniqueId val="{00000002-DB8D-402E-8EE4-A204832DEA00}"/>
            </c:ext>
          </c:extLst>
        </c:ser>
        <c:ser>
          <c:idx val="1"/>
          <c:order val="1"/>
          <c:tx>
            <c:strRef>
              <c:f>Sheet1!$A$3</c:f>
              <c:strCache>
                <c:ptCount val="1"/>
              </c:strCache>
            </c:strRef>
          </c:tx>
          <c:spPr>
            <a:ln w="12668">
              <a:solidFill>
                <a:srgbClr val="FF00FF"/>
              </a:solidFill>
              <a:prstDash val="solid"/>
            </a:ln>
          </c:spPr>
          <c:marker>
            <c:symbol val="none"/>
          </c:marker>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Sheet1!$B$3:$M$3</c:f>
              <c:numCache>
                <c:formatCode>General</c:formatCode>
                <c:ptCount val="12"/>
              </c:numCache>
            </c:numRef>
          </c:val>
          <c:smooth val="0"/>
          <c:extLst>
            <c:ext xmlns:c16="http://schemas.microsoft.com/office/drawing/2014/chart" uri="{C3380CC4-5D6E-409C-BE32-E72D297353CC}">
              <c16:uniqueId val="{00000003-DB8D-402E-8EE4-A204832DEA00}"/>
            </c:ext>
          </c:extLst>
        </c:ser>
        <c:ser>
          <c:idx val="2"/>
          <c:order val="2"/>
          <c:tx>
            <c:strRef>
              <c:f>Sheet1!$A$4</c:f>
              <c:strCache>
                <c:ptCount val="1"/>
              </c:strCache>
            </c:strRef>
          </c:tx>
          <c:spPr>
            <a:ln w="12668">
              <a:solidFill>
                <a:srgbClr val="FFFF00"/>
              </a:solidFill>
              <a:prstDash val="solid"/>
            </a:ln>
          </c:spPr>
          <c:marker>
            <c:symbol val="none"/>
          </c:marker>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Sheet1!$B$4:$M$4</c:f>
              <c:numCache>
                <c:formatCode>General</c:formatCode>
                <c:ptCount val="12"/>
              </c:numCache>
            </c:numRef>
          </c:val>
          <c:smooth val="0"/>
          <c:extLst>
            <c:ext xmlns:c16="http://schemas.microsoft.com/office/drawing/2014/chart" uri="{C3380CC4-5D6E-409C-BE32-E72D297353CC}">
              <c16:uniqueId val="{00000004-DB8D-402E-8EE4-A204832DEA00}"/>
            </c:ext>
          </c:extLst>
        </c:ser>
        <c:ser>
          <c:idx val="3"/>
          <c:order val="3"/>
          <c:tx>
            <c:strRef>
              <c:f>Sheet1!$A$5</c:f>
              <c:strCache>
                <c:ptCount val="1"/>
              </c:strCache>
            </c:strRef>
          </c:tx>
          <c:spPr>
            <a:ln w="12668">
              <a:solidFill>
                <a:srgbClr val="00FFFF"/>
              </a:solidFill>
              <a:prstDash val="solid"/>
            </a:ln>
          </c:spPr>
          <c:marker>
            <c:symbol val="none"/>
          </c:marker>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Sheet1!$B$5:$M$5</c:f>
              <c:numCache>
                <c:formatCode>General</c:formatCode>
                <c:ptCount val="12"/>
              </c:numCache>
            </c:numRef>
          </c:val>
          <c:smooth val="0"/>
          <c:extLst>
            <c:ext xmlns:c16="http://schemas.microsoft.com/office/drawing/2014/chart" uri="{C3380CC4-5D6E-409C-BE32-E72D297353CC}">
              <c16:uniqueId val="{00000005-DB8D-402E-8EE4-A204832DEA00}"/>
            </c:ext>
          </c:extLst>
        </c:ser>
        <c:dLbls>
          <c:showLegendKey val="0"/>
          <c:showVal val="0"/>
          <c:showCatName val="0"/>
          <c:showSerName val="0"/>
          <c:showPercent val="0"/>
          <c:showBubbleSize val="0"/>
        </c:dLbls>
        <c:marker val="1"/>
        <c:smooth val="0"/>
        <c:axId val="157972592"/>
        <c:axId val="1"/>
      </c:lineChart>
      <c:catAx>
        <c:axId val="157972592"/>
        <c:scaling>
          <c:orientation val="minMax"/>
        </c:scaling>
        <c:delete val="0"/>
        <c:axPos val="b"/>
        <c:numFmt formatCode="General" sourceLinked="0"/>
        <c:majorTickMark val="out"/>
        <c:minorTickMark val="none"/>
        <c:tickLblPos val="nextTo"/>
        <c:spPr>
          <a:ln w="3167">
            <a:solidFill>
              <a:srgbClr val="000000"/>
            </a:solidFill>
            <a:prstDash val="solid"/>
          </a:ln>
        </c:spPr>
        <c:txPr>
          <a:bodyPr rot="2640000" vert="horz"/>
          <a:lstStyle/>
          <a:p>
            <a:pPr>
              <a:defRPr sz="798" b="0" i="0" u="none" strike="noStrike" baseline="0">
                <a:solidFill>
                  <a:srgbClr val="000000"/>
                </a:solidFill>
                <a:latin typeface="Arial"/>
                <a:ea typeface="Arial"/>
                <a:cs typeface="Arial"/>
              </a:defRPr>
            </a:pPr>
            <a:endParaRPr lang="en-US"/>
          </a:p>
        </c:txPr>
        <c:crossAx val="1"/>
        <c:crossesAt val="95"/>
        <c:auto val="1"/>
        <c:lblAlgn val="ctr"/>
        <c:lblOffset val="100"/>
        <c:tickLblSkip val="1"/>
        <c:tickMarkSkip val="1"/>
        <c:noMultiLvlLbl val="0"/>
      </c:catAx>
      <c:valAx>
        <c:axId val="1"/>
        <c:scaling>
          <c:orientation val="minMax"/>
          <c:max val="260"/>
          <c:min val="120"/>
        </c:scaling>
        <c:delete val="0"/>
        <c:axPos val="l"/>
        <c:title>
          <c:tx>
            <c:rich>
              <a:bodyPr/>
              <a:lstStyle/>
              <a:p>
                <a:pPr>
                  <a:defRPr sz="798" b="0" i="0" u="none" strike="noStrike" baseline="0">
                    <a:solidFill>
                      <a:srgbClr val="000000"/>
                    </a:solidFill>
                    <a:latin typeface="Arial"/>
                    <a:ea typeface="Arial"/>
                    <a:cs typeface="Arial"/>
                  </a:defRPr>
                </a:pPr>
                <a:r>
                  <a:rPr lang="en-GB"/>
                  <a:t>Producer Price Index </a:t>
                </a:r>
              </a:p>
            </c:rich>
          </c:tx>
          <c:layout>
            <c:manualLayout>
              <c:xMode val="edge"/>
              <c:yMode val="edge"/>
              <c:x val="0"/>
              <c:y val="0.21917808219178081"/>
            </c:manualLayout>
          </c:layout>
          <c:overlay val="0"/>
          <c:spPr>
            <a:noFill/>
            <a:ln w="25335">
              <a:noFill/>
            </a:ln>
          </c:spPr>
        </c:title>
        <c:numFmt formatCode="0" sourceLinked="0"/>
        <c:majorTickMark val="out"/>
        <c:minorTickMark val="none"/>
        <c:tickLblPos val="nextTo"/>
        <c:spPr>
          <a:ln w="3167">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57972592"/>
        <c:crosses val="autoZero"/>
        <c:crossBetween val="between"/>
        <c:majorUnit val="20"/>
      </c:valAx>
      <c:spPr>
        <a:noFill/>
        <a:ln w="25335">
          <a:noFill/>
        </a:ln>
      </c:spPr>
    </c:plotArea>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798"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55D8-BF4D-4BBA-A6B7-01454B78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2026-01-29T07:18:00Z</dcterms:created>
  <dcterms:modified xsi:type="dcterms:W3CDTF">2026-01-29T07:18:00Z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