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E14" w:rsidRDefault="00C25E14" w:rsidP="00C25E14">
      <w:pPr>
        <w:bidi w:val="0"/>
        <w:spacing w:line="360" w:lineRule="auto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C25E14" w:rsidRDefault="00C25E14" w:rsidP="00C25E14">
      <w:pPr>
        <w:bidi w:val="0"/>
        <w:spacing w:line="360" w:lineRule="auto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C25E14" w:rsidRDefault="00C671D4" w:rsidP="006154A1">
      <w:pPr>
        <w:bidi w:val="0"/>
        <w:spacing w:line="360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C671D4">
        <w:rPr>
          <w:b/>
          <w:bCs/>
          <w:color w:val="000000"/>
          <w:sz w:val="28"/>
          <w:szCs w:val="28"/>
        </w:rPr>
        <w:t>Palestin</w:t>
      </w:r>
      <w:r>
        <w:rPr>
          <w:b/>
          <w:bCs/>
          <w:color w:val="000000"/>
          <w:sz w:val="28"/>
          <w:szCs w:val="28"/>
        </w:rPr>
        <w:t>i</w:t>
      </w:r>
      <w:r w:rsidRPr="00C671D4">
        <w:rPr>
          <w:b/>
          <w:bCs/>
          <w:color w:val="000000"/>
          <w:sz w:val="28"/>
          <w:szCs w:val="28"/>
        </w:rPr>
        <w:t>an Central Bureau of Statistics(PCBS)</w:t>
      </w:r>
    </w:p>
    <w:p w:rsidR="006154A1" w:rsidRPr="006154A1" w:rsidRDefault="006154A1" w:rsidP="006154A1">
      <w:pPr>
        <w:bidi w:val="0"/>
        <w:spacing w:line="360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C25E14" w:rsidRPr="00C671D4" w:rsidRDefault="00C25E14" w:rsidP="00C25E14">
      <w:pPr>
        <w:bidi w:val="0"/>
        <w:spacing w:line="360" w:lineRule="auto"/>
        <w:jc w:val="center"/>
        <w:outlineLvl w:val="0"/>
        <w:rPr>
          <w:b/>
          <w:bCs/>
          <w:color w:val="000000"/>
          <w:sz w:val="32"/>
          <w:szCs w:val="32"/>
        </w:rPr>
      </w:pPr>
      <w:r w:rsidRPr="00C671D4">
        <w:rPr>
          <w:b/>
          <w:bCs/>
          <w:color w:val="000000"/>
          <w:sz w:val="32"/>
          <w:szCs w:val="32"/>
        </w:rPr>
        <w:t>Palestinia</w:t>
      </w:r>
      <w:r w:rsidR="00361306" w:rsidRPr="00C671D4">
        <w:rPr>
          <w:b/>
          <w:bCs/>
          <w:color w:val="000000"/>
          <w:sz w:val="32"/>
          <w:szCs w:val="32"/>
        </w:rPr>
        <w:t>n Producer Price Index, during January2013</w:t>
      </w:r>
    </w:p>
    <w:p w:rsidR="006154A1" w:rsidRDefault="006154A1" w:rsidP="00C25E14">
      <w:pPr>
        <w:bidi w:val="0"/>
        <w:outlineLvl w:val="1"/>
        <w:rPr>
          <w:b/>
          <w:bCs/>
          <w:color w:val="000000"/>
          <w:sz w:val="22"/>
          <w:szCs w:val="22"/>
        </w:rPr>
      </w:pPr>
    </w:p>
    <w:p w:rsidR="00C25E14" w:rsidRDefault="00C25E14" w:rsidP="006154A1">
      <w:pPr>
        <w:bidi w:val="0"/>
        <w:outlineLvl w:val="1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An Increase </w:t>
      </w:r>
      <w:r>
        <w:rPr>
          <w:b/>
          <w:bCs/>
          <w:color w:val="000000"/>
        </w:rPr>
        <w:t>in</w:t>
      </w:r>
      <w:r>
        <w:rPr>
          <w:b/>
          <w:bCs/>
          <w:sz w:val="28"/>
          <w:szCs w:val="28"/>
        </w:rPr>
        <w:t xml:space="preserve"> the PPI during January 2013</w:t>
      </w:r>
    </w:p>
    <w:p w:rsidR="00C25E14" w:rsidRDefault="00C25E14" w:rsidP="00C25E14">
      <w:pPr>
        <w:bidi w:val="0"/>
        <w:outlineLvl w:val="1"/>
        <w:rPr>
          <w:b/>
          <w:bCs/>
        </w:rPr>
      </w:pPr>
    </w:p>
    <w:p w:rsidR="00C25E14" w:rsidRDefault="00C25E14" w:rsidP="00C25E14">
      <w:pPr>
        <w:bidi w:val="0"/>
        <w:outlineLvl w:val="1"/>
        <w:rPr>
          <w:b/>
          <w:bCs/>
          <w:sz w:val="8"/>
          <w:szCs w:val="8"/>
        </w:rPr>
      </w:pPr>
    </w:p>
    <w:p w:rsidR="00C25E14" w:rsidRDefault="00C25E14" w:rsidP="00C25E14">
      <w:pPr>
        <w:bidi w:val="0"/>
        <w:spacing w:line="360" w:lineRule="auto"/>
        <w:jc w:val="lowKashida"/>
        <w:rPr>
          <w:color w:val="000000"/>
        </w:rPr>
      </w:pPr>
      <w:r>
        <w:rPr>
          <w:color w:val="000000"/>
        </w:rPr>
        <w:t xml:space="preserve">The overall Producer </w:t>
      </w:r>
      <w:r>
        <w:t>Price</w:t>
      </w:r>
      <w:r>
        <w:rPr>
          <w:vertAlign w:val="superscript"/>
        </w:rPr>
        <w:t>1</w:t>
      </w:r>
      <w:r>
        <w:rPr>
          <w:color w:val="000000"/>
        </w:rPr>
        <w:t xml:space="preserve"> Index (PPI) for  Palestine with its base month (January 2011=100) reached 103.41 in January 2013, as it increased by 0.95% compared to December 2012.</w:t>
      </w:r>
    </w:p>
    <w:p w:rsidR="00C25E14" w:rsidRDefault="00C25E14" w:rsidP="00C25E14">
      <w:pPr>
        <w:bidi w:val="0"/>
        <w:spacing w:line="360" w:lineRule="auto"/>
        <w:jc w:val="lowKashida"/>
        <w:rPr>
          <w:color w:val="000000"/>
        </w:rPr>
      </w:pPr>
    </w:p>
    <w:p w:rsidR="00C25E14" w:rsidRDefault="00C25E14" w:rsidP="00C25E14">
      <w:pPr>
        <w:pStyle w:val="2"/>
        <w:bidi w:val="0"/>
        <w:spacing w:after="0" w:line="360" w:lineRule="auto"/>
        <w:jc w:val="both"/>
      </w:pPr>
      <w:r>
        <w:t xml:space="preserve">Producer Price Index for exported products (January 2011=100) reached 105.56 in </w:t>
      </w:r>
      <w:r>
        <w:rPr>
          <w:color w:val="000000"/>
        </w:rPr>
        <w:t>January</w:t>
      </w:r>
      <w:r>
        <w:t xml:space="preserve">  2013, which indicates an </w:t>
      </w:r>
      <w:r>
        <w:rPr>
          <w:color w:val="000000"/>
        </w:rPr>
        <w:t>increase by</w:t>
      </w:r>
      <w:r>
        <w:t xml:space="preserve"> 0.13% compared to </w:t>
      </w:r>
      <w:r>
        <w:rPr>
          <w:color w:val="000000"/>
        </w:rPr>
        <w:t>December</w:t>
      </w:r>
      <w:r>
        <w:t xml:space="preserve"> 2012.  </w:t>
      </w:r>
    </w:p>
    <w:p w:rsidR="00C25E14" w:rsidRDefault="00C25E14" w:rsidP="00C25E14">
      <w:pPr>
        <w:pStyle w:val="2"/>
        <w:bidi w:val="0"/>
        <w:spacing w:after="0" w:line="360" w:lineRule="auto"/>
        <w:jc w:val="both"/>
      </w:pPr>
    </w:p>
    <w:p w:rsidR="00C25E14" w:rsidRDefault="00C25E14" w:rsidP="00C25E14">
      <w:pPr>
        <w:pStyle w:val="2"/>
        <w:bidi w:val="0"/>
        <w:spacing w:after="0" w:line="360" w:lineRule="auto"/>
        <w:jc w:val="both"/>
      </w:pPr>
      <w:r>
        <w:t xml:space="preserve">Producer Price Index for locally consumed products (January 2011=100) reached 103.19 in </w:t>
      </w:r>
      <w:r>
        <w:rPr>
          <w:color w:val="000000"/>
        </w:rPr>
        <w:t xml:space="preserve">January </w:t>
      </w:r>
      <w:r>
        <w:t xml:space="preserve">2013, which indicates an increase by 1.04% compared to </w:t>
      </w:r>
      <w:r>
        <w:rPr>
          <w:color w:val="000000"/>
        </w:rPr>
        <w:t>December</w:t>
      </w:r>
      <w:r>
        <w:t xml:space="preserve"> 2012.</w:t>
      </w:r>
    </w:p>
    <w:p w:rsidR="00C25E14" w:rsidRDefault="00C25E14" w:rsidP="00C25E14">
      <w:pPr>
        <w:pStyle w:val="2"/>
        <w:bidi w:val="0"/>
        <w:spacing w:after="0" w:line="360" w:lineRule="auto"/>
        <w:jc w:val="both"/>
      </w:pPr>
    </w:p>
    <w:p w:rsidR="00C25E14" w:rsidRDefault="00C25E14" w:rsidP="00C25E14">
      <w:pPr>
        <w:bidi w:val="0"/>
        <w:spacing w:line="360" w:lineRule="auto"/>
        <w:jc w:val="lowKashida"/>
        <w:rPr>
          <w:color w:val="000000"/>
        </w:rPr>
      </w:pPr>
      <w:r>
        <w:rPr>
          <w:color w:val="000000"/>
        </w:rPr>
        <w:t xml:space="preserve">The changes of </w:t>
      </w:r>
      <w:r>
        <w:t xml:space="preserve">Producer </w:t>
      </w:r>
      <w:r>
        <w:rPr>
          <w:color w:val="000000"/>
        </w:rPr>
        <w:t>Price Index for January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</w:rPr>
        <w:t>2013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</w:rPr>
        <w:t>were traced back to changes in prices of the following major activities compared to the previous month:</w:t>
      </w:r>
    </w:p>
    <w:p w:rsidR="00C25E14" w:rsidRDefault="00C25E14" w:rsidP="00C25E14">
      <w:pPr>
        <w:bidi w:val="0"/>
        <w:jc w:val="both"/>
        <w:rPr>
          <w:color w:val="000000"/>
        </w:rPr>
      </w:pPr>
    </w:p>
    <w:tbl>
      <w:tblPr>
        <w:tblW w:w="5010" w:type="dxa"/>
        <w:tblBorders>
          <w:top w:val="single" w:sz="12" w:space="0" w:color="auto"/>
          <w:bottom w:val="single" w:sz="12" w:space="0" w:color="auto"/>
        </w:tblBorders>
        <w:tblLayout w:type="fixed"/>
        <w:tblLook w:val="04A0"/>
      </w:tblPr>
      <w:tblGrid>
        <w:gridCol w:w="3650"/>
        <w:gridCol w:w="1360"/>
      </w:tblGrid>
      <w:tr w:rsidR="00C25E14" w:rsidTr="00C25E14">
        <w:trPr>
          <w:trHeight w:hRule="exact" w:val="454"/>
        </w:trPr>
        <w:tc>
          <w:tcPr>
            <w:tcW w:w="36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C25E14" w:rsidRDefault="00C25E14">
            <w:pPr>
              <w:pStyle w:val="3"/>
              <w:bidi w:val="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Major Groups</w:t>
            </w: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C25E14" w:rsidRDefault="00C25E14">
            <w:pPr>
              <w:pStyle w:val="3"/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%Change</w:t>
            </w:r>
          </w:p>
        </w:tc>
      </w:tr>
      <w:tr w:rsidR="00C25E14" w:rsidTr="00C25E14">
        <w:trPr>
          <w:trHeight w:hRule="exact" w:val="45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5E14" w:rsidRDefault="00C25E14">
            <w:pPr>
              <w:bidi w:val="0"/>
              <w:spacing w:line="360" w:lineRule="auto"/>
              <w:jc w:val="both"/>
            </w:pPr>
            <w:r>
              <w:rPr>
                <w:color w:val="000000"/>
              </w:rPr>
              <w:t>Agriculture goods</w:t>
            </w:r>
            <w:r>
              <w:t>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5E14" w:rsidRDefault="00C25E14">
            <w:pPr>
              <w:bidi w:val="0"/>
              <w:spacing w:line="360" w:lineRule="auto"/>
              <w:jc w:val="both"/>
            </w:pPr>
            <w:r>
              <w:rPr>
                <w:color w:val="000000"/>
              </w:rPr>
              <w:t xml:space="preserve">+ 2.68% </w:t>
            </w:r>
          </w:p>
        </w:tc>
      </w:tr>
      <w:tr w:rsidR="00C25E14" w:rsidTr="00C25E14">
        <w:trPr>
          <w:trHeight w:hRule="exact" w:val="45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5E14" w:rsidRDefault="00C25E14">
            <w:pPr>
              <w:bidi w:val="0"/>
              <w:spacing w:line="360" w:lineRule="auto"/>
              <w:jc w:val="both"/>
            </w:pPr>
            <w:r>
              <w:rPr>
                <w:color w:val="000000"/>
              </w:rPr>
              <w:t>Fishing: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5E14" w:rsidRDefault="00C25E14">
            <w:pPr>
              <w:bidi w:val="0"/>
              <w:spacing w:line="360" w:lineRule="auto"/>
              <w:jc w:val="both"/>
            </w:pPr>
            <w:r>
              <w:rPr>
                <w:color w:val="000000"/>
              </w:rPr>
              <w:t>+ 5.78%</w:t>
            </w:r>
          </w:p>
        </w:tc>
      </w:tr>
      <w:tr w:rsidR="00C25E14" w:rsidTr="00C25E14">
        <w:trPr>
          <w:trHeight w:hRule="exact" w:val="45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5E14" w:rsidRDefault="00C25E14">
            <w:pPr>
              <w:bidi w:val="0"/>
              <w:spacing w:line="360" w:lineRule="auto"/>
              <w:jc w:val="lowKashida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</w:rPr>
              <w:t>Mining and quarrying: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5E14" w:rsidRDefault="00C25E14">
            <w:pPr>
              <w:bidi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0.00%</w:t>
            </w:r>
          </w:p>
        </w:tc>
      </w:tr>
      <w:tr w:rsidR="00C25E14" w:rsidTr="00C25E14">
        <w:trPr>
          <w:trHeight w:hRule="exact" w:val="454"/>
        </w:trPr>
        <w:tc>
          <w:tcPr>
            <w:tcW w:w="365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C25E14" w:rsidRDefault="00C25E14">
            <w:pPr>
              <w:bidi w:val="0"/>
              <w:spacing w:line="360" w:lineRule="auto"/>
              <w:jc w:val="both"/>
            </w:pPr>
            <w:r>
              <w:rPr>
                <w:color w:val="000000"/>
              </w:rPr>
              <w:t>Manufacturing group</w:t>
            </w:r>
            <w:r>
              <w:t>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C25E14" w:rsidRDefault="00C25E14">
            <w:pPr>
              <w:bidi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+ 0.02%</w:t>
            </w:r>
          </w:p>
        </w:tc>
      </w:tr>
    </w:tbl>
    <w:p w:rsidR="00C25E14" w:rsidRDefault="00C25E14" w:rsidP="00C25E14">
      <w:pPr>
        <w:pBdr>
          <w:bottom w:val="single" w:sz="12" w:space="1" w:color="auto"/>
        </w:pBd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color w:val="000000"/>
          <w:sz w:val="20"/>
          <w:szCs w:val="20"/>
        </w:rPr>
      </w:pPr>
    </w:p>
    <w:p w:rsidR="00C25E14" w:rsidRDefault="00C25E14" w:rsidP="00C25E14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color w:val="000000"/>
          <w:sz w:val="20"/>
          <w:szCs w:val="20"/>
        </w:rPr>
      </w:pPr>
      <w:r>
        <w:rPr>
          <w:rFonts w:cs="Simplified Arabic"/>
          <w:b/>
          <w:bCs/>
          <w:snapToGrid w:val="0"/>
          <w:color w:val="000000"/>
          <w:sz w:val="20"/>
          <w:szCs w:val="20"/>
        </w:rPr>
        <w:softHyphen/>
      </w:r>
      <w:r>
        <w:rPr>
          <w:rFonts w:cs="Simplified Arabic"/>
          <w:b/>
          <w:bCs/>
          <w:snapToGrid w:val="0"/>
          <w:color w:val="000000"/>
          <w:sz w:val="20"/>
          <w:szCs w:val="20"/>
        </w:rPr>
        <w:softHyphen/>
      </w:r>
      <w:r>
        <w:rPr>
          <w:rFonts w:cs="Simplified Arabic"/>
          <w:b/>
          <w:bCs/>
          <w:snapToGrid w:val="0"/>
          <w:color w:val="000000"/>
          <w:sz w:val="20"/>
          <w:szCs w:val="20"/>
        </w:rPr>
        <w:softHyphen/>
      </w:r>
      <w:r>
        <w:rPr>
          <w:rFonts w:cs="Simplified Arabic"/>
          <w:b/>
          <w:bCs/>
          <w:snapToGrid w:val="0"/>
          <w:color w:val="000000"/>
          <w:sz w:val="20"/>
          <w:szCs w:val="20"/>
        </w:rPr>
        <w:softHyphen/>
      </w:r>
      <w:r>
        <w:rPr>
          <w:rFonts w:cs="Simplified Arabic"/>
          <w:b/>
          <w:bCs/>
          <w:snapToGrid w:val="0"/>
          <w:color w:val="000000"/>
          <w:sz w:val="20"/>
          <w:szCs w:val="20"/>
        </w:rPr>
        <w:softHyphen/>
      </w:r>
      <w:r>
        <w:rPr>
          <w:rFonts w:cs="Simplified Arabic"/>
          <w:b/>
          <w:bCs/>
          <w:snapToGrid w:val="0"/>
          <w:color w:val="000000"/>
          <w:sz w:val="20"/>
          <w:szCs w:val="20"/>
        </w:rPr>
        <w:softHyphen/>
      </w:r>
      <w:r>
        <w:rPr>
          <w:rFonts w:cs="Simplified Arabic"/>
          <w:b/>
          <w:bCs/>
          <w:snapToGrid w:val="0"/>
          <w:color w:val="000000"/>
          <w:sz w:val="20"/>
          <w:szCs w:val="20"/>
        </w:rPr>
        <w:softHyphen/>
      </w:r>
      <w:r>
        <w:rPr>
          <w:rFonts w:cs="Simplified Arabic"/>
          <w:b/>
          <w:bCs/>
          <w:snapToGrid w:val="0"/>
          <w:color w:val="000000"/>
          <w:sz w:val="20"/>
          <w:szCs w:val="20"/>
        </w:rPr>
        <w:softHyphen/>
      </w:r>
      <w:r>
        <w:rPr>
          <w:rFonts w:cs="Simplified Arabic"/>
          <w:b/>
          <w:bCs/>
          <w:snapToGrid w:val="0"/>
          <w:color w:val="000000"/>
          <w:sz w:val="20"/>
          <w:szCs w:val="20"/>
        </w:rPr>
        <w:softHyphen/>
      </w:r>
      <w:r>
        <w:rPr>
          <w:rFonts w:cs="Simplified Arabic"/>
          <w:b/>
          <w:bCs/>
          <w:snapToGrid w:val="0"/>
          <w:color w:val="000000"/>
          <w:sz w:val="20"/>
          <w:szCs w:val="20"/>
        </w:rPr>
        <w:softHyphen/>
      </w:r>
      <w:r>
        <w:rPr>
          <w:rFonts w:cs="Simplified Arabic"/>
          <w:b/>
          <w:bCs/>
          <w:snapToGrid w:val="0"/>
          <w:color w:val="000000"/>
          <w:sz w:val="20"/>
          <w:szCs w:val="20"/>
        </w:rPr>
        <w:softHyphen/>
      </w:r>
      <w:r>
        <w:rPr>
          <w:rFonts w:cs="Simplified Arabic"/>
          <w:b/>
          <w:bCs/>
          <w:snapToGrid w:val="0"/>
          <w:color w:val="000000"/>
          <w:sz w:val="20"/>
          <w:szCs w:val="20"/>
        </w:rPr>
        <w:softHyphen/>
      </w:r>
      <w:r>
        <w:rPr>
          <w:rFonts w:cs="Simplified Arabic"/>
          <w:b/>
          <w:bCs/>
          <w:snapToGrid w:val="0"/>
          <w:color w:val="000000"/>
          <w:sz w:val="20"/>
          <w:szCs w:val="20"/>
        </w:rPr>
        <w:softHyphen/>
      </w:r>
      <w:r>
        <w:rPr>
          <w:rFonts w:cs="Simplified Arabic"/>
          <w:b/>
          <w:bCs/>
          <w:snapToGrid w:val="0"/>
          <w:color w:val="000000"/>
          <w:sz w:val="20"/>
          <w:szCs w:val="20"/>
        </w:rPr>
        <w:softHyphen/>
      </w:r>
      <w:r>
        <w:rPr>
          <w:rFonts w:cs="Simplified Arabic"/>
          <w:b/>
          <w:bCs/>
          <w:snapToGrid w:val="0"/>
          <w:color w:val="000000"/>
          <w:sz w:val="20"/>
          <w:szCs w:val="20"/>
        </w:rPr>
        <w:softHyphen/>
      </w:r>
      <w:r>
        <w:rPr>
          <w:rFonts w:cs="Simplified Arabic"/>
          <w:b/>
          <w:bCs/>
          <w:snapToGrid w:val="0"/>
          <w:color w:val="000000"/>
          <w:sz w:val="20"/>
          <w:szCs w:val="20"/>
        </w:rPr>
        <w:softHyphen/>
      </w:r>
      <w:r>
        <w:rPr>
          <w:rFonts w:cs="Simplified Arabic"/>
          <w:b/>
          <w:bCs/>
          <w:snapToGrid w:val="0"/>
          <w:color w:val="000000"/>
          <w:sz w:val="20"/>
          <w:szCs w:val="20"/>
        </w:rPr>
        <w:softHyphen/>
      </w:r>
      <w:r>
        <w:rPr>
          <w:rFonts w:cs="Simplified Arabic"/>
          <w:b/>
          <w:bCs/>
          <w:snapToGrid w:val="0"/>
          <w:color w:val="000000"/>
          <w:sz w:val="20"/>
          <w:szCs w:val="20"/>
        </w:rPr>
        <w:softHyphen/>
      </w:r>
      <w:r>
        <w:rPr>
          <w:rFonts w:cs="Simplified Arabic"/>
          <w:b/>
          <w:bCs/>
          <w:snapToGrid w:val="0"/>
          <w:color w:val="000000"/>
          <w:sz w:val="20"/>
          <w:szCs w:val="20"/>
        </w:rPr>
        <w:softHyphen/>
      </w:r>
    </w:p>
    <w:p w:rsidR="00C671D4" w:rsidRDefault="00C671D4" w:rsidP="00C25E14">
      <w:pPr>
        <w:autoSpaceDE w:val="0"/>
        <w:autoSpaceDN w:val="0"/>
        <w:bidi w:val="0"/>
        <w:adjustRightInd w:val="0"/>
        <w:jc w:val="both"/>
        <w:rPr>
          <w:color w:val="000000"/>
          <w:sz w:val="18"/>
          <w:szCs w:val="18"/>
        </w:rPr>
      </w:pPr>
    </w:p>
    <w:p w:rsidR="00C671D4" w:rsidRDefault="00C671D4" w:rsidP="00C671D4">
      <w:pPr>
        <w:autoSpaceDE w:val="0"/>
        <w:autoSpaceDN w:val="0"/>
        <w:bidi w:val="0"/>
        <w:adjustRightInd w:val="0"/>
        <w:jc w:val="both"/>
        <w:rPr>
          <w:color w:val="000000"/>
          <w:sz w:val="18"/>
          <w:szCs w:val="18"/>
        </w:rPr>
      </w:pPr>
    </w:p>
    <w:p w:rsidR="00C25E14" w:rsidRDefault="00C25E14" w:rsidP="00C671D4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 xml:space="preserve">1 </w:t>
      </w:r>
      <w:r>
        <w:rPr>
          <w:sz w:val="18"/>
          <w:szCs w:val="18"/>
        </w:rPr>
        <w:t>The producer’s price is the amount receivable by the producer from the purchaser for a unit of a good or service produced as output minus any VAT, or similar deductible tax, invoiced to the purchaser. The producer’s prices exclude any transport charges invoiced separately by the producer.</w:t>
      </w:r>
      <w:r>
        <w:t xml:space="preserve">                                             </w:t>
      </w:r>
    </w:p>
    <w:p w:rsidR="00C671D4" w:rsidRDefault="00C671D4" w:rsidP="00C25E14">
      <w:pPr>
        <w:bidi w:val="0"/>
        <w:jc w:val="center"/>
        <w:rPr>
          <w:b/>
          <w:bCs/>
        </w:rPr>
      </w:pPr>
    </w:p>
    <w:p w:rsidR="00C671D4" w:rsidRDefault="00C671D4" w:rsidP="00C671D4">
      <w:pPr>
        <w:bidi w:val="0"/>
        <w:jc w:val="center"/>
        <w:rPr>
          <w:b/>
          <w:bCs/>
        </w:rPr>
      </w:pPr>
    </w:p>
    <w:p w:rsidR="00C671D4" w:rsidRDefault="00C671D4" w:rsidP="00C671D4">
      <w:pPr>
        <w:bidi w:val="0"/>
        <w:jc w:val="center"/>
        <w:rPr>
          <w:b/>
          <w:bCs/>
        </w:rPr>
      </w:pPr>
    </w:p>
    <w:p w:rsidR="00C671D4" w:rsidRDefault="00C671D4" w:rsidP="00C671D4">
      <w:pPr>
        <w:bidi w:val="0"/>
        <w:jc w:val="center"/>
        <w:rPr>
          <w:b/>
          <w:bCs/>
        </w:rPr>
      </w:pPr>
    </w:p>
    <w:p w:rsidR="00C671D4" w:rsidRDefault="00C671D4" w:rsidP="00C671D4">
      <w:pPr>
        <w:bidi w:val="0"/>
        <w:jc w:val="center"/>
        <w:rPr>
          <w:b/>
          <w:bCs/>
        </w:rPr>
      </w:pPr>
    </w:p>
    <w:p w:rsidR="00C671D4" w:rsidRDefault="00C671D4" w:rsidP="00C671D4">
      <w:pPr>
        <w:bidi w:val="0"/>
        <w:jc w:val="center"/>
        <w:rPr>
          <w:b/>
          <w:bCs/>
        </w:rPr>
      </w:pPr>
    </w:p>
    <w:p w:rsidR="00C671D4" w:rsidRDefault="00C671D4" w:rsidP="00C671D4">
      <w:pPr>
        <w:bidi w:val="0"/>
        <w:jc w:val="center"/>
        <w:rPr>
          <w:b/>
          <w:bCs/>
        </w:rPr>
      </w:pPr>
    </w:p>
    <w:p w:rsidR="006154A1" w:rsidRDefault="006154A1" w:rsidP="006154A1">
      <w:pPr>
        <w:bidi w:val="0"/>
        <w:jc w:val="center"/>
        <w:rPr>
          <w:b/>
          <w:bCs/>
        </w:rPr>
      </w:pPr>
    </w:p>
    <w:p w:rsidR="006154A1" w:rsidRDefault="006154A1" w:rsidP="006154A1">
      <w:pPr>
        <w:bidi w:val="0"/>
        <w:jc w:val="center"/>
        <w:rPr>
          <w:b/>
          <w:bCs/>
        </w:rPr>
      </w:pPr>
    </w:p>
    <w:p w:rsidR="006154A1" w:rsidRDefault="006154A1" w:rsidP="006154A1">
      <w:pPr>
        <w:bidi w:val="0"/>
        <w:jc w:val="center"/>
        <w:rPr>
          <w:b/>
          <w:bCs/>
        </w:rPr>
      </w:pPr>
    </w:p>
    <w:p w:rsidR="00C671D4" w:rsidRDefault="00C671D4" w:rsidP="00C671D4">
      <w:pPr>
        <w:bidi w:val="0"/>
        <w:jc w:val="center"/>
        <w:rPr>
          <w:b/>
          <w:bCs/>
        </w:rPr>
      </w:pPr>
    </w:p>
    <w:p w:rsidR="00C671D4" w:rsidRDefault="00C671D4" w:rsidP="00C671D4">
      <w:pPr>
        <w:bidi w:val="0"/>
        <w:jc w:val="center"/>
        <w:rPr>
          <w:b/>
          <w:bCs/>
        </w:rPr>
      </w:pPr>
    </w:p>
    <w:p w:rsidR="00C671D4" w:rsidRDefault="00C671D4" w:rsidP="00C671D4">
      <w:pPr>
        <w:bidi w:val="0"/>
        <w:jc w:val="center"/>
        <w:rPr>
          <w:b/>
          <w:bCs/>
        </w:rPr>
      </w:pPr>
    </w:p>
    <w:p w:rsidR="00C25E14" w:rsidRDefault="00C25E14" w:rsidP="00C671D4">
      <w:pPr>
        <w:bidi w:val="0"/>
        <w:jc w:val="center"/>
        <w:rPr>
          <w:b/>
          <w:bCs/>
        </w:rPr>
      </w:pPr>
      <w:r>
        <w:rPr>
          <w:b/>
          <w:bCs/>
        </w:rPr>
        <w:t>The trend line for the Producer Price Index in Palestine, for the period: January 2012 -</w:t>
      </w:r>
      <w:r>
        <w:rPr>
          <w:b/>
          <w:bCs/>
          <w:color w:val="000000"/>
        </w:rPr>
        <w:t xml:space="preserve"> </w:t>
      </w:r>
      <w:r>
        <w:rPr>
          <w:b/>
          <w:bCs/>
        </w:rPr>
        <w:t>January</w:t>
      </w:r>
      <w:r>
        <w:rPr>
          <w:b/>
          <w:bCs/>
          <w:color w:val="000000"/>
        </w:rPr>
        <w:t xml:space="preserve"> 2013</w:t>
      </w:r>
      <w:r>
        <w:rPr>
          <w:b/>
          <w:bCs/>
        </w:rPr>
        <w:t xml:space="preserve"> </w:t>
      </w:r>
    </w:p>
    <w:p w:rsidR="00C25E14" w:rsidRDefault="00C25E14" w:rsidP="00C25E14">
      <w:pPr>
        <w:bidi w:val="0"/>
        <w:ind w:left="4111" w:hanging="4111"/>
        <w:jc w:val="center"/>
        <w:rPr>
          <w:b/>
          <w:bCs/>
        </w:rPr>
      </w:pPr>
      <w:r>
        <w:rPr>
          <w:b/>
          <w:bCs/>
        </w:rPr>
        <w:t>(Base Month January 2011=100)</w:t>
      </w:r>
    </w:p>
    <w:p w:rsidR="00C25E14" w:rsidRDefault="00C25E14" w:rsidP="00C25E14">
      <w:pPr>
        <w:bidi w:val="0"/>
        <w:jc w:val="both"/>
        <w:rPr>
          <w:rFonts w:cs="Simplified Arabic"/>
          <w:b/>
          <w:bCs/>
          <w:snapToGrid w:val="0"/>
          <w:color w:val="000000"/>
          <w:sz w:val="20"/>
          <w:szCs w:val="20"/>
        </w:rPr>
      </w:pPr>
    </w:p>
    <w:p w:rsidR="00C25E14" w:rsidRDefault="00C25E14" w:rsidP="00C671D4">
      <w:pPr>
        <w:bidi w:val="0"/>
        <w:jc w:val="center"/>
        <w:rPr>
          <w:b/>
          <w:bCs/>
          <w:sz w:val="20"/>
          <w:szCs w:val="20"/>
        </w:rPr>
      </w:pPr>
      <w:r>
        <w:rPr>
          <w:rFonts w:hint="cs"/>
          <w:noProof/>
          <w:lang w:eastAsia="en-US"/>
        </w:rPr>
        <w:drawing>
          <wp:inline distT="0" distB="0" distL="0" distR="0">
            <wp:extent cx="3543300" cy="2200275"/>
            <wp:effectExtent l="19050" t="0" r="19050" b="0"/>
            <wp:docPr id="1" name="كائن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C54EA" w:rsidRDefault="007C54EA">
      <w:pPr>
        <w:rPr>
          <w:rtl/>
        </w:rPr>
      </w:pPr>
    </w:p>
    <w:sectPr w:rsidR="007C54EA" w:rsidSect="00C25E14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C25E14"/>
    <w:rsid w:val="00042B42"/>
    <w:rsid w:val="00361306"/>
    <w:rsid w:val="004F5104"/>
    <w:rsid w:val="00552054"/>
    <w:rsid w:val="006154A1"/>
    <w:rsid w:val="0074136D"/>
    <w:rsid w:val="007C54EA"/>
    <w:rsid w:val="008011D4"/>
    <w:rsid w:val="00894D79"/>
    <w:rsid w:val="00B94FA1"/>
    <w:rsid w:val="00BA5CC8"/>
    <w:rsid w:val="00C25E14"/>
    <w:rsid w:val="00C67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1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4F510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4F51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4F5104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styleId="Hyperlink">
    <w:name w:val="Hyperlink"/>
    <w:uiPriority w:val="99"/>
    <w:semiHidden/>
    <w:unhideWhenUsed/>
    <w:rsid w:val="00C25E14"/>
    <w:rPr>
      <w:color w:val="0000FF"/>
      <w:u w:val="single"/>
    </w:rPr>
  </w:style>
  <w:style w:type="paragraph" w:styleId="2">
    <w:name w:val="Body Text 2"/>
    <w:basedOn w:val="a"/>
    <w:link w:val="2Char"/>
    <w:semiHidden/>
    <w:unhideWhenUsed/>
    <w:rsid w:val="00C25E14"/>
    <w:pPr>
      <w:spacing w:after="120" w:line="480" w:lineRule="auto"/>
    </w:pPr>
  </w:style>
  <w:style w:type="character" w:customStyle="1" w:styleId="2Char">
    <w:name w:val="نص أساسي 2 Char"/>
    <w:basedOn w:val="a0"/>
    <w:link w:val="2"/>
    <w:semiHidden/>
    <w:rsid w:val="00C25E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Char"/>
    <w:unhideWhenUsed/>
    <w:rsid w:val="00C25E14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rsid w:val="00C25E1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4">
    <w:name w:val="Balloon Text"/>
    <w:basedOn w:val="a"/>
    <w:link w:val="Char"/>
    <w:uiPriority w:val="99"/>
    <w:semiHidden/>
    <w:unhideWhenUsed/>
    <w:rsid w:val="00C25E1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25E1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3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6856094601078098"/>
          <c:y val="3.7036868586372632E-2"/>
          <c:w val="0.82911392405063256"/>
          <c:h val="0.66666666666666663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Price Index</c:v>
                </c:pt>
              </c:strCache>
            </c:strRef>
          </c:tx>
          <c:spPr>
            <a:ln w="7588">
              <a:solidFill>
                <a:srgbClr val="000080"/>
              </a:solidFill>
              <a:prstDash val="solid"/>
            </a:ln>
          </c:spPr>
          <c:marker>
            <c:symbol val="circle"/>
            <c:size val="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Sheet1!$B$1:$N$1</c:f>
              <c:strCache>
                <c:ptCount val="13"/>
                <c:pt idx="0">
                  <c:v>January 2012</c:v>
                </c:pt>
                <c:pt idx="1">
                  <c:v>February 2012</c:v>
                </c:pt>
                <c:pt idx="2">
                  <c:v>March 2012</c:v>
                </c:pt>
                <c:pt idx="3">
                  <c:v>April 2012</c:v>
                </c:pt>
                <c:pt idx="4">
                  <c:v>May 2012</c:v>
                </c:pt>
                <c:pt idx="5">
                  <c:v>June 2012</c:v>
                </c:pt>
                <c:pt idx="6">
                  <c:v>July 2012</c:v>
                </c:pt>
                <c:pt idx="7">
                  <c:v>August 2012</c:v>
                </c:pt>
                <c:pt idx="8">
                  <c:v>Sptember 2012</c:v>
                </c:pt>
                <c:pt idx="9">
                  <c:v>October 2012</c:v>
                </c:pt>
                <c:pt idx="10">
                  <c:v>November2012</c:v>
                </c:pt>
                <c:pt idx="11">
                  <c:v>December2012</c:v>
                </c:pt>
                <c:pt idx="12">
                  <c:v>January 2013</c:v>
                </c:pt>
              </c:strCache>
            </c:strRef>
          </c:cat>
          <c:val>
            <c:numRef>
              <c:f>Sheet1!$B$2:$N$2</c:f>
              <c:numCache>
                <c:formatCode>General</c:formatCode>
                <c:ptCount val="13"/>
                <c:pt idx="0">
                  <c:v>100.59</c:v>
                </c:pt>
                <c:pt idx="1">
                  <c:v>101.36999999999999</c:v>
                </c:pt>
                <c:pt idx="2">
                  <c:v>99.36</c:v>
                </c:pt>
                <c:pt idx="3">
                  <c:v>100.66</c:v>
                </c:pt>
                <c:pt idx="4">
                  <c:v>101.42</c:v>
                </c:pt>
                <c:pt idx="5">
                  <c:v>100.46000000000002</c:v>
                </c:pt>
                <c:pt idx="6">
                  <c:v>100.66999999999999</c:v>
                </c:pt>
                <c:pt idx="7">
                  <c:v>104.08</c:v>
                </c:pt>
                <c:pt idx="8">
                  <c:v>104.88</c:v>
                </c:pt>
                <c:pt idx="9">
                  <c:v>103.04</c:v>
                </c:pt>
                <c:pt idx="10">
                  <c:v>102.76</c:v>
                </c:pt>
                <c:pt idx="11">
                  <c:v>102.43</c:v>
                </c:pt>
                <c:pt idx="12">
                  <c:v>103.41000000000008</c:v>
                </c:pt>
              </c:numCache>
            </c:numRef>
          </c:val>
        </c:ser>
        <c:marker val="1"/>
        <c:axId val="58356480"/>
        <c:axId val="58359168"/>
      </c:lineChart>
      <c:catAx>
        <c:axId val="58356480"/>
        <c:scaling>
          <c:orientation val="minMax"/>
        </c:scaling>
        <c:axPos val="b"/>
        <c:numFmt formatCode="B1mmm\-yy" sourceLinked="0"/>
        <c:tickLblPos val="nextTo"/>
        <c:spPr>
          <a:ln w="1897">
            <a:solidFill>
              <a:srgbClr val="000000"/>
            </a:solidFill>
            <a:prstDash val="solid"/>
          </a:ln>
        </c:spPr>
        <c:txPr>
          <a:bodyPr rot="-3060000" vert="horz"/>
          <a:lstStyle/>
          <a:p>
            <a:pPr>
              <a:defRPr sz="35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58359168"/>
        <c:crosses val="autoZero"/>
        <c:auto val="1"/>
        <c:lblAlgn val="ctr"/>
        <c:lblOffset val="100"/>
        <c:tickLblSkip val="1"/>
        <c:tickMarkSkip val="2"/>
      </c:catAx>
      <c:valAx>
        <c:axId val="58359168"/>
        <c:scaling>
          <c:orientation val="minMax"/>
          <c:max val="110"/>
          <c:min val="90"/>
        </c:scaling>
        <c:axPos val="l"/>
        <c:title>
          <c:tx>
            <c:rich>
              <a:bodyPr/>
              <a:lstStyle/>
              <a:p>
                <a:pPr>
                  <a:defRPr sz="388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en-US"/>
                  <a:t>Producer Price Index</a:t>
                </a:r>
              </a:p>
            </c:rich>
          </c:tx>
          <c:layout>
            <c:manualLayout>
              <c:xMode val="edge"/>
              <c:yMode val="edge"/>
              <c:x val="0"/>
              <c:y val="0.17129629629629664"/>
            </c:manualLayout>
          </c:layout>
          <c:spPr>
            <a:noFill/>
            <a:ln w="15176">
              <a:noFill/>
            </a:ln>
          </c:spPr>
        </c:title>
        <c:numFmt formatCode="0" sourceLinked="0"/>
        <c:tickLblPos val="nextTo"/>
        <c:spPr>
          <a:ln w="189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32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58356480"/>
        <c:crosses val="autoZero"/>
        <c:crossBetween val="between"/>
        <c:majorUnit val="5"/>
      </c:valAx>
      <c:spPr>
        <a:noFill/>
        <a:ln w="15176">
          <a:noFill/>
        </a:ln>
      </c:spPr>
    </c:plotArea>
    <c:plotVisOnly val="1"/>
    <c:dispBlanksAs val="gap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53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PCBS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6</cp:revision>
  <cp:lastPrinted>2013-02-28T06:02:00Z</cp:lastPrinted>
  <dcterms:created xsi:type="dcterms:W3CDTF">2013-02-27T12:30:00Z</dcterms:created>
  <dcterms:modified xsi:type="dcterms:W3CDTF">2013-02-28T06:03:00Z</dcterms:modified>
</cp:coreProperties>
</file>