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7BAA7" w14:textId="29B46FDD" w:rsidR="002F1F1B" w:rsidRPr="002F1F1B" w:rsidRDefault="002F1F1B" w:rsidP="002F1F1B">
      <w:pPr>
        <w:pStyle w:val="Heading5"/>
        <w:bidi w:val="0"/>
        <w:jc w:val="both"/>
        <w:rPr>
          <w:rFonts w:asciiTheme="majorBidi" w:hAnsiTheme="majorBidi" w:cstheme="majorBidi"/>
          <w:color w:val="auto"/>
          <w:sz w:val="28"/>
          <w:szCs w:val="28"/>
        </w:rPr>
      </w:pPr>
      <w:r w:rsidRPr="002F1F1B">
        <w:rPr>
          <w:rFonts w:asciiTheme="majorBidi" w:hAnsiTheme="majorBidi" w:cstheme="majorBidi"/>
          <w:color w:val="auto"/>
          <w:sz w:val="28"/>
          <w:szCs w:val="28"/>
        </w:rPr>
        <w:t>H.E. Dr. Ola Awad, President of the Palestinian Central Bureau of Statistics (PCBS) pre</w:t>
      </w:r>
      <w:bookmarkStart w:id="0" w:name="_GoBack"/>
      <w:bookmarkEnd w:id="0"/>
      <w:r w:rsidRPr="002F1F1B">
        <w:rPr>
          <w:rFonts w:asciiTheme="majorBidi" w:hAnsiTheme="majorBidi" w:cstheme="majorBidi"/>
          <w:color w:val="auto"/>
          <w:sz w:val="28"/>
          <w:szCs w:val="28"/>
        </w:rPr>
        <w:t>sents a brief on the status of the Palestinian people at</w:t>
      </w:r>
      <w:r w:rsidRPr="002F1F1B">
        <w:rPr>
          <w:rFonts w:asciiTheme="majorBidi" w:hAnsiTheme="majorBidi" w:cstheme="majorBidi"/>
          <w:color w:val="auto"/>
          <w:sz w:val="28"/>
          <w:szCs w:val="28"/>
          <w:rtl/>
        </w:rPr>
        <w:t xml:space="preserve"> </w:t>
      </w:r>
      <w:r w:rsidRPr="002F1F1B">
        <w:rPr>
          <w:rFonts w:asciiTheme="majorBidi" w:hAnsiTheme="majorBidi" w:cstheme="majorBidi"/>
          <w:color w:val="auto"/>
          <w:sz w:val="28"/>
          <w:szCs w:val="28"/>
        </w:rPr>
        <w:t>the end of 2022</w:t>
      </w:r>
    </w:p>
    <w:p w14:paraId="31B526B1" w14:textId="77777777" w:rsidR="002F1F1B" w:rsidRPr="002F1F1B" w:rsidRDefault="002F1F1B" w:rsidP="002F1F1B">
      <w:pPr>
        <w:bidi w:val="0"/>
        <w:jc w:val="both"/>
        <w:rPr>
          <w:rFonts w:asciiTheme="majorBidi" w:hAnsiTheme="majorBidi" w:cstheme="majorBidi"/>
          <w:b/>
          <w:bCs/>
          <w:sz w:val="30"/>
          <w:szCs w:val="30"/>
        </w:rPr>
      </w:pPr>
    </w:p>
    <w:p w14:paraId="282C1B9A" w14:textId="40F6D8F1" w:rsidR="003F77BA" w:rsidRDefault="003F77BA" w:rsidP="003F77BA">
      <w:pPr>
        <w:bidi w:val="0"/>
        <w:jc w:val="both"/>
        <w:rPr>
          <w:rFonts w:asciiTheme="majorBidi" w:hAnsiTheme="majorBidi" w:cstheme="majorBidi"/>
          <w:b/>
          <w:bCs/>
          <w:sz w:val="26"/>
          <w:szCs w:val="26"/>
          <w:rtl/>
        </w:rPr>
      </w:pPr>
    </w:p>
    <w:p w14:paraId="56F300DA" w14:textId="2F0F47A7" w:rsidR="00574F2B" w:rsidRPr="003F77BA" w:rsidRDefault="003F77BA" w:rsidP="003F77BA">
      <w:pPr>
        <w:bidi w:val="0"/>
        <w:jc w:val="both"/>
        <w:rPr>
          <w:rFonts w:asciiTheme="majorBidi" w:hAnsiTheme="majorBidi" w:cstheme="majorBidi"/>
          <w:b/>
          <w:bCs/>
          <w:sz w:val="26"/>
          <w:szCs w:val="26"/>
          <w:rtl/>
        </w:rPr>
      </w:pPr>
      <w:r w:rsidRPr="003F77BA">
        <w:rPr>
          <w:rFonts w:asciiTheme="majorBidi" w:hAnsiTheme="majorBidi" w:cstheme="majorBidi"/>
          <w:sz w:val="26"/>
          <w:szCs w:val="26"/>
        </w:rPr>
        <w:t>By the end of 2022, the population in Palestine on the 1967 borders had reached more than 5.4 million, with an annual increase of 2.4%. Nearly 7 million Palestinians still live in Diaspora, daydreaming of returning to their homeland. In the meanwhile, the Israeli occupation devours the land to establish more settlement units and isolate more than 2.2 million Palestinians in Gaza Strip</w:t>
      </w:r>
    </w:p>
    <w:p w14:paraId="4EECD533" w14:textId="77777777" w:rsidR="003F77BA" w:rsidRPr="003F77BA" w:rsidRDefault="003F77BA" w:rsidP="003F77BA">
      <w:pPr>
        <w:pStyle w:val="Heading5"/>
        <w:bidi w:val="0"/>
        <w:jc w:val="both"/>
        <w:rPr>
          <w:rFonts w:asciiTheme="majorBidi" w:hAnsiTheme="majorBidi" w:cstheme="majorBidi"/>
          <w:color w:val="auto"/>
          <w:sz w:val="16"/>
          <w:szCs w:val="16"/>
        </w:rPr>
      </w:pPr>
    </w:p>
    <w:p w14:paraId="244B56BF" w14:textId="3BAE81D9" w:rsidR="00131D93" w:rsidRDefault="00131D93" w:rsidP="00131D93">
      <w:pPr>
        <w:bidi w:val="0"/>
        <w:jc w:val="both"/>
        <w:rPr>
          <w:rFonts w:asciiTheme="majorBidi" w:hAnsiTheme="majorBidi" w:cstheme="majorBidi"/>
          <w:b/>
          <w:bCs/>
          <w:sz w:val="26"/>
          <w:szCs w:val="26"/>
        </w:rPr>
      </w:pPr>
    </w:p>
    <w:p w14:paraId="30B83D52" w14:textId="77777777" w:rsidR="003F77BA" w:rsidRPr="003F77BA" w:rsidRDefault="003F77BA" w:rsidP="003F77BA">
      <w:pPr>
        <w:bidi w:val="0"/>
        <w:jc w:val="both"/>
        <w:rPr>
          <w:rFonts w:asciiTheme="majorBidi" w:hAnsiTheme="majorBidi" w:cstheme="majorBidi"/>
          <w:b/>
          <w:bCs/>
          <w:sz w:val="26"/>
          <w:szCs w:val="26"/>
        </w:rPr>
      </w:pPr>
    </w:p>
    <w:p w14:paraId="794B91D5" w14:textId="654B2964" w:rsidR="00C723E9" w:rsidRPr="003F77BA" w:rsidRDefault="00D725C5" w:rsidP="00C506A1">
      <w:pPr>
        <w:bidi w:val="0"/>
        <w:jc w:val="both"/>
        <w:rPr>
          <w:rFonts w:asciiTheme="majorBidi" w:hAnsiTheme="majorBidi" w:cstheme="majorBidi"/>
          <w:b/>
          <w:bCs/>
          <w:sz w:val="28"/>
          <w:szCs w:val="28"/>
          <w:rtl/>
        </w:rPr>
      </w:pPr>
      <w:r w:rsidRPr="003F77BA">
        <w:rPr>
          <w:rFonts w:asciiTheme="majorBidi" w:hAnsiTheme="majorBidi" w:cstheme="majorBidi"/>
          <w:b/>
          <w:bCs/>
          <w:sz w:val="28"/>
          <w:szCs w:val="28"/>
        </w:rPr>
        <w:t xml:space="preserve">About </w:t>
      </w:r>
      <w:r w:rsidR="00131D93" w:rsidRPr="003F77BA">
        <w:rPr>
          <w:rFonts w:asciiTheme="majorBidi" w:hAnsiTheme="majorBidi" w:cstheme="majorBidi"/>
          <w:b/>
          <w:bCs/>
          <w:sz w:val="28"/>
          <w:szCs w:val="28"/>
          <w:rtl/>
        </w:rPr>
        <w:t>14</w:t>
      </w:r>
      <w:r w:rsidR="00C506A1" w:rsidRPr="003F77BA">
        <w:rPr>
          <w:rFonts w:asciiTheme="majorBidi" w:hAnsiTheme="majorBidi" w:cstheme="majorBidi"/>
          <w:b/>
          <w:bCs/>
          <w:sz w:val="28"/>
          <w:szCs w:val="28"/>
        </w:rPr>
        <w:t>.3</w:t>
      </w:r>
      <w:r w:rsidRPr="003F77BA">
        <w:rPr>
          <w:rFonts w:asciiTheme="majorBidi" w:hAnsiTheme="majorBidi" w:cstheme="majorBidi"/>
          <w:b/>
          <w:bCs/>
          <w:sz w:val="28"/>
          <w:szCs w:val="28"/>
        </w:rPr>
        <w:t xml:space="preserve"> million Palestinians live around the world at the end of </w:t>
      </w:r>
      <w:r w:rsidR="00C506A1" w:rsidRPr="003F77BA">
        <w:rPr>
          <w:rFonts w:asciiTheme="majorBidi" w:hAnsiTheme="majorBidi" w:cstheme="majorBidi"/>
          <w:b/>
          <w:bCs/>
          <w:sz w:val="28"/>
          <w:szCs w:val="28"/>
        </w:rPr>
        <w:t>2022</w:t>
      </w:r>
    </w:p>
    <w:p w14:paraId="63269E46" w14:textId="020A24AA" w:rsidR="006E698D" w:rsidRPr="003F77BA" w:rsidRDefault="006E698D" w:rsidP="00007B8C">
      <w:pPr>
        <w:bidi w:val="0"/>
        <w:jc w:val="both"/>
        <w:rPr>
          <w:rFonts w:asciiTheme="majorBidi" w:hAnsiTheme="majorBidi" w:cstheme="majorBidi"/>
          <w:sz w:val="26"/>
          <w:szCs w:val="26"/>
          <w:rtl/>
        </w:rPr>
      </w:pPr>
      <w:r w:rsidRPr="003F77BA">
        <w:rPr>
          <w:rFonts w:asciiTheme="majorBidi" w:hAnsiTheme="majorBidi" w:cstheme="majorBidi"/>
          <w:sz w:val="26"/>
          <w:szCs w:val="26"/>
        </w:rPr>
        <w:t xml:space="preserve">The </w:t>
      </w:r>
      <w:r w:rsidR="007C7892" w:rsidRPr="003F77BA">
        <w:rPr>
          <w:rFonts w:asciiTheme="majorBidi" w:hAnsiTheme="majorBidi" w:cstheme="majorBidi"/>
          <w:sz w:val="26"/>
          <w:szCs w:val="26"/>
        </w:rPr>
        <w:t>estimated</w:t>
      </w:r>
      <w:r w:rsidR="00C433D0" w:rsidRPr="003F77BA">
        <w:rPr>
          <w:rFonts w:asciiTheme="majorBidi" w:hAnsiTheme="majorBidi" w:cstheme="majorBidi"/>
          <w:sz w:val="26"/>
          <w:szCs w:val="26"/>
        </w:rPr>
        <w:t xml:space="preserve"> </w:t>
      </w:r>
      <w:r w:rsidRPr="003F77BA">
        <w:rPr>
          <w:rFonts w:asciiTheme="majorBidi" w:hAnsiTheme="majorBidi" w:cstheme="majorBidi"/>
          <w:sz w:val="26"/>
          <w:szCs w:val="26"/>
        </w:rPr>
        <w:t xml:space="preserve">number of Palestinians at the end of </w:t>
      </w:r>
      <w:r w:rsidR="00C506A1" w:rsidRPr="003F77BA">
        <w:rPr>
          <w:rFonts w:asciiTheme="majorBidi" w:hAnsiTheme="majorBidi" w:cstheme="majorBidi"/>
          <w:sz w:val="26"/>
          <w:szCs w:val="26"/>
        </w:rPr>
        <w:t>2022</w:t>
      </w:r>
      <w:r w:rsidRPr="003F77BA">
        <w:rPr>
          <w:rFonts w:asciiTheme="majorBidi" w:hAnsiTheme="majorBidi" w:cstheme="majorBidi"/>
          <w:sz w:val="26"/>
          <w:szCs w:val="26"/>
        </w:rPr>
        <w:t xml:space="preserve"> is </w:t>
      </w:r>
      <w:r w:rsidR="007C7892" w:rsidRPr="003F77BA">
        <w:rPr>
          <w:rFonts w:asciiTheme="majorBidi" w:hAnsiTheme="majorBidi" w:cstheme="majorBidi"/>
          <w:sz w:val="26"/>
          <w:szCs w:val="26"/>
        </w:rPr>
        <w:t>about</w:t>
      </w:r>
      <w:r w:rsidRPr="003F77BA">
        <w:rPr>
          <w:rFonts w:asciiTheme="majorBidi" w:hAnsiTheme="majorBidi" w:cstheme="majorBidi"/>
          <w:sz w:val="26"/>
          <w:szCs w:val="26"/>
        </w:rPr>
        <w:t xml:space="preserve"> </w:t>
      </w:r>
      <w:r w:rsidR="00131D93" w:rsidRPr="003F77BA">
        <w:rPr>
          <w:rFonts w:asciiTheme="majorBidi" w:hAnsiTheme="majorBidi" w:cstheme="majorBidi"/>
          <w:sz w:val="26"/>
          <w:szCs w:val="26"/>
          <w:rtl/>
        </w:rPr>
        <w:t>14</w:t>
      </w:r>
      <w:r w:rsidR="00C506A1" w:rsidRPr="003F77BA">
        <w:rPr>
          <w:rFonts w:asciiTheme="majorBidi" w:hAnsiTheme="majorBidi" w:cstheme="majorBidi"/>
          <w:sz w:val="26"/>
          <w:szCs w:val="26"/>
        </w:rPr>
        <w:t>.3</w:t>
      </w:r>
      <w:r w:rsidRPr="003F77BA">
        <w:rPr>
          <w:rFonts w:asciiTheme="majorBidi" w:hAnsiTheme="majorBidi" w:cstheme="majorBidi"/>
          <w:sz w:val="26"/>
          <w:szCs w:val="26"/>
        </w:rPr>
        <w:t xml:space="preserve"> million, of whom 5.</w:t>
      </w:r>
      <w:r w:rsidR="00C506A1" w:rsidRPr="003F77BA">
        <w:rPr>
          <w:rFonts w:asciiTheme="majorBidi" w:hAnsiTheme="majorBidi" w:cstheme="majorBidi"/>
          <w:sz w:val="26"/>
          <w:szCs w:val="26"/>
        </w:rPr>
        <w:t>4</w:t>
      </w:r>
      <w:r w:rsidRPr="003F77BA">
        <w:rPr>
          <w:rFonts w:asciiTheme="majorBidi" w:hAnsiTheme="majorBidi" w:cstheme="majorBidi"/>
          <w:sz w:val="26"/>
          <w:szCs w:val="26"/>
        </w:rPr>
        <w:t xml:space="preserve"> million live in the State of Palestine</w:t>
      </w:r>
      <w:r w:rsidR="00335060" w:rsidRPr="003F77BA">
        <w:rPr>
          <w:rFonts w:asciiTheme="majorBidi" w:hAnsiTheme="majorBidi" w:cstheme="majorBidi"/>
          <w:sz w:val="26"/>
          <w:szCs w:val="26"/>
        </w:rPr>
        <w:t>,</w:t>
      </w:r>
      <w:r w:rsidR="007C7892" w:rsidRPr="003F77BA">
        <w:rPr>
          <w:rFonts w:asciiTheme="majorBidi" w:hAnsiTheme="majorBidi" w:cstheme="majorBidi"/>
          <w:sz w:val="26"/>
          <w:szCs w:val="26"/>
        </w:rPr>
        <w:t xml:space="preserve"> where more than the third lives in Gaza Strip.</w:t>
      </w:r>
      <w:r w:rsidR="002020BC" w:rsidRPr="003F77BA">
        <w:rPr>
          <w:rFonts w:asciiTheme="majorBidi" w:hAnsiTheme="majorBidi" w:cstheme="majorBidi"/>
          <w:sz w:val="26"/>
          <w:szCs w:val="26"/>
        </w:rPr>
        <w:t xml:space="preserve"> </w:t>
      </w:r>
      <w:r w:rsidR="00FE706A" w:rsidRPr="003F77BA">
        <w:rPr>
          <w:rFonts w:asciiTheme="majorBidi" w:hAnsiTheme="majorBidi" w:cstheme="majorBidi"/>
          <w:sz w:val="26"/>
          <w:szCs w:val="26"/>
        </w:rPr>
        <w:t xml:space="preserve">In addition, </w:t>
      </w:r>
      <w:r w:rsidR="002020BC" w:rsidRPr="003F77BA">
        <w:rPr>
          <w:rFonts w:asciiTheme="majorBidi" w:hAnsiTheme="majorBidi" w:cstheme="majorBidi"/>
          <w:sz w:val="26"/>
          <w:szCs w:val="26"/>
        </w:rPr>
        <w:t>1.</w:t>
      </w:r>
      <w:r w:rsidR="00131D93" w:rsidRPr="003F77BA">
        <w:rPr>
          <w:rFonts w:asciiTheme="majorBidi" w:hAnsiTheme="majorBidi" w:cstheme="majorBidi"/>
          <w:sz w:val="26"/>
          <w:szCs w:val="26"/>
          <w:rtl/>
        </w:rPr>
        <w:t>7</w:t>
      </w:r>
      <w:r w:rsidR="002020BC" w:rsidRPr="003F77BA">
        <w:rPr>
          <w:rFonts w:asciiTheme="majorBidi" w:hAnsiTheme="majorBidi" w:cstheme="majorBidi"/>
          <w:sz w:val="26"/>
          <w:szCs w:val="26"/>
        </w:rPr>
        <w:t xml:space="preserve"> million Palestinians live</w:t>
      </w:r>
      <w:r w:rsidR="00335394" w:rsidRPr="003F77BA">
        <w:rPr>
          <w:rFonts w:asciiTheme="majorBidi" w:hAnsiTheme="majorBidi" w:cstheme="majorBidi"/>
          <w:sz w:val="26"/>
          <w:szCs w:val="26"/>
        </w:rPr>
        <w:t xml:space="preserve"> in the 1948</w:t>
      </w:r>
      <w:r w:rsidR="003F7FEB" w:rsidRPr="003F77BA">
        <w:rPr>
          <w:rFonts w:asciiTheme="majorBidi" w:hAnsiTheme="majorBidi" w:cstheme="majorBidi"/>
          <w:sz w:val="26"/>
          <w:szCs w:val="26"/>
        </w:rPr>
        <w:t xml:space="preserve"> territories</w:t>
      </w:r>
      <w:r w:rsidR="001E2C0B" w:rsidRPr="003F77BA">
        <w:rPr>
          <w:rFonts w:asciiTheme="majorBidi" w:hAnsiTheme="majorBidi" w:cstheme="majorBidi"/>
          <w:sz w:val="26"/>
          <w:szCs w:val="26"/>
        </w:rPr>
        <w:t>,</w:t>
      </w:r>
      <w:r w:rsidR="00335394" w:rsidRPr="003F77BA">
        <w:rPr>
          <w:rFonts w:asciiTheme="majorBidi" w:hAnsiTheme="majorBidi" w:cstheme="majorBidi"/>
          <w:sz w:val="26"/>
          <w:szCs w:val="26"/>
        </w:rPr>
        <w:t xml:space="preserve"> </w:t>
      </w:r>
      <w:r w:rsidR="00FE706A" w:rsidRPr="003F77BA">
        <w:rPr>
          <w:rFonts w:asciiTheme="majorBidi" w:hAnsiTheme="majorBidi" w:cstheme="majorBidi"/>
          <w:sz w:val="26"/>
          <w:szCs w:val="26"/>
        </w:rPr>
        <w:t>while about</w:t>
      </w:r>
      <w:r w:rsidRPr="003F77BA">
        <w:rPr>
          <w:rFonts w:asciiTheme="majorBidi" w:hAnsiTheme="majorBidi" w:cstheme="majorBidi"/>
          <w:sz w:val="26"/>
          <w:szCs w:val="26"/>
        </w:rPr>
        <w:t xml:space="preserve"> </w:t>
      </w:r>
      <w:r w:rsidR="001E2C0B" w:rsidRPr="003F77BA">
        <w:rPr>
          <w:rFonts w:asciiTheme="majorBidi" w:hAnsiTheme="majorBidi" w:cstheme="majorBidi"/>
          <w:sz w:val="26"/>
          <w:szCs w:val="26"/>
        </w:rPr>
        <w:t>6.</w:t>
      </w:r>
      <w:r w:rsidR="00C506A1" w:rsidRPr="003F77BA">
        <w:rPr>
          <w:rFonts w:asciiTheme="majorBidi" w:hAnsiTheme="majorBidi" w:cstheme="majorBidi"/>
          <w:sz w:val="26"/>
          <w:szCs w:val="26"/>
        </w:rPr>
        <w:t>4</w:t>
      </w:r>
      <w:r w:rsidR="001E2C0B" w:rsidRPr="003F77BA">
        <w:rPr>
          <w:rFonts w:asciiTheme="majorBidi" w:hAnsiTheme="majorBidi" w:cstheme="majorBidi"/>
          <w:sz w:val="26"/>
          <w:szCs w:val="26"/>
        </w:rPr>
        <w:t xml:space="preserve"> million live</w:t>
      </w:r>
      <w:r w:rsidR="00D725C5" w:rsidRPr="003F77BA">
        <w:rPr>
          <w:rFonts w:asciiTheme="majorBidi" w:hAnsiTheme="majorBidi" w:cstheme="majorBidi"/>
          <w:sz w:val="26"/>
          <w:szCs w:val="26"/>
        </w:rPr>
        <w:t xml:space="preserve"> in Arab </w:t>
      </w:r>
      <w:r w:rsidR="00FE706A" w:rsidRPr="003F77BA">
        <w:rPr>
          <w:rFonts w:asciiTheme="majorBidi" w:hAnsiTheme="majorBidi" w:cstheme="majorBidi"/>
          <w:sz w:val="26"/>
          <w:szCs w:val="26"/>
        </w:rPr>
        <w:t>countries</w:t>
      </w:r>
      <w:r w:rsidR="00D725C5" w:rsidRPr="003F77BA">
        <w:rPr>
          <w:rFonts w:asciiTheme="majorBidi" w:hAnsiTheme="majorBidi" w:cstheme="majorBidi"/>
          <w:sz w:val="26"/>
          <w:szCs w:val="26"/>
        </w:rPr>
        <w:t xml:space="preserve"> and </w:t>
      </w:r>
      <w:r w:rsidR="00C506A1" w:rsidRPr="003F77BA">
        <w:rPr>
          <w:rFonts w:asciiTheme="majorBidi" w:hAnsiTheme="majorBidi" w:cstheme="majorBidi"/>
          <w:sz w:val="26"/>
          <w:szCs w:val="26"/>
        </w:rPr>
        <w:t>761</w:t>
      </w:r>
      <w:r w:rsidR="00D725C5" w:rsidRPr="003F77BA">
        <w:rPr>
          <w:rFonts w:asciiTheme="majorBidi" w:hAnsiTheme="majorBidi" w:cstheme="majorBidi"/>
          <w:sz w:val="26"/>
          <w:szCs w:val="26"/>
        </w:rPr>
        <w:t xml:space="preserve"> thousand live in foreign countries.</w:t>
      </w:r>
      <w:r w:rsidR="001E2C0B" w:rsidRPr="003F77BA">
        <w:rPr>
          <w:rFonts w:asciiTheme="majorBidi" w:hAnsiTheme="majorBidi" w:cstheme="majorBidi"/>
          <w:sz w:val="26"/>
          <w:szCs w:val="26"/>
        </w:rPr>
        <w:t xml:space="preserve"> </w:t>
      </w:r>
      <w:r w:rsidR="00FE706A" w:rsidRPr="003F77BA">
        <w:rPr>
          <w:rFonts w:asciiTheme="majorBidi" w:hAnsiTheme="majorBidi" w:cstheme="majorBidi"/>
          <w:sz w:val="26"/>
          <w:szCs w:val="26"/>
        </w:rPr>
        <w:t>T</w:t>
      </w:r>
      <w:r w:rsidR="00131D93" w:rsidRPr="003F77BA">
        <w:rPr>
          <w:rFonts w:asciiTheme="majorBidi" w:hAnsiTheme="majorBidi" w:cstheme="majorBidi"/>
          <w:sz w:val="26"/>
          <w:szCs w:val="26"/>
        </w:rPr>
        <w:t xml:space="preserve">he number of </w:t>
      </w:r>
      <w:r w:rsidR="00901DAA" w:rsidRPr="003F77BA">
        <w:rPr>
          <w:rFonts w:asciiTheme="majorBidi" w:hAnsiTheme="majorBidi" w:cstheme="majorBidi"/>
          <w:sz w:val="26"/>
          <w:szCs w:val="26"/>
        </w:rPr>
        <w:t xml:space="preserve">Jews </w:t>
      </w:r>
      <w:r w:rsidR="00131D93" w:rsidRPr="003F77BA">
        <w:rPr>
          <w:rFonts w:asciiTheme="majorBidi" w:hAnsiTheme="majorBidi" w:cstheme="majorBidi"/>
          <w:sz w:val="26"/>
          <w:szCs w:val="26"/>
        </w:rPr>
        <w:t xml:space="preserve">is expected to reach </w:t>
      </w:r>
      <w:r w:rsidR="00C506A1" w:rsidRPr="003F77BA">
        <w:rPr>
          <w:rFonts w:asciiTheme="majorBidi" w:hAnsiTheme="majorBidi" w:cstheme="majorBidi"/>
          <w:sz w:val="26"/>
          <w:szCs w:val="26"/>
        </w:rPr>
        <w:t>7.1</w:t>
      </w:r>
      <w:r w:rsidR="00131D93" w:rsidRPr="003F77BA">
        <w:rPr>
          <w:rFonts w:asciiTheme="majorBidi" w:hAnsiTheme="majorBidi" w:cstheme="majorBidi"/>
          <w:sz w:val="26"/>
          <w:szCs w:val="26"/>
        </w:rPr>
        <w:t xml:space="preserve"> million by the end of </w:t>
      </w:r>
      <w:r w:rsidR="00C506A1" w:rsidRPr="003F77BA">
        <w:rPr>
          <w:rFonts w:asciiTheme="majorBidi" w:hAnsiTheme="majorBidi" w:cstheme="majorBidi"/>
          <w:sz w:val="26"/>
          <w:szCs w:val="26"/>
        </w:rPr>
        <w:t>2022</w:t>
      </w:r>
      <w:r w:rsidR="00131D93" w:rsidRPr="003F77BA">
        <w:rPr>
          <w:rFonts w:asciiTheme="majorBidi" w:hAnsiTheme="majorBidi" w:cstheme="majorBidi"/>
          <w:sz w:val="26"/>
          <w:szCs w:val="26"/>
        </w:rPr>
        <w:t xml:space="preserve">. </w:t>
      </w:r>
      <w:r w:rsidR="00C506A1" w:rsidRPr="003F77BA">
        <w:rPr>
          <w:rFonts w:asciiTheme="majorBidi" w:hAnsiTheme="majorBidi" w:cstheme="majorBidi"/>
          <w:sz w:val="26"/>
          <w:szCs w:val="26"/>
        </w:rPr>
        <w:t>Thus, the number of Palestinians and Jews in historic Palestine will be equal by the end of this year, when the number of Palestinians and Jews will be about 7.1 million each</w:t>
      </w:r>
      <w:r w:rsidR="00131D93" w:rsidRPr="003F77BA">
        <w:rPr>
          <w:rFonts w:asciiTheme="majorBidi" w:hAnsiTheme="majorBidi" w:cstheme="majorBidi"/>
          <w:sz w:val="26"/>
          <w:szCs w:val="26"/>
        </w:rPr>
        <w:t>.</w:t>
      </w:r>
    </w:p>
    <w:p w14:paraId="2D7EB050" w14:textId="0B617C92" w:rsidR="00F76CAB" w:rsidRPr="003F77BA" w:rsidRDefault="00F76CAB" w:rsidP="00F76CAB">
      <w:pPr>
        <w:bidi w:val="0"/>
        <w:jc w:val="lowKashida"/>
        <w:rPr>
          <w:rFonts w:asciiTheme="majorBidi" w:hAnsiTheme="majorBidi" w:cstheme="majorBidi"/>
          <w:sz w:val="26"/>
          <w:szCs w:val="26"/>
          <w:rtl/>
        </w:rPr>
      </w:pPr>
    </w:p>
    <w:p w14:paraId="1041CE78" w14:textId="77777777" w:rsidR="00F76CAB" w:rsidRPr="003F77BA" w:rsidRDefault="00F76CAB" w:rsidP="00F76CAB">
      <w:pPr>
        <w:bidi w:val="0"/>
        <w:jc w:val="both"/>
        <w:rPr>
          <w:rFonts w:asciiTheme="majorBidi" w:hAnsiTheme="majorBidi" w:cstheme="majorBidi"/>
          <w:color w:val="000000" w:themeColor="text1"/>
          <w:sz w:val="28"/>
          <w:szCs w:val="28"/>
          <w:lang w:eastAsia="en-US"/>
        </w:rPr>
      </w:pPr>
      <w:r w:rsidRPr="003F77BA">
        <w:rPr>
          <w:rFonts w:asciiTheme="majorBidi" w:hAnsiTheme="majorBidi" w:cstheme="majorBidi"/>
          <w:b/>
          <w:bCs/>
          <w:color w:val="000000" w:themeColor="text1"/>
          <w:sz w:val="28"/>
          <w:szCs w:val="28"/>
        </w:rPr>
        <w:t>The Palestinian Population is Young; more than One-third of the Population is Less than 15 Years</w:t>
      </w:r>
    </w:p>
    <w:p w14:paraId="479A7915" w14:textId="4CBAA5CF" w:rsidR="00F76CAB" w:rsidRPr="003F77BA" w:rsidRDefault="00F76CAB" w:rsidP="00453297">
      <w:pPr>
        <w:bidi w:val="0"/>
        <w:jc w:val="lowKashida"/>
        <w:rPr>
          <w:rFonts w:asciiTheme="majorBidi" w:hAnsiTheme="majorBidi" w:cstheme="majorBidi"/>
          <w:color w:val="000000" w:themeColor="text1"/>
          <w:sz w:val="26"/>
          <w:szCs w:val="26"/>
        </w:rPr>
      </w:pPr>
      <w:r w:rsidRPr="003F77BA">
        <w:rPr>
          <w:rFonts w:asciiTheme="majorBidi" w:hAnsiTheme="majorBidi" w:cstheme="majorBidi"/>
          <w:color w:val="000000" w:themeColor="text1"/>
          <w:sz w:val="26"/>
          <w:szCs w:val="26"/>
          <w:lang w:eastAsia="en-US"/>
        </w:rPr>
        <w:t xml:space="preserve">The percentage of individuals aged (0-14) years constituted 38% of the total population at the end of </w:t>
      </w:r>
      <w:r w:rsidR="00BA4992" w:rsidRPr="003F77BA">
        <w:rPr>
          <w:rFonts w:asciiTheme="majorBidi" w:hAnsiTheme="majorBidi" w:cstheme="majorBidi"/>
          <w:color w:val="000000" w:themeColor="text1"/>
          <w:sz w:val="26"/>
          <w:szCs w:val="26"/>
          <w:lang w:eastAsia="en-US"/>
        </w:rPr>
        <w:t>2022</w:t>
      </w:r>
      <w:r w:rsidRPr="003F77BA">
        <w:rPr>
          <w:rFonts w:asciiTheme="majorBidi" w:hAnsiTheme="majorBidi" w:cstheme="majorBidi"/>
          <w:color w:val="000000" w:themeColor="text1"/>
          <w:sz w:val="26"/>
          <w:szCs w:val="26"/>
          <w:lang w:eastAsia="en-US"/>
        </w:rPr>
        <w:t xml:space="preserve"> (36% in the West Bank and 41% in Gaza Strip). The percentage of elderly population aged (65 years and above) at the end of </w:t>
      </w:r>
      <w:r w:rsidR="00BA4992" w:rsidRPr="003F77BA">
        <w:rPr>
          <w:rFonts w:asciiTheme="majorBidi" w:hAnsiTheme="majorBidi" w:cstheme="majorBidi"/>
          <w:color w:val="000000" w:themeColor="text1"/>
          <w:sz w:val="26"/>
          <w:szCs w:val="26"/>
          <w:lang w:eastAsia="en-US"/>
        </w:rPr>
        <w:t>2022</w:t>
      </w:r>
      <w:r w:rsidRPr="003F77BA">
        <w:rPr>
          <w:rFonts w:asciiTheme="majorBidi" w:hAnsiTheme="majorBidi" w:cstheme="majorBidi"/>
          <w:color w:val="000000" w:themeColor="text1"/>
          <w:sz w:val="26"/>
          <w:szCs w:val="26"/>
          <w:lang w:eastAsia="en-US"/>
        </w:rPr>
        <w:t xml:space="preserve"> reached 3% of the total population in </w:t>
      </w:r>
      <w:r w:rsidR="00C506A1" w:rsidRPr="003F77BA">
        <w:rPr>
          <w:rFonts w:asciiTheme="majorBidi" w:hAnsiTheme="majorBidi" w:cstheme="majorBidi"/>
          <w:color w:val="000000" w:themeColor="text1"/>
          <w:sz w:val="26"/>
          <w:szCs w:val="26"/>
          <w:lang w:eastAsia="en-US"/>
        </w:rPr>
        <w:t>Palestine (</w:t>
      </w:r>
      <w:r w:rsidRPr="003F77BA">
        <w:rPr>
          <w:rFonts w:asciiTheme="majorBidi" w:hAnsiTheme="majorBidi" w:cstheme="majorBidi"/>
          <w:color w:val="000000" w:themeColor="text1"/>
          <w:sz w:val="26"/>
          <w:szCs w:val="26"/>
          <w:lang w:eastAsia="en-US"/>
        </w:rPr>
        <w:t>4% in the West Bank and 3% in Gaza Strip). </w:t>
      </w:r>
    </w:p>
    <w:p w14:paraId="5B92D40C" w14:textId="77777777" w:rsidR="0082798F" w:rsidRPr="003F77BA" w:rsidRDefault="0082798F" w:rsidP="00D336A4">
      <w:pPr>
        <w:jc w:val="right"/>
        <w:rPr>
          <w:rFonts w:asciiTheme="majorBidi" w:hAnsiTheme="majorBidi" w:cstheme="majorBidi"/>
          <w:sz w:val="26"/>
          <w:szCs w:val="26"/>
          <w:rtl/>
          <w:lang w:eastAsia="en-US"/>
        </w:rPr>
      </w:pPr>
    </w:p>
    <w:p w14:paraId="14DFD7D0" w14:textId="77777777" w:rsidR="00465267" w:rsidRPr="003F77BA" w:rsidRDefault="00465267" w:rsidP="00007B8C">
      <w:pPr>
        <w:bidi w:val="0"/>
        <w:jc w:val="both"/>
        <w:rPr>
          <w:rFonts w:asciiTheme="majorBidi" w:hAnsiTheme="majorBidi" w:cstheme="majorBidi"/>
          <w:b/>
          <w:bCs/>
          <w:sz w:val="28"/>
          <w:szCs w:val="28"/>
        </w:rPr>
      </w:pPr>
      <w:r w:rsidRPr="003F77BA">
        <w:rPr>
          <w:rFonts w:asciiTheme="majorBidi" w:hAnsiTheme="majorBidi" w:cstheme="majorBidi"/>
          <w:b/>
          <w:bCs/>
          <w:sz w:val="28"/>
          <w:szCs w:val="28"/>
        </w:rPr>
        <w:t>A Decline in Fertility Rates</w:t>
      </w:r>
    </w:p>
    <w:p w14:paraId="6A671396" w14:textId="2F77CC4B" w:rsidR="00131D93" w:rsidRPr="003F77BA" w:rsidRDefault="00465267" w:rsidP="00453297">
      <w:pPr>
        <w:bidi w:val="0"/>
        <w:jc w:val="lowKashida"/>
        <w:rPr>
          <w:rFonts w:asciiTheme="majorBidi" w:hAnsiTheme="majorBidi" w:cstheme="majorBidi"/>
          <w:sz w:val="26"/>
          <w:szCs w:val="26"/>
        </w:rPr>
      </w:pPr>
      <w:r w:rsidRPr="003F77BA">
        <w:rPr>
          <w:rFonts w:asciiTheme="majorBidi" w:hAnsiTheme="majorBidi" w:cstheme="majorBidi"/>
          <w:sz w:val="26"/>
          <w:szCs w:val="26"/>
        </w:rPr>
        <w:t xml:space="preserve">The total fertility rate during (2017 – 2019) has declined to reach </w:t>
      </w:r>
      <w:r w:rsidR="00264A39" w:rsidRPr="003F77BA">
        <w:rPr>
          <w:rFonts w:asciiTheme="majorBidi" w:hAnsiTheme="majorBidi" w:cstheme="majorBidi"/>
          <w:sz w:val="26"/>
          <w:szCs w:val="26"/>
          <w:rtl/>
        </w:rPr>
        <w:t>4</w:t>
      </w:r>
      <w:r w:rsidRPr="003F77BA">
        <w:rPr>
          <w:rFonts w:asciiTheme="majorBidi" w:hAnsiTheme="majorBidi" w:cstheme="majorBidi"/>
          <w:sz w:val="26"/>
          <w:szCs w:val="26"/>
        </w:rPr>
        <w:t xml:space="preserve"> births compared to </w:t>
      </w:r>
      <w:r w:rsidR="00264A39" w:rsidRPr="003F77BA">
        <w:rPr>
          <w:rFonts w:asciiTheme="majorBidi" w:hAnsiTheme="majorBidi" w:cstheme="majorBidi"/>
          <w:sz w:val="26"/>
          <w:szCs w:val="26"/>
          <w:rtl/>
        </w:rPr>
        <w:t>5</w:t>
      </w:r>
      <w:r w:rsidRPr="003F77BA">
        <w:rPr>
          <w:rFonts w:asciiTheme="majorBidi" w:hAnsiTheme="majorBidi" w:cstheme="majorBidi"/>
          <w:sz w:val="26"/>
          <w:szCs w:val="26"/>
        </w:rPr>
        <w:t xml:space="preserve"> births </w:t>
      </w:r>
      <w:proofErr w:type="gramStart"/>
      <w:r w:rsidRPr="003F77BA">
        <w:rPr>
          <w:rFonts w:asciiTheme="majorBidi" w:hAnsiTheme="majorBidi" w:cstheme="majorBidi"/>
          <w:sz w:val="26"/>
          <w:szCs w:val="26"/>
        </w:rPr>
        <w:t>in</w:t>
      </w:r>
      <w:proofErr w:type="gramEnd"/>
      <w:r w:rsidRPr="003F77BA">
        <w:rPr>
          <w:rFonts w:asciiTheme="majorBidi" w:hAnsiTheme="majorBidi" w:cstheme="majorBidi"/>
          <w:sz w:val="26"/>
          <w:szCs w:val="26"/>
        </w:rPr>
        <w:t xml:space="preserve"> 1999; </w:t>
      </w:r>
      <w:r w:rsidR="00264A39" w:rsidRPr="003F77BA">
        <w:rPr>
          <w:rFonts w:asciiTheme="majorBidi" w:hAnsiTheme="majorBidi" w:cstheme="majorBidi"/>
          <w:sz w:val="26"/>
          <w:szCs w:val="26"/>
          <w:rtl/>
        </w:rPr>
        <w:t>4</w:t>
      </w:r>
      <w:r w:rsidRPr="003F77BA">
        <w:rPr>
          <w:rFonts w:asciiTheme="majorBidi" w:hAnsiTheme="majorBidi" w:cstheme="majorBidi"/>
          <w:sz w:val="26"/>
          <w:szCs w:val="26"/>
        </w:rPr>
        <w:t xml:space="preserve"> births in the West Bank and </w:t>
      </w:r>
      <w:r w:rsidR="00264A39" w:rsidRPr="003F77BA">
        <w:rPr>
          <w:rFonts w:asciiTheme="majorBidi" w:hAnsiTheme="majorBidi" w:cstheme="majorBidi"/>
          <w:sz w:val="26"/>
          <w:szCs w:val="26"/>
          <w:rtl/>
        </w:rPr>
        <w:t>4</w:t>
      </w:r>
      <w:r w:rsidRPr="003F77BA">
        <w:rPr>
          <w:rFonts w:asciiTheme="majorBidi" w:hAnsiTheme="majorBidi" w:cstheme="majorBidi"/>
          <w:sz w:val="26"/>
          <w:szCs w:val="26"/>
        </w:rPr>
        <w:t xml:space="preserve"> births in Gaza Strip</w:t>
      </w:r>
      <w:r w:rsidR="00131D93" w:rsidRPr="003F77BA">
        <w:rPr>
          <w:rFonts w:asciiTheme="majorBidi" w:hAnsiTheme="majorBidi" w:cstheme="majorBidi"/>
          <w:sz w:val="26"/>
          <w:szCs w:val="26"/>
        </w:rPr>
        <w:t xml:space="preserve">. </w:t>
      </w:r>
    </w:p>
    <w:p w14:paraId="506CC2F0" w14:textId="7F88EF46" w:rsidR="00D336A4" w:rsidRPr="003F77BA" w:rsidRDefault="00131D93" w:rsidP="003F77BA">
      <w:pPr>
        <w:bidi w:val="0"/>
        <w:jc w:val="lowKashida"/>
        <w:rPr>
          <w:rFonts w:asciiTheme="majorBidi" w:hAnsiTheme="majorBidi" w:cstheme="majorBidi"/>
          <w:sz w:val="16"/>
          <w:szCs w:val="16"/>
          <w:rtl/>
        </w:rPr>
      </w:pPr>
      <w:r w:rsidRPr="003F77BA">
        <w:rPr>
          <w:rFonts w:asciiTheme="majorBidi" w:hAnsiTheme="majorBidi" w:cstheme="majorBidi"/>
          <w:sz w:val="26"/>
          <w:szCs w:val="26"/>
          <w:rtl/>
        </w:rPr>
        <w:t xml:space="preserve"> </w:t>
      </w:r>
    </w:p>
    <w:p w14:paraId="50A335DF" w14:textId="7F6179D0" w:rsidR="003F77BA" w:rsidRDefault="005274CE" w:rsidP="003F77BA">
      <w:pPr>
        <w:tabs>
          <w:tab w:val="left" w:pos="5400"/>
        </w:tabs>
        <w:jc w:val="center"/>
        <w:rPr>
          <w:rFonts w:asciiTheme="majorBidi" w:hAnsiTheme="majorBidi" w:cstheme="majorBidi"/>
          <w:b/>
          <w:bCs/>
          <w:sz w:val="28"/>
          <w:szCs w:val="28"/>
          <w:lang w:eastAsia="en-US"/>
        </w:rPr>
      </w:pPr>
      <w:r w:rsidRPr="003F77BA">
        <w:rPr>
          <w:rFonts w:asciiTheme="majorBidi" w:hAnsiTheme="majorBidi" w:cstheme="majorBidi"/>
          <w:b/>
          <w:bCs/>
          <w:sz w:val="28"/>
          <w:szCs w:val="28"/>
          <w:lang w:eastAsia="en-US"/>
        </w:rPr>
        <w:t>Fertility Rate in the State of Palestine, Selected Years</w:t>
      </w:r>
    </w:p>
    <w:p w14:paraId="598B2D0D" w14:textId="77777777" w:rsidR="003F77BA" w:rsidRPr="003F77BA" w:rsidRDefault="003F77BA" w:rsidP="003F77BA">
      <w:pPr>
        <w:tabs>
          <w:tab w:val="left" w:pos="5400"/>
        </w:tabs>
        <w:jc w:val="center"/>
        <w:rPr>
          <w:rFonts w:asciiTheme="majorBidi" w:hAnsiTheme="majorBidi" w:cstheme="majorBidi"/>
          <w:b/>
          <w:bCs/>
          <w:sz w:val="10"/>
          <w:szCs w:val="10"/>
          <w:rtl/>
          <w:lang w:eastAsia="en-US"/>
        </w:rPr>
      </w:pPr>
    </w:p>
    <w:p w14:paraId="49AA7B1E" w14:textId="4ADE63B0" w:rsidR="005274CE" w:rsidRPr="003F77BA" w:rsidRDefault="005274CE" w:rsidP="003F77BA">
      <w:pPr>
        <w:tabs>
          <w:tab w:val="right" w:pos="8100"/>
        </w:tabs>
        <w:bidi w:val="0"/>
        <w:ind w:right="71"/>
        <w:jc w:val="center"/>
        <w:rPr>
          <w:rFonts w:asciiTheme="majorBidi" w:hAnsiTheme="majorBidi" w:cstheme="majorBidi"/>
          <w:b/>
          <w:bCs/>
          <w:snapToGrid w:val="0"/>
          <w:sz w:val="26"/>
          <w:szCs w:val="26"/>
          <w:rtl/>
        </w:rPr>
      </w:pPr>
      <w:r w:rsidRPr="003F77BA">
        <w:rPr>
          <w:rFonts w:asciiTheme="majorBidi" w:hAnsiTheme="majorBidi" w:cstheme="majorBidi"/>
          <w:noProof/>
          <w:snapToGrid w:val="0"/>
          <w:sz w:val="26"/>
          <w:szCs w:val="26"/>
          <w:rtl/>
          <w:lang w:eastAsia="en-US"/>
        </w:rPr>
        <w:drawing>
          <wp:inline distT="0" distB="0" distL="0" distR="0" wp14:anchorId="491E94ED" wp14:editId="1E0CFB40">
            <wp:extent cx="4290764" cy="1724025"/>
            <wp:effectExtent l="0" t="0" r="14605" b="9525"/>
            <wp:docPr id="6"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420617" w14:textId="77777777" w:rsidR="005274CE" w:rsidRPr="003F77BA" w:rsidRDefault="005274CE" w:rsidP="005274CE">
      <w:pPr>
        <w:tabs>
          <w:tab w:val="right" w:pos="8100"/>
        </w:tabs>
        <w:bidi w:val="0"/>
        <w:ind w:right="71"/>
        <w:jc w:val="lowKashida"/>
        <w:rPr>
          <w:rFonts w:asciiTheme="majorBidi" w:hAnsiTheme="majorBidi" w:cstheme="majorBidi"/>
          <w:b/>
          <w:bCs/>
          <w:snapToGrid w:val="0"/>
          <w:sz w:val="16"/>
          <w:szCs w:val="16"/>
          <w:rtl/>
        </w:rPr>
      </w:pPr>
    </w:p>
    <w:p w14:paraId="52590FAC" w14:textId="4182DC02" w:rsidR="005274CE" w:rsidRPr="003F77BA" w:rsidRDefault="005274CE" w:rsidP="003F77BA">
      <w:pPr>
        <w:tabs>
          <w:tab w:val="right" w:pos="1276"/>
          <w:tab w:val="right" w:pos="1418"/>
          <w:tab w:val="right" w:pos="8100"/>
        </w:tabs>
        <w:bidi w:val="0"/>
        <w:ind w:left="1418" w:right="71"/>
        <w:jc w:val="both"/>
        <w:rPr>
          <w:rFonts w:asciiTheme="majorBidi" w:hAnsiTheme="majorBidi" w:cstheme="majorBidi"/>
          <w:snapToGrid w:val="0"/>
          <w:sz w:val="20"/>
          <w:szCs w:val="20"/>
        </w:rPr>
      </w:pPr>
      <w:r w:rsidRPr="003F77BA">
        <w:rPr>
          <w:rFonts w:asciiTheme="majorBidi" w:hAnsiTheme="majorBidi" w:cstheme="majorBidi"/>
          <w:b/>
          <w:bCs/>
          <w:snapToGrid w:val="0"/>
          <w:sz w:val="20"/>
          <w:szCs w:val="20"/>
        </w:rPr>
        <w:t xml:space="preserve">Source: Palestinian Central Bureau of Statistics, </w:t>
      </w:r>
      <w:r w:rsidRPr="003F77BA">
        <w:rPr>
          <w:rFonts w:asciiTheme="majorBidi" w:hAnsiTheme="majorBidi" w:cstheme="majorBidi"/>
          <w:b/>
          <w:bCs/>
          <w:snapToGrid w:val="0"/>
          <w:sz w:val="20"/>
          <w:szCs w:val="20"/>
          <w:rtl/>
        </w:rPr>
        <w:t>2022</w:t>
      </w:r>
      <w:r w:rsidRPr="003F77BA">
        <w:rPr>
          <w:rFonts w:asciiTheme="majorBidi" w:hAnsiTheme="majorBidi" w:cstheme="majorBidi"/>
          <w:b/>
          <w:bCs/>
          <w:snapToGrid w:val="0"/>
          <w:sz w:val="20"/>
          <w:szCs w:val="20"/>
        </w:rPr>
        <w:t>.</w:t>
      </w:r>
      <w:r w:rsidRPr="003F77BA">
        <w:rPr>
          <w:rFonts w:asciiTheme="majorBidi" w:hAnsiTheme="majorBidi" w:cstheme="majorBidi"/>
          <w:snapToGrid w:val="0"/>
          <w:sz w:val="20"/>
          <w:szCs w:val="20"/>
        </w:rPr>
        <w:t xml:space="preserve"> Database of the Demographic and Health</w:t>
      </w:r>
      <w:r w:rsidR="003F77BA">
        <w:rPr>
          <w:rFonts w:asciiTheme="majorBidi" w:hAnsiTheme="majorBidi" w:cstheme="majorBidi"/>
          <w:snapToGrid w:val="0"/>
          <w:sz w:val="20"/>
          <w:szCs w:val="20"/>
        </w:rPr>
        <w:t xml:space="preserve"> </w:t>
      </w:r>
      <w:r w:rsidRPr="003F77BA">
        <w:rPr>
          <w:rFonts w:asciiTheme="majorBidi" w:hAnsiTheme="majorBidi" w:cstheme="majorBidi"/>
          <w:snapToGrid w:val="0"/>
          <w:sz w:val="20"/>
          <w:szCs w:val="20"/>
        </w:rPr>
        <w:t>Survey, 2004. Ramallah - Palestine.</w:t>
      </w:r>
    </w:p>
    <w:p w14:paraId="47E11632" w14:textId="442C3322" w:rsidR="00364E7A" w:rsidRPr="003F77BA" w:rsidRDefault="005274CE" w:rsidP="003F77BA">
      <w:pPr>
        <w:tabs>
          <w:tab w:val="right" w:pos="1276"/>
          <w:tab w:val="right" w:pos="1418"/>
          <w:tab w:val="right" w:pos="8100"/>
        </w:tabs>
        <w:bidi w:val="0"/>
        <w:ind w:left="1418" w:right="71"/>
        <w:jc w:val="both"/>
        <w:rPr>
          <w:rFonts w:asciiTheme="majorBidi" w:hAnsiTheme="majorBidi" w:cstheme="majorBidi"/>
          <w:snapToGrid w:val="0"/>
          <w:sz w:val="20"/>
          <w:szCs w:val="20"/>
        </w:rPr>
      </w:pPr>
      <w:r w:rsidRPr="003F77BA">
        <w:rPr>
          <w:rFonts w:asciiTheme="majorBidi" w:hAnsiTheme="majorBidi" w:cstheme="majorBidi"/>
          <w:b/>
          <w:bCs/>
          <w:snapToGrid w:val="0"/>
          <w:sz w:val="20"/>
          <w:szCs w:val="20"/>
        </w:rPr>
        <w:t xml:space="preserve">Source: Palestinian Central Bureau of Statistics, </w:t>
      </w:r>
      <w:r w:rsidRPr="003F77BA">
        <w:rPr>
          <w:rFonts w:asciiTheme="majorBidi" w:hAnsiTheme="majorBidi" w:cstheme="majorBidi"/>
          <w:b/>
          <w:bCs/>
          <w:snapToGrid w:val="0"/>
          <w:sz w:val="20"/>
          <w:szCs w:val="20"/>
          <w:rtl/>
        </w:rPr>
        <w:t>2022</w:t>
      </w:r>
      <w:r w:rsidRPr="003F77BA">
        <w:rPr>
          <w:rFonts w:asciiTheme="majorBidi" w:hAnsiTheme="majorBidi" w:cstheme="majorBidi"/>
          <w:b/>
          <w:bCs/>
          <w:snapToGrid w:val="0"/>
          <w:sz w:val="20"/>
          <w:szCs w:val="20"/>
        </w:rPr>
        <w:t xml:space="preserve">. </w:t>
      </w:r>
      <w:r w:rsidRPr="003F77BA">
        <w:rPr>
          <w:rFonts w:asciiTheme="majorBidi" w:hAnsiTheme="majorBidi" w:cstheme="majorBidi"/>
          <w:snapToGrid w:val="0"/>
          <w:sz w:val="20"/>
          <w:szCs w:val="20"/>
        </w:rPr>
        <w:t xml:space="preserve">Database of the Palestinian Multiple Indicator </w:t>
      </w:r>
      <w:proofErr w:type="gramStart"/>
      <w:r w:rsidRPr="003F77BA">
        <w:rPr>
          <w:rFonts w:asciiTheme="majorBidi" w:hAnsiTheme="majorBidi" w:cstheme="majorBidi"/>
          <w:snapToGrid w:val="0"/>
          <w:sz w:val="20"/>
          <w:szCs w:val="20"/>
        </w:rPr>
        <w:t xml:space="preserve">Cluster </w:t>
      </w:r>
      <w:r w:rsidR="003F77BA">
        <w:rPr>
          <w:rFonts w:asciiTheme="majorBidi" w:hAnsiTheme="majorBidi" w:cstheme="majorBidi"/>
          <w:snapToGrid w:val="0"/>
          <w:sz w:val="20"/>
          <w:szCs w:val="20"/>
        </w:rPr>
        <w:t xml:space="preserve"> </w:t>
      </w:r>
      <w:r w:rsidRPr="003F77BA">
        <w:rPr>
          <w:rFonts w:asciiTheme="majorBidi" w:hAnsiTheme="majorBidi" w:cstheme="majorBidi"/>
          <w:snapToGrid w:val="0"/>
          <w:sz w:val="20"/>
          <w:szCs w:val="20"/>
        </w:rPr>
        <w:t>Survey</w:t>
      </w:r>
      <w:proofErr w:type="gramEnd"/>
      <w:r w:rsidR="003F77BA">
        <w:rPr>
          <w:rFonts w:asciiTheme="majorBidi" w:hAnsiTheme="majorBidi" w:cstheme="majorBidi"/>
          <w:snapToGrid w:val="0"/>
          <w:sz w:val="20"/>
          <w:szCs w:val="20"/>
        </w:rPr>
        <w:t xml:space="preserve"> </w:t>
      </w:r>
      <w:r w:rsidRPr="003F77BA">
        <w:rPr>
          <w:rFonts w:asciiTheme="majorBidi" w:hAnsiTheme="majorBidi" w:cstheme="majorBidi"/>
          <w:snapToGrid w:val="0"/>
          <w:sz w:val="20"/>
          <w:szCs w:val="20"/>
        </w:rPr>
        <w:t xml:space="preserve">2019-2020. Ramallah - Palestine.  </w:t>
      </w:r>
    </w:p>
    <w:p w14:paraId="34777861" w14:textId="77777777" w:rsidR="003F77BA" w:rsidRDefault="003F77BA" w:rsidP="00007B8C">
      <w:pPr>
        <w:bidi w:val="0"/>
        <w:jc w:val="both"/>
        <w:rPr>
          <w:rFonts w:asciiTheme="majorBidi" w:hAnsiTheme="majorBidi" w:cstheme="majorBidi"/>
          <w:b/>
          <w:bCs/>
          <w:sz w:val="28"/>
          <w:szCs w:val="28"/>
        </w:rPr>
      </w:pPr>
    </w:p>
    <w:p w14:paraId="47F8D4E2" w14:textId="77777777" w:rsidR="003F77BA" w:rsidRDefault="003F77BA" w:rsidP="003F77BA">
      <w:pPr>
        <w:bidi w:val="0"/>
        <w:jc w:val="both"/>
        <w:rPr>
          <w:rFonts w:asciiTheme="majorBidi" w:hAnsiTheme="majorBidi" w:cstheme="majorBidi"/>
          <w:b/>
          <w:bCs/>
          <w:sz w:val="28"/>
          <w:szCs w:val="28"/>
        </w:rPr>
      </w:pPr>
    </w:p>
    <w:p w14:paraId="2EDF2583" w14:textId="77777777" w:rsidR="003F77BA" w:rsidRDefault="003F77BA" w:rsidP="003F77BA">
      <w:pPr>
        <w:bidi w:val="0"/>
        <w:jc w:val="both"/>
        <w:rPr>
          <w:rFonts w:asciiTheme="majorBidi" w:hAnsiTheme="majorBidi" w:cstheme="majorBidi"/>
          <w:b/>
          <w:bCs/>
          <w:sz w:val="28"/>
          <w:szCs w:val="28"/>
        </w:rPr>
      </w:pPr>
    </w:p>
    <w:p w14:paraId="682F8132" w14:textId="7B4C0816" w:rsidR="00926E04" w:rsidRPr="003F77BA" w:rsidRDefault="003F77BA" w:rsidP="003F77BA">
      <w:pPr>
        <w:bidi w:val="0"/>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A </w:t>
      </w:r>
      <w:r w:rsidR="00926E04" w:rsidRPr="003F77BA">
        <w:rPr>
          <w:rFonts w:asciiTheme="majorBidi" w:hAnsiTheme="majorBidi" w:cstheme="majorBidi"/>
          <w:b/>
          <w:bCs/>
          <w:sz w:val="28"/>
          <w:szCs w:val="28"/>
        </w:rPr>
        <w:t>Decline in Child and Infant Mortality Rates</w:t>
      </w:r>
    </w:p>
    <w:p w14:paraId="017C4917" w14:textId="6F339831" w:rsidR="00926E04" w:rsidRPr="003F77BA" w:rsidRDefault="00926E04" w:rsidP="00453297">
      <w:pPr>
        <w:bidi w:val="0"/>
        <w:jc w:val="both"/>
        <w:rPr>
          <w:rFonts w:asciiTheme="majorBidi" w:hAnsiTheme="majorBidi" w:cstheme="majorBidi"/>
          <w:sz w:val="26"/>
          <w:szCs w:val="26"/>
        </w:rPr>
      </w:pPr>
      <w:r w:rsidRPr="003F77BA">
        <w:rPr>
          <w:rFonts w:asciiTheme="majorBidi" w:hAnsiTheme="majorBidi" w:cstheme="majorBidi"/>
          <w:sz w:val="26"/>
          <w:szCs w:val="26"/>
          <w:lang w:val="en-GB"/>
        </w:rPr>
        <w:t xml:space="preserve">The child mortality rate of children under-five years in Palestine </w:t>
      </w:r>
      <w:r w:rsidRPr="003F77BA">
        <w:rPr>
          <w:rFonts w:asciiTheme="majorBidi" w:hAnsiTheme="majorBidi" w:cstheme="majorBidi"/>
          <w:sz w:val="26"/>
          <w:szCs w:val="26"/>
        </w:rPr>
        <w:t xml:space="preserve">was </w:t>
      </w:r>
      <w:r w:rsidRPr="003F77BA">
        <w:rPr>
          <w:rFonts w:asciiTheme="majorBidi" w:hAnsiTheme="majorBidi" w:cstheme="majorBidi"/>
          <w:sz w:val="26"/>
          <w:szCs w:val="26"/>
          <w:rtl/>
        </w:rPr>
        <w:t>14</w:t>
      </w:r>
      <w:r w:rsidRPr="003F77BA">
        <w:rPr>
          <w:rFonts w:asciiTheme="majorBidi" w:hAnsiTheme="majorBidi" w:cstheme="majorBidi"/>
          <w:sz w:val="26"/>
          <w:szCs w:val="26"/>
        </w:rPr>
        <w:t xml:space="preserve"> per 1000 live births</w:t>
      </w:r>
      <w:r w:rsidRPr="003F77BA">
        <w:rPr>
          <w:rFonts w:asciiTheme="majorBidi" w:hAnsiTheme="majorBidi" w:cstheme="majorBidi"/>
          <w:sz w:val="26"/>
          <w:szCs w:val="26"/>
          <w:rtl/>
        </w:rPr>
        <w:t xml:space="preserve"> </w:t>
      </w:r>
      <w:r w:rsidRPr="003F77BA">
        <w:rPr>
          <w:rFonts w:asciiTheme="majorBidi" w:hAnsiTheme="majorBidi" w:cstheme="majorBidi"/>
          <w:sz w:val="26"/>
          <w:szCs w:val="26"/>
        </w:rPr>
        <w:t xml:space="preserve">(2015-2019); 15 in the West Bank and 14 in Gaza Strip. On the other hand, infant mortality rate </w:t>
      </w:r>
      <w:r w:rsidRPr="003F77BA">
        <w:rPr>
          <w:rFonts w:asciiTheme="majorBidi" w:hAnsiTheme="majorBidi" w:cstheme="majorBidi"/>
          <w:sz w:val="26"/>
          <w:szCs w:val="26"/>
          <w:lang w:val="en-GB"/>
        </w:rPr>
        <w:t xml:space="preserve">in Palestine </w:t>
      </w:r>
      <w:r w:rsidRPr="003F77BA">
        <w:rPr>
          <w:rFonts w:asciiTheme="majorBidi" w:hAnsiTheme="majorBidi" w:cstheme="majorBidi"/>
          <w:sz w:val="26"/>
          <w:szCs w:val="26"/>
        </w:rPr>
        <w:t>reached 12 per 1000 live births; 12 in the West Bank and 13 in Gaza Strip. Data also indicated a decline in the child mortality rate during the past ten years, where this rate reached 15 children per 1000 live births.</w:t>
      </w:r>
    </w:p>
    <w:p w14:paraId="295C5F47" w14:textId="77777777" w:rsidR="00926E04" w:rsidRPr="003F77BA" w:rsidRDefault="00926E04" w:rsidP="00D336A4">
      <w:pPr>
        <w:tabs>
          <w:tab w:val="left" w:pos="5400"/>
        </w:tabs>
        <w:jc w:val="right"/>
        <w:rPr>
          <w:rFonts w:asciiTheme="majorBidi" w:hAnsiTheme="majorBidi" w:cstheme="majorBidi"/>
          <w:noProof/>
          <w:sz w:val="16"/>
          <w:szCs w:val="16"/>
          <w:rtl/>
          <w:lang w:eastAsia="en-US"/>
        </w:rPr>
      </w:pPr>
    </w:p>
    <w:p w14:paraId="7B5392C1" w14:textId="77777777" w:rsidR="00F76CAB" w:rsidRPr="003F77BA" w:rsidRDefault="00F76CAB" w:rsidP="00F76CAB">
      <w:pPr>
        <w:tabs>
          <w:tab w:val="left" w:pos="5400"/>
        </w:tabs>
        <w:jc w:val="right"/>
        <w:rPr>
          <w:rFonts w:asciiTheme="majorBidi" w:hAnsiTheme="majorBidi" w:cstheme="majorBidi"/>
          <w:b/>
          <w:bCs/>
          <w:sz w:val="28"/>
          <w:szCs w:val="28"/>
          <w:lang w:eastAsia="en-US"/>
        </w:rPr>
      </w:pPr>
      <w:r w:rsidRPr="003F77BA">
        <w:rPr>
          <w:rFonts w:asciiTheme="majorBidi" w:hAnsiTheme="majorBidi" w:cstheme="majorBidi"/>
          <w:b/>
          <w:bCs/>
          <w:sz w:val="28"/>
          <w:szCs w:val="28"/>
          <w:lang w:eastAsia="en-US"/>
        </w:rPr>
        <w:t>A Decline in the Average Household Size</w:t>
      </w:r>
    </w:p>
    <w:p w14:paraId="5031E010" w14:textId="09533AF2" w:rsidR="00F76CAB" w:rsidRPr="003F77BA" w:rsidRDefault="00F76CAB" w:rsidP="00C10051">
      <w:pPr>
        <w:bidi w:val="0"/>
        <w:jc w:val="lowKashida"/>
        <w:rPr>
          <w:rFonts w:asciiTheme="majorBidi" w:hAnsiTheme="majorBidi" w:cstheme="majorBidi"/>
          <w:sz w:val="26"/>
          <w:szCs w:val="26"/>
        </w:rPr>
      </w:pPr>
      <w:r w:rsidRPr="003F77BA">
        <w:rPr>
          <w:rFonts w:asciiTheme="majorBidi" w:hAnsiTheme="majorBidi" w:cstheme="majorBidi"/>
          <w:sz w:val="26"/>
          <w:szCs w:val="26"/>
        </w:rPr>
        <w:t>The average size of the Palestinian household has dropped to 5</w:t>
      </w:r>
      <w:r w:rsidR="00C10051" w:rsidRPr="003F77BA">
        <w:rPr>
          <w:rFonts w:asciiTheme="majorBidi" w:hAnsiTheme="majorBidi" w:cstheme="majorBidi"/>
          <w:sz w:val="26"/>
          <w:szCs w:val="26"/>
        </w:rPr>
        <w:t xml:space="preserve"> </w:t>
      </w:r>
      <w:r w:rsidRPr="003F77BA">
        <w:rPr>
          <w:rFonts w:asciiTheme="majorBidi" w:hAnsiTheme="majorBidi" w:cstheme="majorBidi"/>
          <w:sz w:val="26"/>
          <w:szCs w:val="26"/>
        </w:rPr>
        <w:t xml:space="preserve">individuals in </w:t>
      </w:r>
      <w:r w:rsidR="00BA4992" w:rsidRPr="003F77BA">
        <w:rPr>
          <w:rFonts w:asciiTheme="majorBidi" w:hAnsiTheme="majorBidi" w:cstheme="majorBidi"/>
          <w:sz w:val="26"/>
          <w:szCs w:val="26"/>
        </w:rPr>
        <w:t>2021</w:t>
      </w:r>
      <w:r w:rsidR="00C10051" w:rsidRPr="003F77BA">
        <w:rPr>
          <w:rFonts w:asciiTheme="majorBidi" w:hAnsiTheme="majorBidi" w:cstheme="majorBidi"/>
          <w:sz w:val="26"/>
          <w:szCs w:val="26"/>
        </w:rPr>
        <w:t xml:space="preserve"> </w:t>
      </w:r>
      <w:r w:rsidRPr="003F77BA">
        <w:rPr>
          <w:rFonts w:asciiTheme="majorBidi" w:hAnsiTheme="majorBidi" w:cstheme="majorBidi"/>
          <w:sz w:val="26"/>
          <w:szCs w:val="26"/>
        </w:rPr>
        <w:t xml:space="preserve">compared to </w:t>
      </w:r>
      <w:r w:rsidR="00553FA3" w:rsidRPr="003F77BA">
        <w:rPr>
          <w:rFonts w:asciiTheme="majorBidi" w:hAnsiTheme="majorBidi" w:cstheme="majorBidi"/>
          <w:sz w:val="26"/>
          <w:szCs w:val="26"/>
          <w:rtl/>
        </w:rPr>
        <w:t>6</w:t>
      </w:r>
      <w:r w:rsidRPr="003F77BA">
        <w:rPr>
          <w:rFonts w:asciiTheme="majorBidi" w:hAnsiTheme="majorBidi" w:cstheme="majorBidi"/>
          <w:sz w:val="26"/>
          <w:szCs w:val="26"/>
        </w:rPr>
        <w:t xml:space="preserve"> individuals in </w:t>
      </w:r>
      <w:r w:rsidR="00BA4992" w:rsidRPr="003F77BA">
        <w:rPr>
          <w:rFonts w:asciiTheme="majorBidi" w:hAnsiTheme="majorBidi" w:cstheme="majorBidi"/>
          <w:sz w:val="26"/>
          <w:szCs w:val="26"/>
        </w:rPr>
        <w:t>2010</w:t>
      </w:r>
      <w:r w:rsidR="00C10051" w:rsidRPr="003F77BA">
        <w:rPr>
          <w:rFonts w:asciiTheme="majorBidi" w:hAnsiTheme="majorBidi" w:cstheme="majorBidi"/>
          <w:sz w:val="26"/>
          <w:szCs w:val="26"/>
        </w:rPr>
        <w:t xml:space="preserve">; </w:t>
      </w:r>
      <w:r w:rsidR="00553FA3" w:rsidRPr="003F77BA">
        <w:rPr>
          <w:rFonts w:asciiTheme="majorBidi" w:hAnsiTheme="majorBidi" w:cstheme="majorBidi"/>
          <w:sz w:val="26"/>
          <w:szCs w:val="26"/>
          <w:rtl/>
        </w:rPr>
        <w:t>5</w:t>
      </w:r>
      <w:r w:rsidRPr="003F77BA">
        <w:rPr>
          <w:rFonts w:asciiTheme="majorBidi" w:hAnsiTheme="majorBidi" w:cstheme="majorBidi"/>
          <w:sz w:val="26"/>
          <w:szCs w:val="26"/>
        </w:rPr>
        <w:t xml:space="preserve"> individuals in the West Bank and </w:t>
      </w:r>
      <w:r w:rsidR="00C10051" w:rsidRPr="003F77BA">
        <w:rPr>
          <w:rFonts w:asciiTheme="majorBidi" w:hAnsiTheme="majorBidi" w:cstheme="majorBidi"/>
          <w:sz w:val="26"/>
          <w:szCs w:val="26"/>
          <w:rtl/>
        </w:rPr>
        <w:t>6</w:t>
      </w:r>
      <w:r w:rsidR="00C10051" w:rsidRPr="003F77BA">
        <w:rPr>
          <w:rFonts w:asciiTheme="majorBidi" w:hAnsiTheme="majorBidi" w:cstheme="majorBidi"/>
          <w:sz w:val="26"/>
          <w:szCs w:val="26"/>
        </w:rPr>
        <w:t xml:space="preserve"> individuals</w:t>
      </w:r>
      <w:r w:rsidRPr="003F77BA">
        <w:rPr>
          <w:rFonts w:asciiTheme="majorBidi" w:hAnsiTheme="majorBidi" w:cstheme="majorBidi"/>
          <w:sz w:val="26"/>
          <w:szCs w:val="26"/>
        </w:rPr>
        <w:t xml:space="preserve"> in Gaza Strip. </w:t>
      </w:r>
    </w:p>
    <w:p w14:paraId="246D99A9" w14:textId="77777777" w:rsidR="00F76CAB" w:rsidRPr="003F77BA" w:rsidRDefault="00F76CAB" w:rsidP="00F76CAB">
      <w:pPr>
        <w:jc w:val="center"/>
        <w:rPr>
          <w:rFonts w:asciiTheme="majorBidi" w:hAnsiTheme="majorBidi" w:cstheme="majorBidi"/>
          <w:b/>
          <w:bCs/>
          <w:sz w:val="16"/>
          <w:szCs w:val="16"/>
          <w:rtl/>
          <w:lang w:eastAsia="en-US"/>
        </w:rPr>
      </w:pPr>
    </w:p>
    <w:p w14:paraId="15FCBCE9" w14:textId="3686C7FA" w:rsidR="005F37E3" w:rsidRDefault="005F37E3" w:rsidP="003F77BA">
      <w:pPr>
        <w:jc w:val="center"/>
        <w:rPr>
          <w:rFonts w:asciiTheme="majorBidi" w:hAnsiTheme="majorBidi" w:cstheme="majorBidi"/>
          <w:b/>
          <w:bCs/>
          <w:sz w:val="28"/>
          <w:szCs w:val="28"/>
          <w:rtl/>
        </w:rPr>
      </w:pPr>
      <w:r w:rsidRPr="003F77BA">
        <w:rPr>
          <w:rFonts w:asciiTheme="majorBidi" w:hAnsiTheme="majorBidi" w:cstheme="majorBidi"/>
          <w:b/>
          <w:bCs/>
          <w:sz w:val="28"/>
          <w:szCs w:val="28"/>
        </w:rPr>
        <w:t>The Average Household Size in Palestine by Region, 2010-2021</w:t>
      </w:r>
    </w:p>
    <w:p w14:paraId="6BB294D7" w14:textId="6CA7D084" w:rsidR="003F77BA" w:rsidRPr="003F77BA" w:rsidRDefault="003F77BA" w:rsidP="003F77BA">
      <w:pPr>
        <w:tabs>
          <w:tab w:val="left" w:pos="5333"/>
        </w:tabs>
        <w:rPr>
          <w:rFonts w:asciiTheme="majorBidi" w:hAnsiTheme="majorBidi" w:cstheme="majorBidi"/>
          <w:b/>
          <w:bCs/>
          <w:sz w:val="10"/>
          <w:szCs w:val="10"/>
        </w:rPr>
      </w:pPr>
      <w:r>
        <w:rPr>
          <w:rFonts w:asciiTheme="majorBidi" w:hAnsiTheme="majorBidi" w:cstheme="majorBidi"/>
          <w:b/>
          <w:bCs/>
          <w:sz w:val="28"/>
          <w:szCs w:val="28"/>
          <w:rtl/>
        </w:rPr>
        <w:tab/>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tblGrid>
      <w:tr w:rsidR="005F37E3" w:rsidRPr="003F77BA" w14:paraId="2EDEDB55" w14:textId="77777777" w:rsidTr="00056113">
        <w:trPr>
          <w:jc w:val="center"/>
        </w:trPr>
        <w:tc>
          <w:tcPr>
            <w:tcW w:w="7513" w:type="dxa"/>
          </w:tcPr>
          <w:p w14:paraId="1BE8039A" w14:textId="77777777" w:rsidR="005F37E3" w:rsidRPr="003F77BA" w:rsidRDefault="005F37E3" w:rsidP="00056113">
            <w:pPr>
              <w:jc w:val="center"/>
              <w:rPr>
                <w:rFonts w:asciiTheme="majorBidi" w:eastAsia="Calibri" w:hAnsiTheme="majorBidi" w:cstheme="majorBidi"/>
                <w:b/>
                <w:bCs/>
                <w:sz w:val="26"/>
                <w:szCs w:val="26"/>
                <w:rtl/>
              </w:rPr>
            </w:pPr>
            <w:r w:rsidRPr="003F77BA">
              <w:rPr>
                <w:rFonts w:asciiTheme="majorBidi" w:eastAsia="Calibri" w:hAnsiTheme="majorBidi" w:cstheme="majorBidi"/>
                <w:b/>
                <w:bCs/>
                <w:noProof/>
                <w:sz w:val="26"/>
                <w:szCs w:val="26"/>
                <w:lang w:eastAsia="en-US"/>
              </w:rPr>
              <w:drawing>
                <wp:inline distT="0" distB="0" distL="0" distR="0" wp14:anchorId="76C313A5" wp14:editId="74455096">
                  <wp:extent cx="4537075" cy="170624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36911443" w14:textId="4F3E1293" w:rsidR="005F37E3" w:rsidRPr="003F77BA" w:rsidRDefault="005F37E3" w:rsidP="003F77BA">
      <w:pPr>
        <w:tabs>
          <w:tab w:val="right" w:pos="8100"/>
        </w:tabs>
        <w:bidi w:val="0"/>
        <w:ind w:left="993" w:right="71"/>
        <w:jc w:val="lowKashida"/>
        <w:rPr>
          <w:rFonts w:asciiTheme="majorBidi" w:hAnsiTheme="majorBidi" w:cstheme="majorBidi"/>
          <w:b/>
          <w:bCs/>
          <w:snapToGrid w:val="0"/>
          <w:sz w:val="26"/>
          <w:szCs w:val="26"/>
          <w:rtl/>
        </w:rPr>
      </w:pPr>
      <w:r w:rsidRPr="003F77BA">
        <w:rPr>
          <w:rFonts w:asciiTheme="majorBidi" w:hAnsiTheme="majorBidi" w:cstheme="majorBidi"/>
          <w:b/>
          <w:bCs/>
          <w:snapToGrid w:val="0"/>
          <w:sz w:val="20"/>
          <w:szCs w:val="20"/>
        </w:rPr>
        <w:t>Source: Palestinian Central Bureau of Statistics, 202</w:t>
      </w:r>
      <w:r w:rsidRPr="003F77BA">
        <w:rPr>
          <w:rFonts w:asciiTheme="majorBidi" w:hAnsiTheme="majorBidi" w:cstheme="majorBidi"/>
          <w:b/>
          <w:bCs/>
          <w:snapToGrid w:val="0"/>
          <w:sz w:val="20"/>
          <w:szCs w:val="20"/>
          <w:rtl/>
        </w:rPr>
        <w:t>2</w:t>
      </w:r>
      <w:r w:rsidRPr="003F77BA">
        <w:rPr>
          <w:rFonts w:asciiTheme="majorBidi" w:hAnsiTheme="majorBidi" w:cstheme="majorBidi"/>
          <w:b/>
          <w:bCs/>
          <w:snapToGrid w:val="0"/>
          <w:sz w:val="20"/>
          <w:szCs w:val="20"/>
        </w:rPr>
        <w:t xml:space="preserve">. </w:t>
      </w:r>
      <w:r w:rsidRPr="003F77BA">
        <w:rPr>
          <w:rFonts w:asciiTheme="majorBidi" w:hAnsiTheme="majorBidi" w:cstheme="majorBidi"/>
          <w:snapToGrid w:val="0"/>
          <w:sz w:val="20"/>
          <w:szCs w:val="20"/>
        </w:rPr>
        <w:t xml:space="preserve">Estimates are based on the Results of the Labor Force Survey and on the Final Results of the Population, Housing and Establishments Census, </w:t>
      </w:r>
      <w:r w:rsidR="00BD2145" w:rsidRPr="003F77BA">
        <w:rPr>
          <w:rFonts w:asciiTheme="majorBidi" w:hAnsiTheme="majorBidi" w:cstheme="majorBidi"/>
          <w:snapToGrid w:val="0"/>
          <w:sz w:val="20"/>
          <w:szCs w:val="20"/>
          <w:rtl/>
        </w:rPr>
        <w:t>2010</w:t>
      </w:r>
      <w:r w:rsidRPr="003F77BA">
        <w:rPr>
          <w:rFonts w:asciiTheme="majorBidi" w:hAnsiTheme="majorBidi" w:cstheme="majorBidi"/>
          <w:snapToGrid w:val="0"/>
          <w:sz w:val="20"/>
          <w:szCs w:val="20"/>
        </w:rPr>
        <w:t>, 202</w:t>
      </w:r>
      <w:r w:rsidRPr="003F77BA">
        <w:rPr>
          <w:rFonts w:asciiTheme="majorBidi" w:hAnsiTheme="majorBidi" w:cstheme="majorBidi"/>
          <w:snapToGrid w:val="0"/>
          <w:sz w:val="20"/>
          <w:szCs w:val="20"/>
          <w:rtl/>
        </w:rPr>
        <w:t>1</w:t>
      </w:r>
      <w:r w:rsidRPr="003F77BA">
        <w:rPr>
          <w:rFonts w:asciiTheme="majorBidi" w:hAnsiTheme="majorBidi" w:cstheme="majorBidi"/>
          <w:snapToGrid w:val="0"/>
          <w:sz w:val="20"/>
          <w:szCs w:val="20"/>
        </w:rPr>
        <w:t>. Ramallah - Palestine</w:t>
      </w:r>
      <w:r w:rsidRPr="003F77BA">
        <w:rPr>
          <w:rFonts w:asciiTheme="majorBidi" w:hAnsiTheme="majorBidi" w:cstheme="majorBidi"/>
          <w:snapToGrid w:val="0"/>
          <w:sz w:val="26"/>
          <w:szCs w:val="26"/>
          <w:rtl/>
        </w:rPr>
        <w:t>.</w:t>
      </w:r>
    </w:p>
    <w:p w14:paraId="1D417C0B" w14:textId="14150FC2" w:rsidR="005F37E3" w:rsidRPr="003F77BA" w:rsidRDefault="005F37E3" w:rsidP="005F37E3">
      <w:pPr>
        <w:bidi w:val="0"/>
        <w:jc w:val="both"/>
        <w:rPr>
          <w:rFonts w:asciiTheme="majorBidi" w:hAnsiTheme="majorBidi" w:cstheme="majorBidi"/>
          <w:b/>
          <w:bCs/>
          <w:sz w:val="16"/>
          <w:szCs w:val="16"/>
          <w:rtl/>
        </w:rPr>
      </w:pPr>
    </w:p>
    <w:p w14:paraId="34CDED71" w14:textId="5E83D2FA" w:rsidR="005645DF" w:rsidRPr="003F77BA" w:rsidRDefault="005645DF" w:rsidP="005F37E3">
      <w:pPr>
        <w:bidi w:val="0"/>
        <w:jc w:val="both"/>
        <w:rPr>
          <w:rFonts w:asciiTheme="majorBidi" w:eastAsia="Calibri" w:hAnsiTheme="majorBidi" w:cstheme="majorBidi"/>
          <w:b/>
          <w:bCs/>
          <w:sz w:val="28"/>
          <w:szCs w:val="28"/>
          <w:lang w:eastAsia="en-US"/>
        </w:rPr>
      </w:pPr>
      <w:r w:rsidRPr="003F77BA">
        <w:rPr>
          <w:rFonts w:asciiTheme="majorBidi" w:hAnsiTheme="majorBidi" w:cstheme="majorBidi"/>
          <w:b/>
          <w:bCs/>
          <w:sz w:val="28"/>
          <w:szCs w:val="28"/>
        </w:rPr>
        <w:t>A Significant Increase in Smoking Rates and a Large Gap between the West Bank and Gaza Strip</w:t>
      </w:r>
      <w:r w:rsidRPr="003F77BA">
        <w:rPr>
          <w:rFonts w:asciiTheme="majorBidi" w:eastAsia="Calibri" w:hAnsiTheme="majorBidi" w:cstheme="majorBidi"/>
          <w:b/>
          <w:bCs/>
          <w:sz w:val="28"/>
          <w:szCs w:val="28"/>
          <w:rtl/>
          <w:lang w:eastAsia="en-US"/>
        </w:rPr>
        <w:t xml:space="preserve"> </w:t>
      </w:r>
    </w:p>
    <w:p w14:paraId="5B1AD959" w14:textId="5FD517B5" w:rsidR="005645DF" w:rsidRPr="003F77BA" w:rsidRDefault="005645DF" w:rsidP="00453297">
      <w:pPr>
        <w:shd w:val="clear" w:color="auto" w:fill="FFFFFF"/>
        <w:bidi w:val="0"/>
        <w:jc w:val="both"/>
        <w:rPr>
          <w:rFonts w:asciiTheme="majorBidi" w:eastAsia="Calibri" w:hAnsiTheme="majorBidi" w:cstheme="majorBidi"/>
          <w:sz w:val="26"/>
          <w:szCs w:val="26"/>
          <w:lang w:eastAsia="en-US"/>
        </w:rPr>
      </w:pPr>
      <w:r w:rsidRPr="003F77BA">
        <w:rPr>
          <w:rFonts w:asciiTheme="majorBidi" w:hAnsiTheme="majorBidi" w:cstheme="majorBidi"/>
          <w:sz w:val="26"/>
          <w:szCs w:val="26"/>
          <w:lang w:eastAsia="en-US"/>
        </w:rPr>
        <w:t xml:space="preserve">Results of the </w:t>
      </w:r>
      <w:r w:rsidRPr="003F77BA">
        <w:rPr>
          <w:rFonts w:asciiTheme="majorBidi" w:eastAsia="Calibri" w:hAnsiTheme="majorBidi" w:cstheme="majorBidi"/>
          <w:sz w:val="26"/>
          <w:szCs w:val="26"/>
          <w:lang w:eastAsia="en-US"/>
        </w:rPr>
        <w:t>Smoking and Tobacco Consumption Survey, 2021</w:t>
      </w:r>
      <w:r w:rsidRPr="003F77BA">
        <w:rPr>
          <w:rFonts w:asciiTheme="majorBidi" w:hAnsiTheme="majorBidi" w:cstheme="majorBidi"/>
          <w:sz w:val="26"/>
          <w:szCs w:val="26"/>
          <w:lang w:eastAsia="en-US"/>
        </w:rPr>
        <w:t xml:space="preserve"> showed that </w:t>
      </w:r>
      <w:r w:rsidRPr="003F77BA">
        <w:rPr>
          <w:rFonts w:asciiTheme="majorBidi" w:eastAsia="Calibri" w:hAnsiTheme="majorBidi" w:cstheme="majorBidi"/>
          <w:sz w:val="26"/>
          <w:szCs w:val="26"/>
          <w:lang w:eastAsia="en-US"/>
        </w:rPr>
        <w:t xml:space="preserve">the percentage of individuals aged 18 years and above who smoke one or more products of smoked tobacco (manufactured cigarettes, hand-rolled cigarettes, cigars, and water- pipes) in Palestine increased to about 31% of the total individuals aged 18 years and above in 2021, while this percentage was about 23% </w:t>
      </w:r>
      <w:r w:rsidR="00453297" w:rsidRPr="003F77BA">
        <w:rPr>
          <w:rFonts w:asciiTheme="majorBidi" w:eastAsia="Calibri" w:hAnsiTheme="majorBidi" w:cstheme="majorBidi"/>
          <w:sz w:val="26"/>
          <w:szCs w:val="26"/>
          <w:lang w:eastAsia="en-US"/>
        </w:rPr>
        <w:t xml:space="preserve">in </w:t>
      </w:r>
      <w:r w:rsidRPr="003F77BA">
        <w:rPr>
          <w:rFonts w:asciiTheme="majorBidi" w:eastAsia="Calibri" w:hAnsiTheme="majorBidi" w:cstheme="majorBidi"/>
          <w:sz w:val="26"/>
          <w:szCs w:val="26"/>
          <w:lang w:eastAsia="en-US"/>
        </w:rPr>
        <w:t>2010. At the region’s level, the results of the survey indicated a large gap between the West Bank and Gaza Strip. There’s a clear increase in the prevalence of smoking among individuals aged 18 and above in the West Bank,  as it reached about 40% in the West Bank compared to 17% in Gaza Strip in 2021.</w:t>
      </w:r>
    </w:p>
    <w:p w14:paraId="3011083F" w14:textId="77777777" w:rsidR="005645DF" w:rsidRPr="003F77BA" w:rsidRDefault="005645DF" w:rsidP="005645DF">
      <w:pPr>
        <w:shd w:val="clear" w:color="auto" w:fill="FFFFFF"/>
        <w:bidi w:val="0"/>
        <w:jc w:val="both"/>
        <w:rPr>
          <w:rFonts w:asciiTheme="majorBidi" w:eastAsia="Calibri" w:hAnsiTheme="majorBidi" w:cstheme="majorBidi"/>
          <w:sz w:val="16"/>
          <w:szCs w:val="16"/>
          <w:lang w:eastAsia="en-US"/>
        </w:rPr>
      </w:pPr>
    </w:p>
    <w:p w14:paraId="08884EA0" w14:textId="77777777" w:rsidR="003F77BA" w:rsidRDefault="005645DF" w:rsidP="003F77BA">
      <w:pPr>
        <w:shd w:val="clear" w:color="auto" w:fill="FFFFFF"/>
        <w:bidi w:val="0"/>
        <w:jc w:val="center"/>
        <w:rPr>
          <w:rFonts w:asciiTheme="majorBidi" w:eastAsia="Calibri" w:hAnsiTheme="majorBidi" w:cstheme="majorBidi"/>
          <w:b/>
          <w:bCs/>
          <w:sz w:val="26"/>
          <w:szCs w:val="26"/>
          <w:lang w:eastAsia="en-US"/>
        </w:rPr>
      </w:pPr>
      <w:r w:rsidRPr="003F77BA">
        <w:rPr>
          <w:rFonts w:asciiTheme="majorBidi" w:eastAsia="Calibri" w:hAnsiTheme="majorBidi" w:cstheme="majorBidi"/>
          <w:b/>
          <w:bCs/>
          <w:sz w:val="26"/>
          <w:szCs w:val="26"/>
          <w:lang w:eastAsia="en-US"/>
        </w:rPr>
        <w:t>Percentage of Smoking among Individuals Aged (18 Years and Above)</w:t>
      </w:r>
    </w:p>
    <w:p w14:paraId="6D3D4AA9" w14:textId="39478A10" w:rsidR="005645DF" w:rsidRPr="003F77BA" w:rsidRDefault="005645DF" w:rsidP="003F77BA">
      <w:pPr>
        <w:shd w:val="clear" w:color="auto" w:fill="FFFFFF"/>
        <w:bidi w:val="0"/>
        <w:jc w:val="center"/>
        <w:rPr>
          <w:rFonts w:asciiTheme="majorBidi" w:eastAsia="Calibri" w:hAnsiTheme="majorBidi" w:cstheme="majorBidi"/>
          <w:b/>
          <w:bCs/>
          <w:sz w:val="26"/>
          <w:szCs w:val="26"/>
          <w:lang w:eastAsia="en-US"/>
        </w:rPr>
      </w:pPr>
      <w:r w:rsidRPr="003F77BA">
        <w:rPr>
          <w:rFonts w:asciiTheme="majorBidi" w:eastAsia="Calibri" w:hAnsiTheme="majorBidi" w:cstheme="majorBidi"/>
          <w:b/>
          <w:bCs/>
          <w:sz w:val="26"/>
          <w:szCs w:val="26"/>
          <w:lang w:eastAsia="en-US"/>
        </w:rPr>
        <w:t xml:space="preserve"> </w:t>
      </w:r>
      <w:proofErr w:type="gramStart"/>
      <w:r w:rsidRPr="003F77BA">
        <w:rPr>
          <w:rFonts w:asciiTheme="majorBidi" w:eastAsia="Calibri" w:hAnsiTheme="majorBidi" w:cstheme="majorBidi"/>
          <w:b/>
          <w:bCs/>
          <w:sz w:val="26"/>
          <w:szCs w:val="26"/>
          <w:lang w:eastAsia="en-US"/>
        </w:rPr>
        <w:t>by</w:t>
      </w:r>
      <w:proofErr w:type="gramEnd"/>
      <w:r w:rsidRPr="003F77BA">
        <w:rPr>
          <w:rFonts w:asciiTheme="majorBidi" w:eastAsia="Calibri" w:hAnsiTheme="majorBidi" w:cstheme="majorBidi"/>
          <w:b/>
          <w:bCs/>
          <w:sz w:val="26"/>
          <w:szCs w:val="26"/>
          <w:lang w:eastAsia="en-US"/>
        </w:rPr>
        <w:t xml:space="preserve"> Region and Sex for the Years 2010, 2021</w:t>
      </w:r>
    </w:p>
    <w:tbl>
      <w:tblPr>
        <w:tblStyle w:val="LightShading-Accent41"/>
        <w:bidiVisu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74"/>
        <w:gridCol w:w="844"/>
        <w:gridCol w:w="716"/>
        <w:gridCol w:w="902"/>
        <w:gridCol w:w="799"/>
        <w:gridCol w:w="2265"/>
      </w:tblGrid>
      <w:tr w:rsidR="005F6FC9" w:rsidRPr="003F77BA" w14:paraId="212B4C71" w14:textId="77777777" w:rsidTr="003F77BA">
        <w:trPr>
          <w:cnfStyle w:val="100000000000" w:firstRow="1" w:lastRow="0" w:firstColumn="0" w:lastColumn="0" w:oddVBand="0" w:evenVBand="0" w:oddHBand="0"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1589" w:type="dxa"/>
            <w:gridSpan w:val="2"/>
            <w:tcBorders>
              <w:top w:val="none" w:sz="0" w:space="0" w:color="auto"/>
              <w:left w:val="none" w:sz="0" w:space="0" w:color="auto"/>
              <w:bottom w:val="none" w:sz="0" w:space="0" w:color="auto"/>
              <w:right w:val="none" w:sz="0" w:space="0" w:color="auto"/>
            </w:tcBorders>
            <w:vAlign w:val="center"/>
          </w:tcPr>
          <w:p w14:paraId="3A9D8790" w14:textId="16A34736" w:rsidR="005F6FC9" w:rsidRPr="003F77BA" w:rsidRDefault="005F6FC9" w:rsidP="005F6FC9">
            <w:pPr>
              <w:jc w:val="center"/>
              <w:rPr>
                <w:rFonts w:asciiTheme="majorBidi" w:hAnsiTheme="majorBidi" w:cstheme="majorBidi"/>
                <w:lang w:eastAsia="en-US"/>
              </w:rPr>
            </w:pPr>
            <w:r w:rsidRPr="003F77BA">
              <w:rPr>
                <w:rFonts w:asciiTheme="majorBidi" w:hAnsiTheme="majorBidi" w:cstheme="majorBidi"/>
                <w:lang w:eastAsia="en-US"/>
              </w:rPr>
              <w:t>Females</w:t>
            </w:r>
          </w:p>
        </w:tc>
        <w:tc>
          <w:tcPr>
            <w:tcW w:w="1560" w:type="dxa"/>
            <w:gridSpan w:val="2"/>
            <w:tcBorders>
              <w:top w:val="none" w:sz="0" w:space="0" w:color="auto"/>
              <w:left w:val="none" w:sz="0" w:space="0" w:color="auto"/>
              <w:bottom w:val="none" w:sz="0" w:space="0" w:color="auto"/>
              <w:right w:val="none" w:sz="0" w:space="0" w:color="auto"/>
            </w:tcBorders>
            <w:vAlign w:val="center"/>
            <w:hideMark/>
          </w:tcPr>
          <w:p w14:paraId="48666598" w14:textId="77777777" w:rsidR="005F6FC9" w:rsidRPr="003F77BA" w:rsidRDefault="005F6FC9" w:rsidP="005F6FC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tl/>
                <w:lang w:eastAsia="en-US"/>
              </w:rPr>
            </w:pPr>
            <w:r w:rsidRPr="003F77BA">
              <w:rPr>
                <w:rFonts w:asciiTheme="majorBidi" w:hAnsiTheme="majorBidi" w:cstheme="majorBidi"/>
                <w:lang w:eastAsia="en-US"/>
              </w:rPr>
              <w:t>Males</w:t>
            </w:r>
          </w:p>
        </w:tc>
        <w:tc>
          <w:tcPr>
            <w:tcW w:w="1701" w:type="dxa"/>
            <w:gridSpan w:val="2"/>
            <w:tcBorders>
              <w:top w:val="none" w:sz="0" w:space="0" w:color="auto"/>
              <w:left w:val="none" w:sz="0" w:space="0" w:color="auto"/>
              <w:bottom w:val="none" w:sz="0" w:space="0" w:color="auto"/>
              <w:right w:val="none" w:sz="0" w:space="0" w:color="auto"/>
            </w:tcBorders>
            <w:vAlign w:val="center"/>
            <w:hideMark/>
          </w:tcPr>
          <w:p w14:paraId="1B546099" w14:textId="29A652C8" w:rsidR="005F6FC9" w:rsidRPr="003F77BA" w:rsidRDefault="005F6FC9" w:rsidP="005F6FC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tl/>
                <w:lang w:eastAsia="en-US"/>
              </w:rPr>
            </w:pPr>
            <w:r w:rsidRPr="003F77BA">
              <w:rPr>
                <w:rFonts w:asciiTheme="majorBidi" w:hAnsiTheme="majorBidi" w:cstheme="majorBidi"/>
                <w:lang w:eastAsia="en-US"/>
              </w:rPr>
              <w:t>Both sexes</w:t>
            </w:r>
          </w:p>
        </w:tc>
        <w:tc>
          <w:tcPr>
            <w:tcW w:w="2265" w:type="dxa"/>
            <w:tcBorders>
              <w:top w:val="none" w:sz="0" w:space="0" w:color="auto"/>
              <w:left w:val="none" w:sz="0" w:space="0" w:color="auto"/>
              <w:bottom w:val="none" w:sz="0" w:space="0" w:color="auto"/>
              <w:right w:val="none" w:sz="0" w:space="0" w:color="auto"/>
            </w:tcBorders>
            <w:vAlign w:val="center"/>
            <w:hideMark/>
          </w:tcPr>
          <w:p w14:paraId="0F0A8209" w14:textId="77777777" w:rsidR="005F6FC9" w:rsidRPr="003F77BA" w:rsidRDefault="005F6FC9" w:rsidP="007A221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eastAsia="en-US"/>
              </w:rPr>
            </w:pPr>
            <w:r w:rsidRPr="003F77BA">
              <w:rPr>
                <w:rFonts w:asciiTheme="majorBidi" w:hAnsiTheme="majorBidi" w:cstheme="majorBidi"/>
                <w:lang w:eastAsia="en-US"/>
              </w:rPr>
              <w:t>Region</w:t>
            </w:r>
          </w:p>
        </w:tc>
      </w:tr>
      <w:tr w:rsidR="005F6FC9" w:rsidRPr="003F77BA" w14:paraId="42F1830D" w14:textId="77777777" w:rsidTr="003F77BA">
        <w:trPr>
          <w:cnfStyle w:val="000000100000" w:firstRow="0" w:lastRow="0" w:firstColumn="0" w:lastColumn="0" w:oddVBand="0" w:evenVBand="0" w:oddHBand="1" w:evenHBand="0" w:firstRowFirstColumn="0" w:firstRowLastColumn="0" w:lastRowFirstColumn="0" w:lastRowLastColumn="0"/>
          <w:trHeight w:val="501"/>
          <w:jc w:val="center"/>
        </w:trPr>
        <w:tc>
          <w:tcPr>
            <w:cnfStyle w:val="001000000000" w:firstRow="0" w:lastRow="0" w:firstColumn="1" w:lastColumn="0" w:oddVBand="0" w:evenVBand="0" w:oddHBand="0" w:evenHBand="0" w:firstRowFirstColumn="0" w:firstRowLastColumn="0" w:lastRowFirstColumn="0" w:lastRowLastColumn="0"/>
            <w:tcW w:w="815" w:type="dxa"/>
            <w:tcBorders>
              <w:left w:val="none" w:sz="0" w:space="0" w:color="auto"/>
              <w:right w:val="none" w:sz="0" w:space="0" w:color="auto"/>
            </w:tcBorders>
            <w:vAlign w:val="center"/>
            <w:hideMark/>
          </w:tcPr>
          <w:p w14:paraId="1520553C" w14:textId="77777777" w:rsidR="005F6FC9" w:rsidRPr="003F77BA" w:rsidRDefault="005F6FC9" w:rsidP="005F6FC9">
            <w:pPr>
              <w:jc w:val="both"/>
              <w:rPr>
                <w:rFonts w:asciiTheme="majorBidi" w:hAnsiTheme="majorBidi" w:cstheme="majorBidi"/>
                <w:lang w:eastAsia="en-US"/>
              </w:rPr>
            </w:pPr>
            <w:r w:rsidRPr="003F77BA">
              <w:rPr>
                <w:rFonts w:asciiTheme="majorBidi" w:hAnsiTheme="majorBidi" w:cstheme="majorBidi"/>
                <w:rtl/>
                <w:lang w:eastAsia="en-US"/>
              </w:rPr>
              <w:t>2021</w:t>
            </w:r>
          </w:p>
        </w:tc>
        <w:tc>
          <w:tcPr>
            <w:tcW w:w="774" w:type="dxa"/>
            <w:tcBorders>
              <w:left w:val="none" w:sz="0" w:space="0" w:color="auto"/>
              <w:right w:val="none" w:sz="0" w:space="0" w:color="auto"/>
            </w:tcBorders>
            <w:vAlign w:val="center"/>
            <w:hideMark/>
          </w:tcPr>
          <w:p w14:paraId="14728B88" w14:textId="77777777" w:rsidR="005F6FC9" w:rsidRPr="003F77BA" w:rsidRDefault="005F6FC9" w:rsidP="005F6FC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eastAsia="en-US"/>
              </w:rPr>
            </w:pPr>
            <w:r w:rsidRPr="003F77BA">
              <w:rPr>
                <w:rFonts w:asciiTheme="majorBidi" w:hAnsiTheme="majorBidi" w:cstheme="majorBidi"/>
                <w:rtl/>
                <w:lang w:eastAsia="en-US"/>
              </w:rPr>
              <w:t>2010</w:t>
            </w:r>
          </w:p>
        </w:tc>
        <w:tc>
          <w:tcPr>
            <w:tcW w:w="844" w:type="dxa"/>
            <w:tcBorders>
              <w:left w:val="none" w:sz="0" w:space="0" w:color="auto"/>
              <w:right w:val="none" w:sz="0" w:space="0" w:color="auto"/>
            </w:tcBorders>
            <w:vAlign w:val="center"/>
            <w:hideMark/>
          </w:tcPr>
          <w:p w14:paraId="095FA4BF" w14:textId="77777777" w:rsidR="005F6FC9" w:rsidRPr="003F77BA" w:rsidRDefault="005F6FC9" w:rsidP="005F6FC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eastAsia="en-US"/>
              </w:rPr>
            </w:pPr>
            <w:r w:rsidRPr="003F77BA">
              <w:rPr>
                <w:rFonts w:asciiTheme="majorBidi" w:hAnsiTheme="majorBidi" w:cstheme="majorBidi"/>
                <w:lang w:eastAsia="en-US"/>
              </w:rPr>
              <w:t>2021</w:t>
            </w:r>
          </w:p>
        </w:tc>
        <w:tc>
          <w:tcPr>
            <w:tcW w:w="716" w:type="dxa"/>
            <w:tcBorders>
              <w:left w:val="none" w:sz="0" w:space="0" w:color="auto"/>
              <w:right w:val="none" w:sz="0" w:space="0" w:color="auto"/>
            </w:tcBorders>
            <w:vAlign w:val="center"/>
            <w:hideMark/>
          </w:tcPr>
          <w:p w14:paraId="353FD9AD" w14:textId="77777777" w:rsidR="005F6FC9" w:rsidRPr="003F77BA" w:rsidRDefault="005F6FC9" w:rsidP="005F6FC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eastAsia="en-US"/>
              </w:rPr>
            </w:pPr>
            <w:r w:rsidRPr="003F77BA">
              <w:rPr>
                <w:rFonts w:asciiTheme="majorBidi" w:hAnsiTheme="majorBidi" w:cstheme="majorBidi"/>
                <w:lang w:eastAsia="en-US"/>
              </w:rPr>
              <w:t>2010</w:t>
            </w:r>
          </w:p>
        </w:tc>
        <w:tc>
          <w:tcPr>
            <w:tcW w:w="902" w:type="dxa"/>
            <w:tcBorders>
              <w:left w:val="none" w:sz="0" w:space="0" w:color="auto"/>
              <w:right w:val="none" w:sz="0" w:space="0" w:color="auto"/>
            </w:tcBorders>
            <w:vAlign w:val="center"/>
            <w:hideMark/>
          </w:tcPr>
          <w:p w14:paraId="6D8E94B7" w14:textId="77777777" w:rsidR="005F6FC9" w:rsidRPr="003F77BA" w:rsidRDefault="005F6FC9" w:rsidP="005F6FC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eastAsia="en-US"/>
              </w:rPr>
            </w:pPr>
            <w:r w:rsidRPr="003F77BA">
              <w:rPr>
                <w:rFonts w:asciiTheme="majorBidi" w:hAnsiTheme="majorBidi" w:cstheme="majorBidi"/>
                <w:lang w:eastAsia="en-US"/>
              </w:rPr>
              <w:t>2021</w:t>
            </w:r>
          </w:p>
        </w:tc>
        <w:tc>
          <w:tcPr>
            <w:tcW w:w="799" w:type="dxa"/>
            <w:tcBorders>
              <w:left w:val="none" w:sz="0" w:space="0" w:color="auto"/>
              <w:right w:val="none" w:sz="0" w:space="0" w:color="auto"/>
            </w:tcBorders>
            <w:vAlign w:val="center"/>
            <w:hideMark/>
          </w:tcPr>
          <w:p w14:paraId="11EC2CA4" w14:textId="77777777" w:rsidR="005F6FC9" w:rsidRPr="003F77BA" w:rsidRDefault="005F6FC9" w:rsidP="005F6FC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eastAsia="en-US"/>
              </w:rPr>
            </w:pPr>
            <w:r w:rsidRPr="003F77BA">
              <w:rPr>
                <w:rFonts w:asciiTheme="majorBidi" w:hAnsiTheme="majorBidi" w:cstheme="majorBidi"/>
                <w:lang w:eastAsia="en-US"/>
              </w:rPr>
              <w:t>2010</w:t>
            </w:r>
          </w:p>
        </w:tc>
        <w:tc>
          <w:tcPr>
            <w:tcW w:w="2265" w:type="dxa"/>
            <w:tcBorders>
              <w:left w:val="none" w:sz="0" w:space="0" w:color="auto"/>
              <w:right w:val="none" w:sz="0" w:space="0" w:color="auto"/>
            </w:tcBorders>
          </w:tcPr>
          <w:p w14:paraId="2C79424E" w14:textId="77777777" w:rsidR="005F6FC9" w:rsidRPr="003F77BA" w:rsidRDefault="005F6FC9" w:rsidP="005F6FC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eastAsia="en-US"/>
              </w:rPr>
            </w:pPr>
          </w:p>
        </w:tc>
      </w:tr>
      <w:tr w:rsidR="005F6FC9" w:rsidRPr="003F77BA" w14:paraId="48A865C2" w14:textId="77777777" w:rsidTr="003F77BA">
        <w:trPr>
          <w:trHeight w:hRule="exact" w:val="468"/>
          <w:jc w:val="center"/>
        </w:trPr>
        <w:tc>
          <w:tcPr>
            <w:cnfStyle w:val="001000000000" w:firstRow="0" w:lastRow="0" w:firstColumn="1" w:lastColumn="0" w:oddVBand="0" w:evenVBand="0" w:oddHBand="0" w:evenHBand="0" w:firstRowFirstColumn="0" w:firstRowLastColumn="0" w:lastRowFirstColumn="0" w:lastRowLastColumn="0"/>
            <w:tcW w:w="815" w:type="dxa"/>
            <w:vAlign w:val="center"/>
            <w:hideMark/>
          </w:tcPr>
          <w:p w14:paraId="463D65F6" w14:textId="5DC7AC71" w:rsidR="005F6FC9" w:rsidRPr="003F77BA" w:rsidRDefault="005F6FC9" w:rsidP="005F6FC9">
            <w:pPr>
              <w:spacing w:line="276" w:lineRule="auto"/>
              <w:jc w:val="both"/>
              <w:rPr>
                <w:rFonts w:asciiTheme="majorBidi" w:hAnsiTheme="majorBidi" w:cstheme="majorBidi"/>
                <w:lang w:eastAsia="en-US"/>
              </w:rPr>
            </w:pPr>
            <w:r w:rsidRPr="003F77BA">
              <w:rPr>
                <w:rFonts w:asciiTheme="majorBidi" w:hAnsiTheme="majorBidi" w:cstheme="majorBidi"/>
                <w:lang w:eastAsia="en-US"/>
              </w:rPr>
              <w:t>7.7</w:t>
            </w:r>
          </w:p>
        </w:tc>
        <w:tc>
          <w:tcPr>
            <w:tcW w:w="774" w:type="dxa"/>
            <w:vAlign w:val="center"/>
            <w:hideMark/>
          </w:tcPr>
          <w:p w14:paraId="3C7D58D9" w14:textId="45271A50" w:rsidR="005F6FC9" w:rsidRPr="003F77BA" w:rsidRDefault="005F6FC9" w:rsidP="005F6FC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eastAsia="en-US"/>
              </w:rPr>
            </w:pPr>
            <w:r w:rsidRPr="003F77BA">
              <w:rPr>
                <w:rFonts w:asciiTheme="majorBidi" w:hAnsiTheme="majorBidi" w:cstheme="majorBidi"/>
                <w:b/>
                <w:bCs/>
                <w:lang w:eastAsia="en-US"/>
              </w:rPr>
              <w:t>2.3</w:t>
            </w:r>
          </w:p>
        </w:tc>
        <w:tc>
          <w:tcPr>
            <w:tcW w:w="844" w:type="dxa"/>
            <w:vAlign w:val="center"/>
            <w:hideMark/>
          </w:tcPr>
          <w:p w14:paraId="2FC64570" w14:textId="77777777" w:rsidR="005F6FC9" w:rsidRPr="003F77BA" w:rsidRDefault="005F6FC9" w:rsidP="005F6FC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eastAsia="en-US"/>
              </w:rPr>
            </w:pPr>
            <w:r w:rsidRPr="003F77BA">
              <w:rPr>
                <w:rFonts w:asciiTheme="majorBidi" w:hAnsiTheme="majorBidi" w:cstheme="majorBidi"/>
                <w:b/>
                <w:bCs/>
                <w:rtl/>
                <w:lang w:eastAsia="en-US"/>
              </w:rPr>
              <w:t>54.4</w:t>
            </w:r>
          </w:p>
        </w:tc>
        <w:tc>
          <w:tcPr>
            <w:tcW w:w="716" w:type="dxa"/>
            <w:vAlign w:val="center"/>
            <w:hideMark/>
          </w:tcPr>
          <w:p w14:paraId="6462B3E6" w14:textId="77777777" w:rsidR="005F6FC9" w:rsidRPr="003F77BA" w:rsidRDefault="005F6FC9" w:rsidP="005F6FC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3F77BA">
              <w:rPr>
                <w:rFonts w:asciiTheme="majorBidi" w:hAnsiTheme="majorBidi" w:cstheme="majorBidi"/>
                <w:b/>
                <w:bCs/>
                <w:rtl/>
              </w:rPr>
              <w:t>41.9</w:t>
            </w:r>
          </w:p>
        </w:tc>
        <w:tc>
          <w:tcPr>
            <w:tcW w:w="902" w:type="dxa"/>
            <w:vAlign w:val="center"/>
            <w:hideMark/>
          </w:tcPr>
          <w:p w14:paraId="399C7312" w14:textId="04E1585D" w:rsidR="005F6FC9" w:rsidRPr="003F77BA" w:rsidRDefault="005F6FC9" w:rsidP="005F6FC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3F77BA">
              <w:rPr>
                <w:rFonts w:asciiTheme="majorBidi" w:hAnsiTheme="majorBidi" w:cstheme="majorBidi"/>
                <w:b/>
                <w:bCs/>
              </w:rPr>
              <w:t>31.3</w:t>
            </w:r>
          </w:p>
        </w:tc>
        <w:tc>
          <w:tcPr>
            <w:tcW w:w="799" w:type="dxa"/>
            <w:vAlign w:val="center"/>
            <w:hideMark/>
          </w:tcPr>
          <w:p w14:paraId="41F73E53" w14:textId="40414904" w:rsidR="005F6FC9" w:rsidRPr="003F77BA" w:rsidRDefault="005F6FC9" w:rsidP="005F6FC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3F77BA">
              <w:rPr>
                <w:rFonts w:asciiTheme="majorBidi" w:hAnsiTheme="majorBidi" w:cstheme="majorBidi"/>
                <w:b/>
                <w:bCs/>
              </w:rPr>
              <w:t>22.5</w:t>
            </w:r>
          </w:p>
        </w:tc>
        <w:tc>
          <w:tcPr>
            <w:tcW w:w="2265" w:type="dxa"/>
            <w:hideMark/>
          </w:tcPr>
          <w:p w14:paraId="451EC640" w14:textId="77777777" w:rsidR="005F6FC9" w:rsidRPr="003F77BA" w:rsidRDefault="005F6FC9" w:rsidP="005F6FC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eastAsia="en-US"/>
              </w:rPr>
            </w:pPr>
            <w:r w:rsidRPr="003F77BA">
              <w:rPr>
                <w:rFonts w:asciiTheme="majorBidi" w:hAnsiTheme="majorBidi" w:cstheme="majorBidi"/>
                <w:b/>
                <w:bCs/>
                <w:lang w:eastAsia="en-US"/>
              </w:rPr>
              <w:t>Palestine</w:t>
            </w:r>
          </w:p>
        </w:tc>
      </w:tr>
      <w:tr w:rsidR="005F6FC9" w:rsidRPr="003F77BA" w14:paraId="17E23B15" w14:textId="77777777" w:rsidTr="003F77BA">
        <w:trPr>
          <w:cnfStyle w:val="000000100000" w:firstRow="0" w:lastRow="0" w:firstColumn="0" w:lastColumn="0" w:oddVBand="0" w:evenVBand="0" w:oddHBand="1" w:evenHBand="0" w:firstRowFirstColumn="0" w:firstRowLastColumn="0" w:lastRowFirstColumn="0" w:lastRowLastColumn="0"/>
          <w:trHeight w:hRule="exact" w:val="468"/>
          <w:jc w:val="center"/>
        </w:trPr>
        <w:tc>
          <w:tcPr>
            <w:cnfStyle w:val="001000000000" w:firstRow="0" w:lastRow="0" w:firstColumn="1" w:lastColumn="0" w:oddVBand="0" w:evenVBand="0" w:oddHBand="0" w:evenHBand="0" w:firstRowFirstColumn="0" w:firstRowLastColumn="0" w:lastRowFirstColumn="0" w:lastRowLastColumn="0"/>
            <w:tcW w:w="815" w:type="dxa"/>
            <w:tcBorders>
              <w:left w:val="none" w:sz="0" w:space="0" w:color="auto"/>
              <w:right w:val="none" w:sz="0" w:space="0" w:color="auto"/>
            </w:tcBorders>
            <w:vAlign w:val="center"/>
            <w:hideMark/>
          </w:tcPr>
          <w:p w14:paraId="7F549B84" w14:textId="32BEF903" w:rsidR="005F6FC9" w:rsidRPr="003F77BA" w:rsidRDefault="005F6FC9" w:rsidP="005F6FC9">
            <w:pPr>
              <w:spacing w:line="276" w:lineRule="auto"/>
              <w:jc w:val="both"/>
              <w:rPr>
                <w:rFonts w:asciiTheme="majorBidi" w:hAnsiTheme="majorBidi" w:cstheme="majorBidi"/>
                <w:lang w:eastAsia="en-US"/>
              </w:rPr>
            </w:pPr>
            <w:r w:rsidRPr="003F77BA">
              <w:rPr>
                <w:rFonts w:asciiTheme="majorBidi" w:hAnsiTheme="majorBidi" w:cstheme="majorBidi"/>
                <w:lang w:eastAsia="en-US"/>
              </w:rPr>
              <w:t>12.2</w:t>
            </w:r>
          </w:p>
        </w:tc>
        <w:tc>
          <w:tcPr>
            <w:tcW w:w="774" w:type="dxa"/>
            <w:tcBorders>
              <w:left w:val="none" w:sz="0" w:space="0" w:color="auto"/>
              <w:right w:val="none" w:sz="0" w:space="0" w:color="auto"/>
            </w:tcBorders>
            <w:vAlign w:val="center"/>
            <w:hideMark/>
          </w:tcPr>
          <w:p w14:paraId="6BDF0133" w14:textId="060DADE3" w:rsidR="005F6FC9" w:rsidRPr="003F77BA" w:rsidRDefault="005F6FC9" w:rsidP="005F6FC9">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eastAsia="en-US"/>
              </w:rPr>
            </w:pPr>
            <w:r w:rsidRPr="003F77BA">
              <w:rPr>
                <w:rFonts w:asciiTheme="majorBidi" w:hAnsiTheme="majorBidi" w:cstheme="majorBidi"/>
                <w:b/>
                <w:bCs/>
                <w:lang w:eastAsia="en-US"/>
              </w:rPr>
              <w:t>3.5</w:t>
            </w:r>
          </w:p>
        </w:tc>
        <w:tc>
          <w:tcPr>
            <w:tcW w:w="844" w:type="dxa"/>
            <w:tcBorders>
              <w:left w:val="none" w:sz="0" w:space="0" w:color="auto"/>
              <w:right w:val="none" w:sz="0" w:space="0" w:color="auto"/>
            </w:tcBorders>
            <w:vAlign w:val="center"/>
            <w:hideMark/>
          </w:tcPr>
          <w:p w14:paraId="653DF13E" w14:textId="77777777" w:rsidR="005F6FC9" w:rsidRPr="003F77BA" w:rsidRDefault="005F6FC9" w:rsidP="005F6FC9">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eastAsia="en-US"/>
              </w:rPr>
            </w:pPr>
            <w:r w:rsidRPr="003F77BA">
              <w:rPr>
                <w:rFonts w:asciiTheme="majorBidi" w:hAnsiTheme="majorBidi" w:cstheme="majorBidi"/>
                <w:rtl/>
                <w:lang w:eastAsia="en-US"/>
              </w:rPr>
              <w:t>67.2</w:t>
            </w:r>
          </w:p>
        </w:tc>
        <w:tc>
          <w:tcPr>
            <w:tcW w:w="716" w:type="dxa"/>
            <w:tcBorders>
              <w:left w:val="none" w:sz="0" w:space="0" w:color="auto"/>
              <w:right w:val="none" w:sz="0" w:space="0" w:color="auto"/>
            </w:tcBorders>
            <w:vAlign w:val="center"/>
            <w:hideMark/>
          </w:tcPr>
          <w:p w14:paraId="145CD123" w14:textId="77777777" w:rsidR="005F6FC9" w:rsidRPr="003F77BA" w:rsidRDefault="005F6FC9" w:rsidP="005F6FC9">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F77BA">
              <w:rPr>
                <w:rFonts w:asciiTheme="majorBidi" w:hAnsiTheme="majorBidi" w:cstheme="majorBidi"/>
                <w:rtl/>
              </w:rPr>
              <w:t>49.5</w:t>
            </w:r>
          </w:p>
        </w:tc>
        <w:tc>
          <w:tcPr>
            <w:tcW w:w="902" w:type="dxa"/>
            <w:tcBorders>
              <w:left w:val="none" w:sz="0" w:space="0" w:color="auto"/>
              <w:right w:val="none" w:sz="0" w:space="0" w:color="auto"/>
            </w:tcBorders>
            <w:vAlign w:val="center"/>
            <w:hideMark/>
          </w:tcPr>
          <w:p w14:paraId="47CFD79F" w14:textId="0AAFECDF" w:rsidR="005F6FC9" w:rsidRPr="003F77BA" w:rsidRDefault="005F6FC9" w:rsidP="005F6FC9">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3F77BA">
              <w:rPr>
                <w:rFonts w:asciiTheme="majorBidi" w:hAnsiTheme="majorBidi" w:cstheme="majorBidi"/>
                <w:b/>
                <w:bCs/>
              </w:rPr>
              <w:t>40.1</w:t>
            </w:r>
          </w:p>
        </w:tc>
        <w:tc>
          <w:tcPr>
            <w:tcW w:w="799" w:type="dxa"/>
            <w:tcBorders>
              <w:left w:val="none" w:sz="0" w:space="0" w:color="auto"/>
              <w:right w:val="none" w:sz="0" w:space="0" w:color="auto"/>
            </w:tcBorders>
            <w:vAlign w:val="center"/>
            <w:hideMark/>
          </w:tcPr>
          <w:p w14:paraId="0B8FD98A" w14:textId="2C4943BD" w:rsidR="005F6FC9" w:rsidRPr="003F77BA" w:rsidRDefault="005F6FC9" w:rsidP="005F6FC9">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3F77BA">
              <w:rPr>
                <w:rFonts w:asciiTheme="majorBidi" w:hAnsiTheme="majorBidi" w:cstheme="majorBidi"/>
                <w:b/>
                <w:bCs/>
              </w:rPr>
              <w:t>25.5</w:t>
            </w:r>
          </w:p>
        </w:tc>
        <w:tc>
          <w:tcPr>
            <w:tcW w:w="2265" w:type="dxa"/>
            <w:tcBorders>
              <w:left w:val="none" w:sz="0" w:space="0" w:color="auto"/>
              <w:right w:val="none" w:sz="0" w:space="0" w:color="auto"/>
            </w:tcBorders>
            <w:hideMark/>
          </w:tcPr>
          <w:p w14:paraId="28993064" w14:textId="77777777" w:rsidR="005F6FC9" w:rsidRPr="003F77BA" w:rsidRDefault="005F6FC9" w:rsidP="005F6FC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eastAsia="en-US"/>
              </w:rPr>
            </w:pPr>
            <w:r w:rsidRPr="003F77BA">
              <w:rPr>
                <w:rFonts w:asciiTheme="majorBidi" w:hAnsiTheme="majorBidi" w:cstheme="majorBidi"/>
                <w:lang w:eastAsia="en-US"/>
              </w:rPr>
              <w:t>West Bank</w:t>
            </w:r>
          </w:p>
        </w:tc>
      </w:tr>
      <w:tr w:rsidR="005F6FC9" w:rsidRPr="003F77BA" w14:paraId="62CB5363" w14:textId="77777777" w:rsidTr="003F77BA">
        <w:trPr>
          <w:trHeight w:hRule="exact" w:val="468"/>
          <w:jc w:val="center"/>
        </w:trPr>
        <w:tc>
          <w:tcPr>
            <w:cnfStyle w:val="001000000000" w:firstRow="0" w:lastRow="0" w:firstColumn="1" w:lastColumn="0" w:oddVBand="0" w:evenVBand="0" w:oddHBand="0" w:evenHBand="0" w:firstRowFirstColumn="0" w:firstRowLastColumn="0" w:lastRowFirstColumn="0" w:lastRowLastColumn="0"/>
            <w:tcW w:w="815" w:type="dxa"/>
            <w:vAlign w:val="center"/>
            <w:hideMark/>
          </w:tcPr>
          <w:p w14:paraId="5D01446F" w14:textId="54BB36E3" w:rsidR="005F6FC9" w:rsidRPr="003F77BA" w:rsidRDefault="005F6FC9" w:rsidP="005F6FC9">
            <w:pPr>
              <w:spacing w:line="276" w:lineRule="auto"/>
              <w:jc w:val="both"/>
              <w:rPr>
                <w:rFonts w:asciiTheme="majorBidi" w:hAnsiTheme="majorBidi" w:cstheme="majorBidi"/>
                <w:lang w:eastAsia="en-US"/>
              </w:rPr>
            </w:pPr>
            <w:r w:rsidRPr="003F77BA">
              <w:rPr>
                <w:rFonts w:asciiTheme="majorBidi" w:hAnsiTheme="majorBidi" w:cstheme="majorBidi"/>
                <w:lang w:eastAsia="en-US"/>
              </w:rPr>
              <w:t>0.5</w:t>
            </w:r>
          </w:p>
        </w:tc>
        <w:tc>
          <w:tcPr>
            <w:tcW w:w="774" w:type="dxa"/>
            <w:vAlign w:val="center"/>
            <w:hideMark/>
          </w:tcPr>
          <w:p w14:paraId="14AB2BD2" w14:textId="7BA60333" w:rsidR="005F6FC9" w:rsidRPr="003F77BA" w:rsidRDefault="005F6FC9" w:rsidP="005F6FC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eastAsia="en-US"/>
              </w:rPr>
            </w:pPr>
            <w:r w:rsidRPr="003F77BA">
              <w:rPr>
                <w:rFonts w:asciiTheme="majorBidi" w:hAnsiTheme="majorBidi" w:cstheme="majorBidi"/>
                <w:b/>
                <w:bCs/>
                <w:lang w:eastAsia="en-US"/>
              </w:rPr>
              <w:t>0.2</w:t>
            </w:r>
          </w:p>
        </w:tc>
        <w:tc>
          <w:tcPr>
            <w:tcW w:w="844" w:type="dxa"/>
            <w:vAlign w:val="center"/>
            <w:hideMark/>
          </w:tcPr>
          <w:p w14:paraId="05BCD46F" w14:textId="77777777" w:rsidR="005F6FC9" w:rsidRPr="003F77BA" w:rsidRDefault="005F6FC9" w:rsidP="005F6FC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eastAsia="en-US"/>
              </w:rPr>
            </w:pPr>
            <w:r w:rsidRPr="003F77BA">
              <w:rPr>
                <w:rFonts w:asciiTheme="majorBidi" w:hAnsiTheme="majorBidi" w:cstheme="majorBidi"/>
                <w:rtl/>
                <w:lang w:eastAsia="en-US"/>
              </w:rPr>
              <w:t>33.3</w:t>
            </w:r>
          </w:p>
        </w:tc>
        <w:tc>
          <w:tcPr>
            <w:tcW w:w="716" w:type="dxa"/>
            <w:vAlign w:val="center"/>
            <w:hideMark/>
          </w:tcPr>
          <w:p w14:paraId="382E6231" w14:textId="77777777" w:rsidR="005F6FC9" w:rsidRPr="003F77BA" w:rsidRDefault="005F6FC9" w:rsidP="005F6FC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F77BA">
              <w:rPr>
                <w:rFonts w:asciiTheme="majorBidi" w:hAnsiTheme="majorBidi" w:cstheme="majorBidi"/>
                <w:rtl/>
              </w:rPr>
              <w:t>28.2</w:t>
            </w:r>
          </w:p>
        </w:tc>
        <w:tc>
          <w:tcPr>
            <w:tcW w:w="902" w:type="dxa"/>
            <w:vAlign w:val="center"/>
            <w:hideMark/>
          </w:tcPr>
          <w:p w14:paraId="6679D0A8" w14:textId="6DC4E0BD" w:rsidR="005F6FC9" w:rsidRPr="003F77BA" w:rsidRDefault="005F6FC9" w:rsidP="005F6FC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3F77BA">
              <w:rPr>
                <w:rFonts w:asciiTheme="majorBidi" w:hAnsiTheme="majorBidi" w:cstheme="majorBidi"/>
                <w:b/>
                <w:bCs/>
              </w:rPr>
              <w:t>17.0</w:t>
            </w:r>
          </w:p>
        </w:tc>
        <w:tc>
          <w:tcPr>
            <w:tcW w:w="799" w:type="dxa"/>
            <w:vAlign w:val="center"/>
            <w:hideMark/>
          </w:tcPr>
          <w:p w14:paraId="6A46BB95" w14:textId="43F49E2C" w:rsidR="005F6FC9" w:rsidRPr="003F77BA" w:rsidRDefault="005F6FC9" w:rsidP="005F6FC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3F77BA">
              <w:rPr>
                <w:rFonts w:asciiTheme="majorBidi" w:hAnsiTheme="majorBidi" w:cstheme="majorBidi"/>
                <w:b/>
                <w:bCs/>
              </w:rPr>
              <w:t>14.6</w:t>
            </w:r>
          </w:p>
        </w:tc>
        <w:tc>
          <w:tcPr>
            <w:tcW w:w="2265" w:type="dxa"/>
            <w:hideMark/>
          </w:tcPr>
          <w:p w14:paraId="36973B51" w14:textId="77777777" w:rsidR="005F6FC9" w:rsidRPr="003F77BA" w:rsidRDefault="005F6FC9" w:rsidP="005F6FC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eastAsia="en-US"/>
              </w:rPr>
            </w:pPr>
            <w:r w:rsidRPr="003F77BA">
              <w:rPr>
                <w:rFonts w:asciiTheme="majorBidi" w:hAnsiTheme="majorBidi" w:cstheme="majorBidi"/>
                <w:lang w:eastAsia="en-US"/>
              </w:rPr>
              <w:t>Gaza Strip</w:t>
            </w:r>
          </w:p>
        </w:tc>
      </w:tr>
    </w:tbl>
    <w:p w14:paraId="6366379E" w14:textId="77777777" w:rsidR="005645DF" w:rsidRPr="003F77BA" w:rsidRDefault="005645DF" w:rsidP="005645DF">
      <w:pPr>
        <w:tabs>
          <w:tab w:val="right" w:pos="8100"/>
        </w:tabs>
        <w:bidi w:val="0"/>
        <w:snapToGrid w:val="0"/>
        <w:ind w:left="1701" w:right="71" w:firstLine="426"/>
        <w:jc w:val="lowKashida"/>
        <w:rPr>
          <w:rFonts w:asciiTheme="majorBidi" w:hAnsiTheme="majorBidi" w:cstheme="majorBidi"/>
          <w:b/>
          <w:bCs/>
          <w:sz w:val="26"/>
          <w:szCs w:val="26"/>
        </w:rPr>
      </w:pPr>
    </w:p>
    <w:p w14:paraId="7D316D0C" w14:textId="13C3D559" w:rsidR="00F76CAB" w:rsidRPr="003F77BA" w:rsidRDefault="00F76CAB" w:rsidP="00F76CAB">
      <w:pPr>
        <w:bidi w:val="0"/>
        <w:jc w:val="both"/>
        <w:rPr>
          <w:rFonts w:asciiTheme="majorBidi" w:hAnsiTheme="majorBidi" w:cstheme="majorBidi"/>
          <w:b/>
          <w:bCs/>
          <w:sz w:val="26"/>
          <w:szCs w:val="26"/>
          <w:lang w:eastAsia="en-US"/>
        </w:rPr>
      </w:pPr>
    </w:p>
    <w:p w14:paraId="5DF3D2EF" w14:textId="673500D7" w:rsidR="00F76CAB" w:rsidRPr="003F77BA" w:rsidRDefault="00F76CAB" w:rsidP="00F76CAB">
      <w:pPr>
        <w:bidi w:val="0"/>
        <w:jc w:val="both"/>
        <w:rPr>
          <w:rFonts w:asciiTheme="majorBidi" w:hAnsiTheme="majorBidi" w:cstheme="majorBidi"/>
          <w:b/>
          <w:bCs/>
          <w:sz w:val="26"/>
          <w:szCs w:val="26"/>
          <w:rtl/>
          <w:lang w:eastAsia="en-US"/>
        </w:rPr>
      </w:pPr>
    </w:p>
    <w:p w14:paraId="1C2020B9" w14:textId="77777777" w:rsidR="003F77BA" w:rsidRDefault="003F77BA" w:rsidP="005645DF">
      <w:pPr>
        <w:bidi w:val="0"/>
        <w:jc w:val="both"/>
        <w:rPr>
          <w:rFonts w:asciiTheme="majorBidi" w:hAnsiTheme="majorBidi" w:cstheme="majorBidi"/>
          <w:b/>
          <w:bCs/>
          <w:sz w:val="28"/>
          <w:szCs w:val="28"/>
        </w:rPr>
      </w:pPr>
    </w:p>
    <w:p w14:paraId="7C2473EA" w14:textId="6FB8B5B7" w:rsidR="00131D93" w:rsidRPr="003F77BA" w:rsidRDefault="00FE706A" w:rsidP="003F77BA">
      <w:pPr>
        <w:bidi w:val="0"/>
        <w:jc w:val="both"/>
        <w:rPr>
          <w:rFonts w:asciiTheme="majorBidi" w:hAnsiTheme="majorBidi" w:cstheme="majorBidi"/>
          <w:b/>
          <w:bCs/>
          <w:sz w:val="28"/>
          <w:szCs w:val="28"/>
        </w:rPr>
      </w:pPr>
      <w:r w:rsidRPr="003F77BA">
        <w:rPr>
          <w:rFonts w:asciiTheme="majorBidi" w:hAnsiTheme="majorBidi" w:cstheme="majorBidi"/>
          <w:b/>
          <w:bCs/>
          <w:sz w:val="28"/>
          <w:szCs w:val="28"/>
        </w:rPr>
        <w:lastRenderedPageBreak/>
        <w:t>Unemployment, especially among graduates, is still the greatest challenge</w:t>
      </w:r>
    </w:p>
    <w:p w14:paraId="1D7FCD59" w14:textId="0DB21FD5" w:rsidR="002C12F1" w:rsidRPr="003F77BA" w:rsidRDefault="00FE706A" w:rsidP="003E096E">
      <w:pPr>
        <w:bidi w:val="0"/>
        <w:jc w:val="both"/>
        <w:rPr>
          <w:rFonts w:asciiTheme="majorBidi" w:hAnsiTheme="majorBidi" w:cstheme="majorBidi"/>
          <w:sz w:val="26"/>
          <w:szCs w:val="26"/>
          <w:lang w:eastAsia="en-US"/>
        </w:rPr>
      </w:pPr>
      <w:r w:rsidRPr="003F77BA">
        <w:rPr>
          <w:rFonts w:asciiTheme="majorBidi" w:hAnsiTheme="majorBidi" w:cstheme="majorBidi"/>
          <w:sz w:val="26"/>
          <w:szCs w:val="26"/>
          <w:lang w:eastAsia="en-US"/>
        </w:rPr>
        <w:t xml:space="preserve">Despite of the gradual </w:t>
      </w:r>
      <w:r w:rsidR="00121297" w:rsidRPr="003F77BA">
        <w:rPr>
          <w:rFonts w:asciiTheme="majorBidi" w:hAnsiTheme="majorBidi" w:cstheme="majorBidi"/>
          <w:sz w:val="26"/>
          <w:szCs w:val="26"/>
          <w:lang w:eastAsia="en-US"/>
        </w:rPr>
        <w:t>recovery</w:t>
      </w:r>
      <w:r w:rsidR="00121297" w:rsidRPr="003F77BA">
        <w:rPr>
          <w:rFonts w:asciiTheme="majorBidi" w:hAnsiTheme="majorBidi" w:cstheme="majorBidi"/>
          <w:sz w:val="26"/>
          <w:szCs w:val="26"/>
          <w:rtl/>
          <w:lang w:eastAsia="en-US"/>
        </w:rPr>
        <w:t xml:space="preserve"> </w:t>
      </w:r>
      <w:r w:rsidR="00C410A4" w:rsidRPr="003F77BA">
        <w:rPr>
          <w:rFonts w:asciiTheme="majorBidi" w:hAnsiTheme="majorBidi" w:cstheme="majorBidi"/>
          <w:sz w:val="26"/>
          <w:szCs w:val="26"/>
          <w:lang w:eastAsia="en-US"/>
        </w:rPr>
        <w:t xml:space="preserve">in the performance of the Palestinian </w:t>
      </w:r>
      <w:r w:rsidR="00453297" w:rsidRPr="003F77BA">
        <w:rPr>
          <w:rFonts w:asciiTheme="majorBidi" w:hAnsiTheme="majorBidi" w:cstheme="majorBidi"/>
          <w:sz w:val="26"/>
          <w:szCs w:val="26"/>
          <w:lang w:eastAsia="en-US"/>
        </w:rPr>
        <w:t xml:space="preserve">economy </w:t>
      </w:r>
      <w:r w:rsidR="00C410A4" w:rsidRPr="003F77BA">
        <w:rPr>
          <w:rFonts w:asciiTheme="majorBidi" w:hAnsiTheme="majorBidi" w:cstheme="majorBidi"/>
          <w:sz w:val="26"/>
          <w:szCs w:val="26"/>
          <w:lang w:eastAsia="en-US"/>
        </w:rPr>
        <w:t xml:space="preserve">during the first half of </w:t>
      </w:r>
      <w:r w:rsidR="009519DA" w:rsidRPr="003F77BA">
        <w:rPr>
          <w:rFonts w:asciiTheme="majorBidi" w:hAnsiTheme="majorBidi" w:cstheme="majorBidi"/>
          <w:sz w:val="26"/>
          <w:szCs w:val="26"/>
          <w:lang w:eastAsia="en-US"/>
        </w:rPr>
        <w:t>2022</w:t>
      </w:r>
      <w:r w:rsidR="00C410A4" w:rsidRPr="003F77BA">
        <w:rPr>
          <w:rFonts w:asciiTheme="majorBidi" w:hAnsiTheme="majorBidi" w:cstheme="majorBidi"/>
          <w:sz w:val="26"/>
          <w:szCs w:val="26"/>
          <w:lang w:eastAsia="en-US"/>
        </w:rPr>
        <w:t xml:space="preserve"> and the significant increase recorded in the number of employees in different economic activities, the unemployment rates </w:t>
      </w:r>
      <w:r w:rsidR="00431C9F" w:rsidRPr="003F77BA">
        <w:rPr>
          <w:rFonts w:asciiTheme="majorBidi" w:hAnsiTheme="majorBidi" w:cstheme="majorBidi"/>
          <w:sz w:val="26"/>
          <w:szCs w:val="26"/>
          <w:lang w:eastAsia="en-US"/>
        </w:rPr>
        <w:t xml:space="preserve">are still high. </w:t>
      </w:r>
      <w:r w:rsidR="00BB515F" w:rsidRPr="003F77BA">
        <w:rPr>
          <w:rFonts w:asciiTheme="majorBidi" w:hAnsiTheme="majorBidi" w:cstheme="majorBidi"/>
          <w:sz w:val="26"/>
          <w:szCs w:val="26"/>
          <w:lang w:eastAsia="en-US"/>
        </w:rPr>
        <w:t xml:space="preserve">The rise in </w:t>
      </w:r>
      <w:r w:rsidR="00FF096D" w:rsidRPr="003F77BA">
        <w:rPr>
          <w:rFonts w:asciiTheme="majorBidi" w:hAnsiTheme="majorBidi" w:cstheme="majorBidi"/>
          <w:sz w:val="26"/>
          <w:szCs w:val="26"/>
          <w:lang w:eastAsia="en-US"/>
        </w:rPr>
        <w:t>un</w:t>
      </w:r>
      <w:r w:rsidR="00BB515F" w:rsidRPr="003F77BA">
        <w:rPr>
          <w:rFonts w:asciiTheme="majorBidi" w:hAnsiTheme="majorBidi" w:cstheme="majorBidi"/>
          <w:sz w:val="26"/>
          <w:szCs w:val="26"/>
          <w:lang w:eastAsia="en-US"/>
        </w:rPr>
        <w:t>employment rates is due to the sharp rise in the unemployment rates in Gaza Strip, w</w:t>
      </w:r>
      <w:r w:rsidR="00FF096D" w:rsidRPr="003F77BA">
        <w:rPr>
          <w:rFonts w:asciiTheme="majorBidi" w:hAnsiTheme="majorBidi" w:cstheme="majorBidi"/>
          <w:sz w:val="26"/>
          <w:szCs w:val="26"/>
          <w:lang w:eastAsia="en-US"/>
        </w:rPr>
        <w:t>h</w:t>
      </w:r>
      <w:r w:rsidR="00BB515F" w:rsidRPr="003F77BA">
        <w:rPr>
          <w:rFonts w:asciiTheme="majorBidi" w:hAnsiTheme="majorBidi" w:cstheme="majorBidi"/>
          <w:sz w:val="26"/>
          <w:szCs w:val="26"/>
          <w:lang w:eastAsia="en-US"/>
        </w:rPr>
        <w:t xml:space="preserve">ere half of the participants in </w:t>
      </w:r>
      <w:proofErr w:type="spellStart"/>
      <w:r w:rsidR="00BB515F" w:rsidRPr="003F77BA">
        <w:rPr>
          <w:rFonts w:asciiTheme="majorBidi" w:hAnsiTheme="majorBidi" w:cstheme="majorBidi"/>
          <w:sz w:val="26"/>
          <w:szCs w:val="26"/>
          <w:lang w:eastAsia="en-US"/>
        </w:rPr>
        <w:t>labour</w:t>
      </w:r>
      <w:proofErr w:type="spellEnd"/>
      <w:r w:rsidR="00BB515F" w:rsidRPr="003F77BA">
        <w:rPr>
          <w:rFonts w:asciiTheme="majorBidi" w:hAnsiTheme="majorBidi" w:cstheme="majorBidi"/>
          <w:sz w:val="26"/>
          <w:szCs w:val="26"/>
          <w:lang w:eastAsia="en-US"/>
        </w:rPr>
        <w:t xml:space="preserve"> force </w:t>
      </w:r>
      <w:r w:rsidR="00453297" w:rsidRPr="003F77BA">
        <w:rPr>
          <w:rFonts w:asciiTheme="majorBidi" w:hAnsiTheme="majorBidi" w:cstheme="majorBidi"/>
          <w:sz w:val="26"/>
          <w:szCs w:val="26"/>
          <w:lang w:eastAsia="en-US"/>
        </w:rPr>
        <w:t>(</w:t>
      </w:r>
      <w:r w:rsidR="009519DA" w:rsidRPr="003F77BA">
        <w:rPr>
          <w:rFonts w:asciiTheme="majorBidi" w:hAnsiTheme="majorBidi" w:cstheme="majorBidi"/>
          <w:sz w:val="26"/>
          <w:szCs w:val="26"/>
          <w:lang w:eastAsia="en-US"/>
        </w:rPr>
        <w:t>45</w:t>
      </w:r>
      <w:r w:rsidR="00BB515F" w:rsidRPr="003F77BA">
        <w:rPr>
          <w:rFonts w:asciiTheme="majorBidi" w:hAnsiTheme="majorBidi" w:cstheme="majorBidi"/>
          <w:sz w:val="26"/>
          <w:szCs w:val="26"/>
          <w:lang w:eastAsia="en-US"/>
        </w:rPr>
        <w:t>%</w:t>
      </w:r>
      <w:r w:rsidR="00453297" w:rsidRPr="003F77BA">
        <w:rPr>
          <w:rFonts w:asciiTheme="majorBidi" w:hAnsiTheme="majorBidi" w:cstheme="majorBidi"/>
          <w:sz w:val="26"/>
          <w:szCs w:val="26"/>
          <w:lang w:eastAsia="en-US"/>
        </w:rPr>
        <w:t>)</w:t>
      </w:r>
      <w:r w:rsidR="009519DA" w:rsidRPr="003F77BA">
        <w:rPr>
          <w:rFonts w:asciiTheme="majorBidi" w:hAnsiTheme="majorBidi" w:cstheme="majorBidi"/>
          <w:sz w:val="26"/>
          <w:szCs w:val="26"/>
          <w:lang w:eastAsia="en-US"/>
        </w:rPr>
        <w:t xml:space="preserve"> </w:t>
      </w:r>
      <w:r w:rsidR="00BB515F" w:rsidRPr="003F77BA">
        <w:rPr>
          <w:rFonts w:asciiTheme="majorBidi" w:hAnsiTheme="majorBidi" w:cstheme="majorBidi"/>
          <w:sz w:val="26"/>
          <w:szCs w:val="26"/>
          <w:lang w:eastAsia="en-US"/>
        </w:rPr>
        <w:t xml:space="preserve">are unemployed compared to about </w:t>
      </w:r>
      <w:r w:rsidR="009519DA" w:rsidRPr="003F77BA">
        <w:rPr>
          <w:rFonts w:asciiTheme="majorBidi" w:hAnsiTheme="majorBidi" w:cstheme="majorBidi"/>
          <w:sz w:val="26"/>
          <w:szCs w:val="26"/>
          <w:lang w:eastAsia="en-US"/>
        </w:rPr>
        <w:t>14</w:t>
      </w:r>
      <w:r w:rsidR="00BB515F" w:rsidRPr="003F77BA">
        <w:rPr>
          <w:rFonts w:asciiTheme="majorBidi" w:hAnsiTheme="majorBidi" w:cstheme="majorBidi"/>
          <w:sz w:val="26"/>
          <w:szCs w:val="26"/>
          <w:lang w:eastAsia="en-US"/>
        </w:rPr>
        <w:t>% in the West Bank</w:t>
      </w:r>
      <w:r w:rsidR="002C12F1" w:rsidRPr="003F77BA">
        <w:rPr>
          <w:rFonts w:asciiTheme="majorBidi" w:hAnsiTheme="majorBidi" w:cstheme="majorBidi"/>
          <w:sz w:val="26"/>
          <w:szCs w:val="26"/>
          <w:lang w:eastAsia="en-US"/>
        </w:rPr>
        <w:t xml:space="preserve">. Still, the </w:t>
      </w:r>
      <w:r w:rsidR="00BB515F" w:rsidRPr="003F77BA">
        <w:rPr>
          <w:rFonts w:asciiTheme="majorBidi" w:hAnsiTheme="majorBidi" w:cstheme="majorBidi"/>
          <w:sz w:val="26"/>
          <w:szCs w:val="26"/>
          <w:lang w:eastAsia="en-US"/>
        </w:rPr>
        <w:t xml:space="preserve">variance </w:t>
      </w:r>
      <w:r w:rsidR="002C12F1" w:rsidRPr="003F77BA">
        <w:rPr>
          <w:rFonts w:asciiTheme="majorBidi" w:hAnsiTheme="majorBidi" w:cstheme="majorBidi"/>
          <w:sz w:val="26"/>
          <w:szCs w:val="26"/>
          <w:lang w:eastAsia="en-US"/>
        </w:rPr>
        <w:t>in unemployment rates among males and females is significant</w:t>
      </w:r>
      <w:r w:rsidR="003E096E" w:rsidRPr="003F77BA">
        <w:rPr>
          <w:rFonts w:asciiTheme="majorBidi" w:hAnsiTheme="majorBidi" w:cstheme="majorBidi"/>
          <w:sz w:val="26"/>
          <w:szCs w:val="26"/>
          <w:lang w:eastAsia="en-US"/>
        </w:rPr>
        <w:t>, where i</w:t>
      </w:r>
      <w:r w:rsidR="002C12F1" w:rsidRPr="003F77BA">
        <w:rPr>
          <w:rFonts w:asciiTheme="majorBidi" w:hAnsiTheme="majorBidi" w:cstheme="majorBidi"/>
          <w:sz w:val="26"/>
          <w:szCs w:val="26"/>
          <w:lang w:eastAsia="en-US"/>
        </w:rPr>
        <w:t xml:space="preserve">t reached </w:t>
      </w:r>
      <w:r w:rsidR="009519DA" w:rsidRPr="003F77BA">
        <w:rPr>
          <w:rFonts w:asciiTheme="majorBidi" w:hAnsiTheme="majorBidi" w:cstheme="majorBidi"/>
          <w:sz w:val="26"/>
          <w:szCs w:val="26"/>
          <w:lang w:eastAsia="en-US"/>
        </w:rPr>
        <w:t>21</w:t>
      </w:r>
      <w:r w:rsidR="002C12F1" w:rsidRPr="003F77BA">
        <w:rPr>
          <w:rFonts w:asciiTheme="majorBidi" w:hAnsiTheme="majorBidi" w:cstheme="majorBidi"/>
          <w:sz w:val="26"/>
          <w:szCs w:val="26"/>
          <w:lang w:eastAsia="en-US"/>
        </w:rPr>
        <w:t xml:space="preserve">% among males and </w:t>
      </w:r>
      <w:r w:rsidR="00121297" w:rsidRPr="003F77BA">
        <w:rPr>
          <w:rFonts w:asciiTheme="majorBidi" w:hAnsiTheme="majorBidi" w:cstheme="majorBidi"/>
          <w:sz w:val="26"/>
          <w:szCs w:val="26"/>
          <w:rtl/>
          <w:lang w:eastAsia="en-US"/>
        </w:rPr>
        <w:t>39</w:t>
      </w:r>
      <w:r w:rsidR="002C12F1" w:rsidRPr="003F77BA">
        <w:rPr>
          <w:rFonts w:asciiTheme="majorBidi" w:hAnsiTheme="majorBidi" w:cstheme="majorBidi"/>
          <w:sz w:val="26"/>
          <w:szCs w:val="26"/>
          <w:lang w:eastAsia="en-US"/>
        </w:rPr>
        <w:t xml:space="preserve">% among female participants in the </w:t>
      </w:r>
      <w:proofErr w:type="spellStart"/>
      <w:r w:rsidR="002C12F1" w:rsidRPr="003F77BA">
        <w:rPr>
          <w:rFonts w:asciiTheme="majorBidi" w:hAnsiTheme="majorBidi" w:cstheme="majorBidi"/>
          <w:sz w:val="26"/>
          <w:szCs w:val="26"/>
          <w:lang w:eastAsia="en-US"/>
        </w:rPr>
        <w:t>labour</w:t>
      </w:r>
      <w:proofErr w:type="spellEnd"/>
      <w:r w:rsidR="002C12F1" w:rsidRPr="003F77BA">
        <w:rPr>
          <w:rFonts w:asciiTheme="majorBidi" w:hAnsiTheme="majorBidi" w:cstheme="majorBidi"/>
          <w:sz w:val="26"/>
          <w:szCs w:val="26"/>
          <w:lang w:eastAsia="en-US"/>
        </w:rPr>
        <w:t xml:space="preserve"> force. </w:t>
      </w:r>
      <w:r w:rsidR="00986D3B" w:rsidRPr="003F77BA">
        <w:rPr>
          <w:rFonts w:asciiTheme="majorBidi" w:hAnsiTheme="majorBidi" w:cstheme="majorBidi"/>
          <w:sz w:val="26"/>
          <w:szCs w:val="26"/>
          <w:lang w:eastAsia="en-US"/>
        </w:rPr>
        <w:t xml:space="preserve">It is worth mentioning that </w:t>
      </w:r>
      <w:r w:rsidR="002C12F1" w:rsidRPr="003F77BA">
        <w:rPr>
          <w:rFonts w:asciiTheme="majorBidi" w:hAnsiTheme="majorBidi" w:cstheme="majorBidi"/>
          <w:sz w:val="26"/>
          <w:szCs w:val="26"/>
          <w:lang w:eastAsia="en-US"/>
        </w:rPr>
        <w:t xml:space="preserve">unemployment </w:t>
      </w:r>
      <w:r w:rsidR="00986D3B" w:rsidRPr="003F77BA">
        <w:rPr>
          <w:rFonts w:asciiTheme="majorBidi" w:hAnsiTheme="majorBidi" w:cstheme="majorBidi"/>
          <w:sz w:val="26"/>
          <w:szCs w:val="26"/>
          <w:lang w:eastAsia="en-US"/>
        </w:rPr>
        <w:t xml:space="preserve">rate </w:t>
      </w:r>
      <w:r w:rsidR="002C12F1" w:rsidRPr="003F77BA">
        <w:rPr>
          <w:rFonts w:asciiTheme="majorBidi" w:hAnsiTheme="majorBidi" w:cstheme="majorBidi"/>
          <w:sz w:val="26"/>
          <w:szCs w:val="26"/>
          <w:lang w:eastAsia="en-US"/>
        </w:rPr>
        <w:t xml:space="preserve">reached </w:t>
      </w:r>
      <w:r w:rsidR="009519DA" w:rsidRPr="003F77BA">
        <w:rPr>
          <w:rFonts w:asciiTheme="majorBidi" w:hAnsiTheme="majorBidi" w:cstheme="majorBidi"/>
          <w:sz w:val="26"/>
          <w:szCs w:val="26"/>
          <w:lang w:eastAsia="en-US"/>
        </w:rPr>
        <w:t>48</w:t>
      </w:r>
      <w:r w:rsidR="002C12F1" w:rsidRPr="003F77BA">
        <w:rPr>
          <w:rFonts w:asciiTheme="majorBidi" w:hAnsiTheme="majorBidi" w:cstheme="majorBidi"/>
          <w:sz w:val="26"/>
          <w:szCs w:val="26"/>
          <w:lang w:eastAsia="en-US"/>
        </w:rPr>
        <w:t xml:space="preserve">% among youth </w:t>
      </w:r>
      <w:r w:rsidR="00986D3B" w:rsidRPr="003F77BA">
        <w:rPr>
          <w:rFonts w:asciiTheme="majorBidi" w:hAnsiTheme="majorBidi" w:cstheme="majorBidi"/>
          <w:sz w:val="26"/>
          <w:szCs w:val="26"/>
          <w:lang w:eastAsia="en-US"/>
        </w:rPr>
        <w:t xml:space="preserve">graduates aged </w:t>
      </w:r>
      <w:r w:rsidR="002C12F1" w:rsidRPr="003F77BA">
        <w:rPr>
          <w:rFonts w:asciiTheme="majorBidi" w:hAnsiTheme="majorBidi" w:cstheme="majorBidi"/>
          <w:sz w:val="26"/>
          <w:szCs w:val="26"/>
          <w:lang w:eastAsia="en-US"/>
        </w:rPr>
        <w:t>(20 – 29 years) of Intermediate Diploma holders and higher</w:t>
      </w:r>
      <w:r w:rsidR="00986D3B" w:rsidRPr="003F77BA">
        <w:rPr>
          <w:rFonts w:asciiTheme="majorBidi" w:hAnsiTheme="majorBidi" w:cstheme="majorBidi"/>
          <w:sz w:val="26"/>
          <w:szCs w:val="26"/>
          <w:lang w:eastAsia="en-US"/>
        </w:rPr>
        <w:t xml:space="preserve"> </w:t>
      </w:r>
      <w:r w:rsidR="008815B1" w:rsidRPr="003F77BA">
        <w:rPr>
          <w:rFonts w:asciiTheme="majorBidi" w:hAnsiTheme="majorBidi" w:cstheme="majorBidi"/>
          <w:sz w:val="26"/>
          <w:szCs w:val="26"/>
          <w:lang w:eastAsia="en-US"/>
        </w:rPr>
        <w:t>(</w:t>
      </w:r>
      <w:r w:rsidR="009519DA" w:rsidRPr="003F77BA">
        <w:rPr>
          <w:rFonts w:asciiTheme="majorBidi" w:hAnsiTheme="majorBidi" w:cstheme="majorBidi"/>
          <w:sz w:val="26"/>
          <w:szCs w:val="26"/>
          <w:lang w:eastAsia="en-US"/>
        </w:rPr>
        <w:t>28</w:t>
      </w:r>
      <w:r w:rsidR="00986D3B" w:rsidRPr="003F77BA">
        <w:rPr>
          <w:rFonts w:asciiTheme="majorBidi" w:hAnsiTheme="majorBidi" w:cstheme="majorBidi"/>
          <w:sz w:val="26"/>
          <w:szCs w:val="26"/>
          <w:lang w:eastAsia="en-US"/>
        </w:rPr>
        <w:t xml:space="preserve">% in the West Bank and </w:t>
      </w:r>
      <w:r w:rsidR="009519DA" w:rsidRPr="003F77BA">
        <w:rPr>
          <w:rFonts w:asciiTheme="majorBidi" w:hAnsiTheme="majorBidi" w:cstheme="majorBidi"/>
          <w:sz w:val="26"/>
          <w:szCs w:val="26"/>
          <w:lang w:eastAsia="en-US"/>
        </w:rPr>
        <w:t>73</w:t>
      </w:r>
      <w:r w:rsidR="00986D3B" w:rsidRPr="003F77BA">
        <w:rPr>
          <w:rFonts w:asciiTheme="majorBidi" w:hAnsiTheme="majorBidi" w:cstheme="majorBidi"/>
          <w:sz w:val="26"/>
          <w:szCs w:val="26"/>
          <w:lang w:eastAsia="en-US"/>
        </w:rPr>
        <w:t>% in Gaza Strip</w:t>
      </w:r>
      <w:r w:rsidR="008815B1" w:rsidRPr="003F77BA">
        <w:rPr>
          <w:rFonts w:asciiTheme="majorBidi" w:hAnsiTheme="majorBidi" w:cstheme="majorBidi"/>
          <w:sz w:val="26"/>
          <w:szCs w:val="26"/>
          <w:lang w:eastAsia="en-US"/>
        </w:rPr>
        <w:t>)</w:t>
      </w:r>
      <w:r w:rsidR="00986D3B" w:rsidRPr="003F77BA">
        <w:rPr>
          <w:rFonts w:asciiTheme="majorBidi" w:hAnsiTheme="majorBidi" w:cstheme="majorBidi"/>
          <w:sz w:val="26"/>
          <w:szCs w:val="26"/>
          <w:lang w:eastAsia="en-US"/>
        </w:rPr>
        <w:t>.</w:t>
      </w:r>
    </w:p>
    <w:p w14:paraId="4AF59431" w14:textId="77777777" w:rsidR="002C12F1" w:rsidRPr="003F77BA" w:rsidRDefault="002C12F1" w:rsidP="006E46EA">
      <w:pPr>
        <w:bidi w:val="0"/>
        <w:jc w:val="both"/>
        <w:rPr>
          <w:rFonts w:asciiTheme="majorBidi" w:hAnsiTheme="majorBidi" w:cstheme="majorBidi"/>
          <w:sz w:val="16"/>
          <w:szCs w:val="16"/>
          <w:lang w:eastAsia="en-US"/>
        </w:rPr>
      </w:pPr>
    </w:p>
    <w:p w14:paraId="4B544C16" w14:textId="77777777" w:rsidR="00F76CAB" w:rsidRPr="003F77BA" w:rsidRDefault="00F76CAB" w:rsidP="00F76CAB">
      <w:pPr>
        <w:bidi w:val="0"/>
        <w:jc w:val="both"/>
        <w:rPr>
          <w:rFonts w:asciiTheme="majorBidi" w:hAnsiTheme="majorBidi" w:cstheme="majorBidi"/>
          <w:b/>
          <w:bCs/>
          <w:sz w:val="28"/>
          <w:szCs w:val="28"/>
        </w:rPr>
      </w:pPr>
      <w:r w:rsidRPr="003F77BA">
        <w:rPr>
          <w:rFonts w:asciiTheme="majorBidi" w:hAnsiTheme="majorBidi" w:cstheme="majorBidi"/>
          <w:b/>
          <w:bCs/>
          <w:sz w:val="28"/>
          <w:szCs w:val="28"/>
        </w:rPr>
        <w:t>The Educational Reality in the West Bank and Gaza Strip</w:t>
      </w:r>
    </w:p>
    <w:p w14:paraId="7BF7C400" w14:textId="7AA3169A" w:rsidR="00F76CAB" w:rsidRPr="003F77BA" w:rsidRDefault="00F76CAB" w:rsidP="003E096E">
      <w:pPr>
        <w:bidi w:val="0"/>
        <w:jc w:val="both"/>
        <w:rPr>
          <w:rFonts w:asciiTheme="majorBidi" w:hAnsiTheme="majorBidi" w:cstheme="majorBidi"/>
          <w:sz w:val="26"/>
          <w:szCs w:val="26"/>
        </w:rPr>
      </w:pPr>
      <w:r w:rsidRPr="003F77BA">
        <w:rPr>
          <w:rFonts w:asciiTheme="majorBidi" w:hAnsiTheme="majorBidi" w:cstheme="majorBidi"/>
          <w:sz w:val="26"/>
          <w:szCs w:val="26"/>
        </w:rPr>
        <w:t xml:space="preserve">The number of school students in the scholastic year </w:t>
      </w:r>
      <w:r w:rsidR="009519DA" w:rsidRPr="003F77BA">
        <w:rPr>
          <w:rFonts w:asciiTheme="majorBidi" w:hAnsiTheme="majorBidi" w:cstheme="majorBidi"/>
          <w:sz w:val="26"/>
          <w:szCs w:val="26"/>
        </w:rPr>
        <w:t>2021</w:t>
      </w:r>
      <w:r w:rsidRPr="003F77BA">
        <w:rPr>
          <w:rFonts w:asciiTheme="majorBidi" w:hAnsiTheme="majorBidi" w:cstheme="majorBidi"/>
          <w:sz w:val="26"/>
          <w:szCs w:val="26"/>
        </w:rPr>
        <w:t>/</w:t>
      </w:r>
      <w:r w:rsidR="009519DA" w:rsidRPr="003F77BA">
        <w:rPr>
          <w:rFonts w:asciiTheme="majorBidi" w:hAnsiTheme="majorBidi" w:cstheme="majorBidi"/>
          <w:sz w:val="26"/>
          <w:szCs w:val="26"/>
        </w:rPr>
        <w:t>2022</w:t>
      </w:r>
      <w:r w:rsidRPr="003F77BA">
        <w:rPr>
          <w:rFonts w:asciiTheme="majorBidi" w:hAnsiTheme="majorBidi" w:cstheme="majorBidi"/>
          <w:sz w:val="26"/>
          <w:szCs w:val="26"/>
        </w:rPr>
        <w:t xml:space="preserve"> in Palestine reached 1,3</w:t>
      </w:r>
      <w:r w:rsidR="009519DA" w:rsidRPr="003F77BA">
        <w:rPr>
          <w:rFonts w:asciiTheme="majorBidi" w:hAnsiTheme="majorBidi" w:cstheme="majorBidi"/>
          <w:sz w:val="26"/>
          <w:szCs w:val="26"/>
        </w:rPr>
        <w:t>5</w:t>
      </w:r>
      <w:r w:rsidRPr="003F77BA">
        <w:rPr>
          <w:rFonts w:asciiTheme="majorBidi" w:hAnsiTheme="majorBidi" w:cstheme="majorBidi"/>
          <w:sz w:val="26"/>
          <w:szCs w:val="26"/>
        </w:rPr>
        <w:t>8,</w:t>
      </w:r>
      <w:r w:rsidR="009519DA" w:rsidRPr="003F77BA">
        <w:rPr>
          <w:rFonts w:asciiTheme="majorBidi" w:hAnsiTheme="majorBidi" w:cstheme="majorBidi"/>
          <w:sz w:val="26"/>
          <w:szCs w:val="26"/>
        </w:rPr>
        <w:t>410</w:t>
      </w:r>
      <w:r w:rsidRPr="003F77BA">
        <w:rPr>
          <w:rFonts w:asciiTheme="majorBidi" w:hAnsiTheme="majorBidi" w:cstheme="majorBidi"/>
          <w:sz w:val="26"/>
          <w:szCs w:val="26"/>
        </w:rPr>
        <w:t xml:space="preserve"> (</w:t>
      </w:r>
      <w:r w:rsidR="009519DA" w:rsidRPr="003F77BA">
        <w:rPr>
          <w:rFonts w:asciiTheme="majorBidi" w:hAnsiTheme="majorBidi" w:cstheme="majorBidi"/>
          <w:sz w:val="26"/>
          <w:szCs w:val="26"/>
        </w:rPr>
        <w:t>672</w:t>
      </w:r>
      <w:r w:rsidRPr="003F77BA">
        <w:rPr>
          <w:rFonts w:asciiTheme="majorBidi" w:hAnsiTheme="majorBidi" w:cstheme="majorBidi"/>
          <w:sz w:val="26"/>
          <w:szCs w:val="26"/>
        </w:rPr>
        <w:t>,</w:t>
      </w:r>
      <w:r w:rsidR="009519DA" w:rsidRPr="003F77BA">
        <w:rPr>
          <w:rFonts w:asciiTheme="majorBidi" w:hAnsiTheme="majorBidi" w:cstheme="majorBidi"/>
          <w:sz w:val="26"/>
          <w:szCs w:val="26"/>
        </w:rPr>
        <w:t>567</w:t>
      </w:r>
      <w:r w:rsidRPr="003F77BA">
        <w:rPr>
          <w:rFonts w:asciiTheme="majorBidi" w:hAnsiTheme="majorBidi" w:cstheme="majorBidi"/>
          <w:sz w:val="26"/>
          <w:szCs w:val="26"/>
        </w:rPr>
        <w:t xml:space="preserve"> males and </w:t>
      </w:r>
      <w:r w:rsidR="009519DA" w:rsidRPr="003F77BA">
        <w:rPr>
          <w:rFonts w:asciiTheme="majorBidi" w:hAnsiTheme="majorBidi" w:cstheme="majorBidi"/>
          <w:sz w:val="26"/>
          <w:szCs w:val="26"/>
        </w:rPr>
        <w:t>685</w:t>
      </w:r>
      <w:r w:rsidRPr="003F77BA">
        <w:rPr>
          <w:rFonts w:asciiTheme="majorBidi" w:hAnsiTheme="majorBidi" w:cstheme="majorBidi"/>
          <w:sz w:val="26"/>
          <w:szCs w:val="26"/>
        </w:rPr>
        <w:t>,</w:t>
      </w:r>
      <w:r w:rsidR="009519DA" w:rsidRPr="003F77BA">
        <w:rPr>
          <w:rFonts w:asciiTheme="majorBidi" w:hAnsiTheme="majorBidi" w:cstheme="majorBidi"/>
          <w:sz w:val="26"/>
          <w:szCs w:val="26"/>
        </w:rPr>
        <w:t>843</w:t>
      </w:r>
      <w:r w:rsidRPr="003F77BA">
        <w:rPr>
          <w:rFonts w:asciiTheme="majorBidi" w:hAnsiTheme="majorBidi" w:cstheme="majorBidi"/>
          <w:sz w:val="26"/>
          <w:szCs w:val="26"/>
        </w:rPr>
        <w:t xml:space="preserve"> females), where </w:t>
      </w:r>
      <w:r w:rsidR="009519DA" w:rsidRPr="003F77BA">
        <w:rPr>
          <w:rFonts w:asciiTheme="majorBidi" w:hAnsiTheme="majorBidi" w:cstheme="majorBidi"/>
          <w:sz w:val="26"/>
          <w:szCs w:val="26"/>
        </w:rPr>
        <w:t>760</w:t>
      </w:r>
      <w:r w:rsidRPr="003F77BA">
        <w:rPr>
          <w:rFonts w:asciiTheme="majorBidi" w:hAnsiTheme="majorBidi" w:cstheme="majorBidi"/>
          <w:sz w:val="26"/>
          <w:szCs w:val="26"/>
        </w:rPr>
        <w:t>,</w:t>
      </w:r>
      <w:r w:rsidR="009519DA" w:rsidRPr="003F77BA">
        <w:rPr>
          <w:rFonts w:asciiTheme="majorBidi" w:hAnsiTheme="majorBidi" w:cstheme="majorBidi"/>
          <w:sz w:val="26"/>
          <w:szCs w:val="26"/>
        </w:rPr>
        <w:t>688</w:t>
      </w:r>
      <w:r w:rsidRPr="003F77BA">
        <w:rPr>
          <w:rFonts w:asciiTheme="majorBidi" w:hAnsiTheme="majorBidi" w:cstheme="majorBidi"/>
          <w:sz w:val="26"/>
          <w:szCs w:val="26"/>
        </w:rPr>
        <w:t xml:space="preserve"> students are in the West Bank (</w:t>
      </w:r>
      <w:r w:rsidR="009519DA" w:rsidRPr="003F77BA">
        <w:rPr>
          <w:rFonts w:asciiTheme="majorBidi" w:hAnsiTheme="majorBidi" w:cstheme="majorBidi"/>
          <w:sz w:val="26"/>
          <w:szCs w:val="26"/>
        </w:rPr>
        <w:t>373</w:t>
      </w:r>
      <w:r w:rsidRPr="003F77BA">
        <w:rPr>
          <w:rFonts w:asciiTheme="majorBidi" w:hAnsiTheme="majorBidi" w:cstheme="majorBidi"/>
          <w:sz w:val="26"/>
          <w:szCs w:val="26"/>
        </w:rPr>
        <w:t>,</w:t>
      </w:r>
      <w:r w:rsidR="009519DA" w:rsidRPr="003F77BA">
        <w:rPr>
          <w:rFonts w:asciiTheme="majorBidi" w:hAnsiTheme="majorBidi" w:cstheme="majorBidi"/>
          <w:sz w:val="26"/>
          <w:szCs w:val="26"/>
        </w:rPr>
        <w:t>519</w:t>
      </w:r>
      <w:r w:rsidRPr="003F77BA">
        <w:rPr>
          <w:rFonts w:asciiTheme="majorBidi" w:hAnsiTheme="majorBidi" w:cstheme="majorBidi"/>
          <w:sz w:val="26"/>
          <w:szCs w:val="26"/>
        </w:rPr>
        <w:t xml:space="preserve"> males and </w:t>
      </w:r>
      <w:r w:rsidR="009519DA" w:rsidRPr="003F77BA">
        <w:rPr>
          <w:rFonts w:asciiTheme="majorBidi" w:hAnsiTheme="majorBidi" w:cstheme="majorBidi"/>
          <w:sz w:val="26"/>
          <w:szCs w:val="26"/>
        </w:rPr>
        <w:t>387</w:t>
      </w:r>
      <w:r w:rsidRPr="003F77BA">
        <w:rPr>
          <w:rFonts w:asciiTheme="majorBidi" w:hAnsiTheme="majorBidi" w:cstheme="majorBidi"/>
          <w:sz w:val="26"/>
          <w:szCs w:val="26"/>
        </w:rPr>
        <w:t>,</w:t>
      </w:r>
      <w:r w:rsidR="009519DA" w:rsidRPr="003F77BA">
        <w:rPr>
          <w:rFonts w:asciiTheme="majorBidi" w:hAnsiTheme="majorBidi" w:cstheme="majorBidi"/>
          <w:sz w:val="26"/>
          <w:szCs w:val="26"/>
        </w:rPr>
        <w:t>169</w:t>
      </w:r>
      <w:r w:rsidRPr="003F77BA">
        <w:rPr>
          <w:rFonts w:asciiTheme="majorBidi" w:hAnsiTheme="majorBidi" w:cstheme="majorBidi"/>
          <w:sz w:val="26"/>
          <w:szCs w:val="26"/>
        </w:rPr>
        <w:t xml:space="preserve"> females), while there are </w:t>
      </w:r>
      <w:r w:rsidR="009519DA" w:rsidRPr="003F77BA">
        <w:rPr>
          <w:rFonts w:asciiTheme="majorBidi" w:hAnsiTheme="majorBidi" w:cstheme="majorBidi"/>
          <w:sz w:val="26"/>
          <w:szCs w:val="26"/>
        </w:rPr>
        <w:t>597</w:t>
      </w:r>
      <w:r w:rsidRPr="003F77BA">
        <w:rPr>
          <w:rFonts w:asciiTheme="majorBidi" w:hAnsiTheme="majorBidi" w:cstheme="majorBidi"/>
          <w:sz w:val="26"/>
          <w:szCs w:val="26"/>
        </w:rPr>
        <w:t>,</w:t>
      </w:r>
      <w:r w:rsidR="009519DA" w:rsidRPr="003F77BA">
        <w:rPr>
          <w:rFonts w:asciiTheme="majorBidi" w:hAnsiTheme="majorBidi" w:cstheme="majorBidi"/>
          <w:sz w:val="26"/>
          <w:szCs w:val="26"/>
        </w:rPr>
        <w:t>722</w:t>
      </w:r>
      <w:r w:rsidRPr="003F77BA">
        <w:rPr>
          <w:rFonts w:asciiTheme="majorBidi" w:hAnsiTheme="majorBidi" w:cstheme="majorBidi"/>
          <w:sz w:val="26"/>
          <w:szCs w:val="26"/>
        </w:rPr>
        <w:t xml:space="preserve"> students in Gaza Strip (</w:t>
      </w:r>
      <w:r w:rsidR="009519DA" w:rsidRPr="003F77BA">
        <w:rPr>
          <w:rFonts w:asciiTheme="majorBidi" w:hAnsiTheme="majorBidi" w:cstheme="majorBidi"/>
          <w:sz w:val="26"/>
          <w:szCs w:val="26"/>
        </w:rPr>
        <w:t>299</w:t>
      </w:r>
      <w:r w:rsidRPr="003F77BA">
        <w:rPr>
          <w:rFonts w:asciiTheme="majorBidi" w:hAnsiTheme="majorBidi" w:cstheme="majorBidi"/>
          <w:sz w:val="26"/>
          <w:szCs w:val="26"/>
        </w:rPr>
        <w:t>,</w:t>
      </w:r>
      <w:r w:rsidR="009519DA" w:rsidRPr="003F77BA">
        <w:rPr>
          <w:rFonts w:asciiTheme="majorBidi" w:hAnsiTheme="majorBidi" w:cstheme="majorBidi"/>
          <w:sz w:val="26"/>
          <w:szCs w:val="26"/>
        </w:rPr>
        <w:t>048</w:t>
      </w:r>
      <w:r w:rsidRPr="003F77BA">
        <w:rPr>
          <w:rFonts w:asciiTheme="majorBidi" w:hAnsiTheme="majorBidi" w:cstheme="majorBidi"/>
          <w:sz w:val="26"/>
          <w:szCs w:val="26"/>
        </w:rPr>
        <w:t xml:space="preserve"> males and </w:t>
      </w:r>
      <w:r w:rsidR="009519DA" w:rsidRPr="003F77BA">
        <w:rPr>
          <w:rFonts w:asciiTheme="majorBidi" w:hAnsiTheme="majorBidi" w:cstheme="majorBidi"/>
          <w:sz w:val="26"/>
          <w:szCs w:val="26"/>
        </w:rPr>
        <w:t>298</w:t>
      </w:r>
      <w:r w:rsidRPr="003F77BA">
        <w:rPr>
          <w:rFonts w:asciiTheme="majorBidi" w:hAnsiTheme="majorBidi" w:cstheme="majorBidi"/>
          <w:sz w:val="26"/>
          <w:szCs w:val="26"/>
        </w:rPr>
        <w:t>,</w:t>
      </w:r>
      <w:r w:rsidR="009519DA" w:rsidRPr="003F77BA">
        <w:rPr>
          <w:rFonts w:asciiTheme="majorBidi" w:hAnsiTheme="majorBidi" w:cstheme="majorBidi"/>
          <w:sz w:val="26"/>
          <w:szCs w:val="26"/>
        </w:rPr>
        <w:t>674</w:t>
      </w:r>
      <w:r w:rsidRPr="003F77BA">
        <w:rPr>
          <w:rFonts w:asciiTheme="majorBidi" w:hAnsiTheme="majorBidi" w:cstheme="majorBidi"/>
          <w:sz w:val="26"/>
          <w:szCs w:val="26"/>
        </w:rPr>
        <w:t xml:space="preserve"> females).</w:t>
      </w:r>
    </w:p>
    <w:p w14:paraId="6B27364C" w14:textId="77777777" w:rsidR="00F76CAB" w:rsidRPr="003F77BA" w:rsidRDefault="00F76CAB" w:rsidP="00F76CAB">
      <w:pPr>
        <w:bidi w:val="0"/>
        <w:jc w:val="both"/>
        <w:rPr>
          <w:rFonts w:asciiTheme="majorBidi" w:hAnsiTheme="majorBidi" w:cstheme="majorBidi"/>
          <w:sz w:val="16"/>
          <w:szCs w:val="16"/>
          <w:rtl/>
        </w:rPr>
      </w:pPr>
    </w:p>
    <w:p w14:paraId="5A5AFD04" w14:textId="6AFA89CC" w:rsidR="00F76CAB" w:rsidRPr="003F77BA" w:rsidRDefault="00F76CAB" w:rsidP="003E096E">
      <w:pPr>
        <w:bidi w:val="0"/>
        <w:jc w:val="both"/>
        <w:rPr>
          <w:rFonts w:asciiTheme="majorBidi" w:hAnsiTheme="majorBidi" w:cstheme="majorBidi"/>
          <w:sz w:val="26"/>
          <w:szCs w:val="26"/>
        </w:rPr>
      </w:pPr>
      <w:r w:rsidRPr="003F77BA">
        <w:rPr>
          <w:rFonts w:asciiTheme="majorBidi" w:hAnsiTheme="majorBidi" w:cstheme="majorBidi"/>
          <w:sz w:val="26"/>
          <w:szCs w:val="26"/>
        </w:rPr>
        <w:t xml:space="preserve">The number of students enrolled at higher education institutions in the scholastic year </w:t>
      </w:r>
      <w:r w:rsidR="008516A7" w:rsidRPr="003F77BA">
        <w:rPr>
          <w:rFonts w:asciiTheme="majorBidi" w:hAnsiTheme="majorBidi" w:cstheme="majorBidi"/>
          <w:sz w:val="26"/>
          <w:szCs w:val="26"/>
        </w:rPr>
        <w:t>2021</w:t>
      </w:r>
      <w:r w:rsidRPr="003F77BA">
        <w:rPr>
          <w:rFonts w:asciiTheme="majorBidi" w:hAnsiTheme="majorBidi" w:cstheme="majorBidi"/>
          <w:sz w:val="26"/>
          <w:szCs w:val="26"/>
        </w:rPr>
        <w:t>/</w:t>
      </w:r>
      <w:r w:rsidR="008516A7" w:rsidRPr="003F77BA">
        <w:rPr>
          <w:rFonts w:asciiTheme="majorBidi" w:hAnsiTheme="majorBidi" w:cstheme="majorBidi"/>
          <w:sz w:val="26"/>
          <w:szCs w:val="26"/>
        </w:rPr>
        <w:t>2022</w:t>
      </w:r>
      <w:r w:rsidRPr="003F77BA">
        <w:rPr>
          <w:rFonts w:asciiTheme="majorBidi" w:hAnsiTheme="majorBidi" w:cstheme="majorBidi"/>
          <w:sz w:val="26"/>
          <w:szCs w:val="26"/>
        </w:rPr>
        <w:t xml:space="preserve"> in Palestine reached </w:t>
      </w:r>
      <w:r w:rsidR="008516A7" w:rsidRPr="003F77BA">
        <w:rPr>
          <w:rFonts w:asciiTheme="majorBidi" w:hAnsiTheme="majorBidi" w:cstheme="majorBidi"/>
          <w:sz w:val="26"/>
          <w:szCs w:val="26"/>
        </w:rPr>
        <w:t>225</w:t>
      </w:r>
      <w:r w:rsidRPr="003F77BA">
        <w:rPr>
          <w:rFonts w:asciiTheme="majorBidi" w:hAnsiTheme="majorBidi" w:cstheme="majorBidi"/>
          <w:sz w:val="26"/>
          <w:szCs w:val="26"/>
        </w:rPr>
        <w:t>,</w:t>
      </w:r>
      <w:r w:rsidR="008516A7" w:rsidRPr="003F77BA">
        <w:rPr>
          <w:rFonts w:asciiTheme="majorBidi" w:hAnsiTheme="majorBidi" w:cstheme="majorBidi"/>
          <w:sz w:val="26"/>
          <w:szCs w:val="26"/>
        </w:rPr>
        <w:t>975</w:t>
      </w:r>
      <w:r w:rsidRPr="003F77BA">
        <w:rPr>
          <w:rFonts w:asciiTheme="majorBidi" w:hAnsiTheme="majorBidi" w:cstheme="majorBidi"/>
          <w:sz w:val="26"/>
          <w:szCs w:val="26"/>
        </w:rPr>
        <w:t xml:space="preserve"> (</w:t>
      </w:r>
      <w:r w:rsidR="008516A7" w:rsidRPr="003F77BA">
        <w:rPr>
          <w:rFonts w:asciiTheme="majorBidi" w:hAnsiTheme="majorBidi" w:cstheme="majorBidi"/>
          <w:sz w:val="26"/>
          <w:szCs w:val="26"/>
        </w:rPr>
        <w:t>86</w:t>
      </w:r>
      <w:r w:rsidRPr="003F77BA">
        <w:rPr>
          <w:rFonts w:asciiTheme="majorBidi" w:hAnsiTheme="majorBidi" w:cstheme="majorBidi"/>
          <w:sz w:val="26"/>
          <w:szCs w:val="26"/>
        </w:rPr>
        <w:t>,</w:t>
      </w:r>
      <w:r w:rsidR="008516A7" w:rsidRPr="003F77BA">
        <w:rPr>
          <w:rFonts w:asciiTheme="majorBidi" w:hAnsiTheme="majorBidi" w:cstheme="majorBidi"/>
          <w:sz w:val="26"/>
          <w:szCs w:val="26"/>
        </w:rPr>
        <w:t>992</w:t>
      </w:r>
      <w:r w:rsidRPr="003F77BA">
        <w:rPr>
          <w:rFonts w:asciiTheme="majorBidi" w:hAnsiTheme="majorBidi" w:cstheme="majorBidi"/>
          <w:sz w:val="26"/>
          <w:szCs w:val="26"/>
        </w:rPr>
        <w:t xml:space="preserve"> males and 13</w:t>
      </w:r>
      <w:r w:rsidR="008516A7" w:rsidRPr="003F77BA">
        <w:rPr>
          <w:rFonts w:asciiTheme="majorBidi" w:hAnsiTheme="majorBidi" w:cstheme="majorBidi"/>
          <w:sz w:val="26"/>
          <w:szCs w:val="26"/>
        </w:rPr>
        <w:t>8</w:t>
      </w:r>
      <w:r w:rsidRPr="003F77BA">
        <w:rPr>
          <w:rFonts w:asciiTheme="majorBidi" w:hAnsiTheme="majorBidi" w:cstheme="majorBidi"/>
          <w:sz w:val="26"/>
          <w:szCs w:val="26"/>
        </w:rPr>
        <w:t>,</w:t>
      </w:r>
      <w:r w:rsidR="008516A7" w:rsidRPr="003F77BA">
        <w:rPr>
          <w:rFonts w:asciiTheme="majorBidi" w:hAnsiTheme="majorBidi" w:cstheme="majorBidi"/>
          <w:sz w:val="26"/>
          <w:szCs w:val="26"/>
        </w:rPr>
        <w:t>983</w:t>
      </w:r>
      <w:r w:rsidRPr="003F77BA">
        <w:rPr>
          <w:rFonts w:asciiTheme="majorBidi" w:hAnsiTheme="majorBidi" w:cstheme="majorBidi"/>
          <w:sz w:val="26"/>
          <w:szCs w:val="26"/>
        </w:rPr>
        <w:t xml:space="preserve"> females), where </w:t>
      </w:r>
      <w:r w:rsidR="008516A7" w:rsidRPr="003F77BA">
        <w:rPr>
          <w:rFonts w:asciiTheme="majorBidi" w:hAnsiTheme="majorBidi" w:cstheme="majorBidi"/>
          <w:sz w:val="26"/>
          <w:szCs w:val="26"/>
        </w:rPr>
        <w:t>138</w:t>
      </w:r>
      <w:r w:rsidRPr="003F77BA">
        <w:rPr>
          <w:rFonts w:asciiTheme="majorBidi" w:hAnsiTheme="majorBidi" w:cstheme="majorBidi"/>
          <w:sz w:val="26"/>
          <w:szCs w:val="26"/>
        </w:rPr>
        <w:t>,</w:t>
      </w:r>
      <w:r w:rsidR="008516A7" w:rsidRPr="003F77BA">
        <w:rPr>
          <w:rFonts w:asciiTheme="majorBidi" w:hAnsiTheme="majorBidi" w:cstheme="majorBidi"/>
          <w:sz w:val="26"/>
          <w:szCs w:val="26"/>
        </w:rPr>
        <w:t>754</w:t>
      </w:r>
      <w:r w:rsidRPr="003F77BA">
        <w:rPr>
          <w:rFonts w:asciiTheme="majorBidi" w:hAnsiTheme="majorBidi" w:cstheme="majorBidi"/>
          <w:sz w:val="26"/>
          <w:szCs w:val="26"/>
        </w:rPr>
        <w:t xml:space="preserve"> students are in the West Bank (</w:t>
      </w:r>
      <w:r w:rsidR="008516A7" w:rsidRPr="003F77BA">
        <w:rPr>
          <w:rFonts w:asciiTheme="majorBidi" w:hAnsiTheme="majorBidi" w:cstheme="majorBidi"/>
          <w:sz w:val="26"/>
          <w:szCs w:val="26"/>
        </w:rPr>
        <w:t>49</w:t>
      </w:r>
      <w:r w:rsidRPr="003F77BA">
        <w:rPr>
          <w:rFonts w:asciiTheme="majorBidi" w:hAnsiTheme="majorBidi" w:cstheme="majorBidi"/>
          <w:sz w:val="26"/>
          <w:szCs w:val="26"/>
        </w:rPr>
        <w:t>,</w:t>
      </w:r>
      <w:r w:rsidR="008516A7" w:rsidRPr="003F77BA">
        <w:rPr>
          <w:rFonts w:asciiTheme="majorBidi" w:hAnsiTheme="majorBidi" w:cstheme="majorBidi"/>
          <w:sz w:val="26"/>
          <w:szCs w:val="26"/>
        </w:rPr>
        <w:t>069</w:t>
      </w:r>
      <w:r w:rsidRPr="003F77BA">
        <w:rPr>
          <w:rFonts w:asciiTheme="majorBidi" w:hAnsiTheme="majorBidi" w:cstheme="majorBidi"/>
          <w:sz w:val="26"/>
          <w:szCs w:val="26"/>
        </w:rPr>
        <w:t xml:space="preserve"> males and </w:t>
      </w:r>
      <w:r w:rsidR="008516A7" w:rsidRPr="003F77BA">
        <w:rPr>
          <w:rFonts w:asciiTheme="majorBidi" w:hAnsiTheme="majorBidi" w:cstheme="majorBidi"/>
          <w:sz w:val="26"/>
          <w:szCs w:val="26"/>
        </w:rPr>
        <w:t>89</w:t>
      </w:r>
      <w:r w:rsidRPr="003F77BA">
        <w:rPr>
          <w:rFonts w:asciiTheme="majorBidi" w:hAnsiTheme="majorBidi" w:cstheme="majorBidi"/>
          <w:sz w:val="26"/>
          <w:szCs w:val="26"/>
        </w:rPr>
        <w:t>,</w:t>
      </w:r>
      <w:r w:rsidR="008516A7" w:rsidRPr="003F77BA">
        <w:rPr>
          <w:rFonts w:asciiTheme="majorBidi" w:hAnsiTheme="majorBidi" w:cstheme="majorBidi"/>
          <w:sz w:val="26"/>
          <w:szCs w:val="26"/>
        </w:rPr>
        <w:t>685</w:t>
      </w:r>
      <w:r w:rsidRPr="003F77BA">
        <w:rPr>
          <w:rFonts w:asciiTheme="majorBidi" w:hAnsiTheme="majorBidi" w:cstheme="majorBidi"/>
          <w:sz w:val="26"/>
          <w:szCs w:val="26"/>
        </w:rPr>
        <w:t xml:space="preserve"> females), while there are </w:t>
      </w:r>
      <w:r w:rsidR="008516A7" w:rsidRPr="003F77BA">
        <w:rPr>
          <w:rFonts w:asciiTheme="majorBidi" w:hAnsiTheme="majorBidi" w:cstheme="majorBidi"/>
          <w:sz w:val="26"/>
          <w:szCs w:val="26"/>
        </w:rPr>
        <w:t>87</w:t>
      </w:r>
      <w:r w:rsidRPr="003F77BA">
        <w:rPr>
          <w:rFonts w:asciiTheme="majorBidi" w:hAnsiTheme="majorBidi" w:cstheme="majorBidi"/>
          <w:sz w:val="26"/>
          <w:szCs w:val="26"/>
        </w:rPr>
        <w:t>,</w:t>
      </w:r>
      <w:r w:rsidR="008516A7" w:rsidRPr="003F77BA">
        <w:rPr>
          <w:rFonts w:asciiTheme="majorBidi" w:hAnsiTheme="majorBidi" w:cstheme="majorBidi"/>
          <w:sz w:val="26"/>
          <w:szCs w:val="26"/>
        </w:rPr>
        <w:t>221</w:t>
      </w:r>
      <w:r w:rsidRPr="003F77BA">
        <w:rPr>
          <w:rFonts w:asciiTheme="majorBidi" w:hAnsiTheme="majorBidi" w:cstheme="majorBidi"/>
          <w:sz w:val="26"/>
          <w:szCs w:val="26"/>
        </w:rPr>
        <w:t xml:space="preserve"> students in Gaza Strip (</w:t>
      </w:r>
      <w:r w:rsidR="008516A7" w:rsidRPr="003F77BA">
        <w:rPr>
          <w:rFonts w:asciiTheme="majorBidi" w:hAnsiTheme="majorBidi" w:cstheme="majorBidi"/>
          <w:sz w:val="26"/>
          <w:szCs w:val="26"/>
        </w:rPr>
        <w:t>37</w:t>
      </w:r>
      <w:r w:rsidRPr="003F77BA">
        <w:rPr>
          <w:rFonts w:asciiTheme="majorBidi" w:hAnsiTheme="majorBidi" w:cstheme="majorBidi"/>
          <w:sz w:val="26"/>
          <w:szCs w:val="26"/>
        </w:rPr>
        <w:t>,</w:t>
      </w:r>
      <w:r w:rsidR="008516A7" w:rsidRPr="003F77BA">
        <w:rPr>
          <w:rFonts w:asciiTheme="majorBidi" w:hAnsiTheme="majorBidi" w:cstheme="majorBidi"/>
          <w:sz w:val="26"/>
          <w:szCs w:val="26"/>
        </w:rPr>
        <w:t>923</w:t>
      </w:r>
      <w:r w:rsidRPr="003F77BA">
        <w:rPr>
          <w:rFonts w:asciiTheme="majorBidi" w:hAnsiTheme="majorBidi" w:cstheme="majorBidi"/>
          <w:sz w:val="26"/>
          <w:szCs w:val="26"/>
        </w:rPr>
        <w:t xml:space="preserve"> males and </w:t>
      </w:r>
      <w:r w:rsidR="008516A7" w:rsidRPr="003F77BA">
        <w:rPr>
          <w:rFonts w:asciiTheme="majorBidi" w:hAnsiTheme="majorBidi" w:cstheme="majorBidi"/>
          <w:sz w:val="26"/>
          <w:szCs w:val="26"/>
        </w:rPr>
        <w:t>49</w:t>
      </w:r>
      <w:r w:rsidRPr="003F77BA">
        <w:rPr>
          <w:rFonts w:asciiTheme="majorBidi" w:hAnsiTheme="majorBidi" w:cstheme="majorBidi"/>
          <w:sz w:val="26"/>
          <w:szCs w:val="26"/>
        </w:rPr>
        <w:t>,</w:t>
      </w:r>
      <w:r w:rsidR="008516A7" w:rsidRPr="003F77BA">
        <w:rPr>
          <w:rFonts w:asciiTheme="majorBidi" w:hAnsiTheme="majorBidi" w:cstheme="majorBidi"/>
          <w:sz w:val="26"/>
          <w:szCs w:val="26"/>
        </w:rPr>
        <w:t>298</w:t>
      </w:r>
      <w:r w:rsidRPr="003F77BA">
        <w:rPr>
          <w:rFonts w:asciiTheme="majorBidi" w:hAnsiTheme="majorBidi" w:cstheme="majorBidi"/>
          <w:sz w:val="26"/>
          <w:szCs w:val="26"/>
        </w:rPr>
        <w:t xml:space="preserve"> females).</w:t>
      </w:r>
    </w:p>
    <w:p w14:paraId="6FA96295" w14:textId="77777777" w:rsidR="00F76CAB" w:rsidRPr="003F77BA" w:rsidRDefault="00F76CAB" w:rsidP="00F76CAB">
      <w:pPr>
        <w:bidi w:val="0"/>
        <w:jc w:val="both"/>
        <w:rPr>
          <w:rFonts w:asciiTheme="majorBidi" w:hAnsiTheme="majorBidi" w:cstheme="majorBidi"/>
          <w:sz w:val="16"/>
          <w:szCs w:val="16"/>
          <w:rtl/>
        </w:rPr>
      </w:pPr>
    </w:p>
    <w:p w14:paraId="5037F00E" w14:textId="17D6B7A1" w:rsidR="00F76CAB" w:rsidRPr="003F77BA" w:rsidRDefault="00F76CAB" w:rsidP="00121297">
      <w:pPr>
        <w:bidi w:val="0"/>
        <w:jc w:val="both"/>
        <w:rPr>
          <w:rFonts w:asciiTheme="majorBidi" w:hAnsiTheme="majorBidi" w:cstheme="majorBidi"/>
          <w:sz w:val="26"/>
          <w:szCs w:val="26"/>
        </w:rPr>
      </w:pPr>
      <w:r w:rsidRPr="003F77BA">
        <w:rPr>
          <w:rFonts w:asciiTheme="majorBidi" w:hAnsiTheme="majorBidi" w:cstheme="majorBidi"/>
          <w:sz w:val="26"/>
          <w:szCs w:val="26"/>
        </w:rPr>
        <w:t xml:space="preserve">The number of graduates from higher education institutions in the scholastic year </w:t>
      </w:r>
      <w:r w:rsidR="008516A7" w:rsidRPr="003F77BA">
        <w:rPr>
          <w:rFonts w:asciiTheme="majorBidi" w:hAnsiTheme="majorBidi" w:cstheme="majorBidi"/>
          <w:sz w:val="26"/>
          <w:szCs w:val="26"/>
        </w:rPr>
        <w:t>2020</w:t>
      </w:r>
      <w:r w:rsidRPr="003F77BA">
        <w:rPr>
          <w:rFonts w:asciiTheme="majorBidi" w:hAnsiTheme="majorBidi" w:cstheme="majorBidi"/>
          <w:sz w:val="26"/>
          <w:szCs w:val="26"/>
        </w:rPr>
        <w:t>/</w:t>
      </w:r>
      <w:r w:rsidR="008516A7" w:rsidRPr="003F77BA">
        <w:rPr>
          <w:rFonts w:asciiTheme="majorBidi" w:hAnsiTheme="majorBidi" w:cstheme="majorBidi"/>
          <w:sz w:val="26"/>
          <w:szCs w:val="26"/>
        </w:rPr>
        <w:t>2021</w:t>
      </w:r>
      <w:r w:rsidRPr="003F77BA">
        <w:rPr>
          <w:rFonts w:asciiTheme="majorBidi" w:hAnsiTheme="majorBidi" w:cstheme="majorBidi"/>
          <w:sz w:val="26"/>
          <w:szCs w:val="26"/>
        </w:rPr>
        <w:t xml:space="preserve"> in Palestine reached </w:t>
      </w:r>
      <w:r w:rsidR="008516A7" w:rsidRPr="003F77BA">
        <w:rPr>
          <w:rFonts w:asciiTheme="majorBidi" w:hAnsiTheme="majorBidi" w:cstheme="majorBidi"/>
          <w:sz w:val="26"/>
          <w:szCs w:val="26"/>
        </w:rPr>
        <w:t>46</w:t>
      </w:r>
      <w:r w:rsidRPr="003F77BA">
        <w:rPr>
          <w:rFonts w:asciiTheme="majorBidi" w:hAnsiTheme="majorBidi" w:cstheme="majorBidi"/>
          <w:sz w:val="26"/>
          <w:szCs w:val="26"/>
        </w:rPr>
        <w:t>,</w:t>
      </w:r>
      <w:r w:rsidR="008516A7" w:rsidRPr="003F77BA">
        <w:rPr>
          <w:rFonts w:asciiTheme="majorBidi" w:hAnsiTheme="majorBidi" w:cstheme="majorBidi"/>
          <w:sz w:val="26"/>
          <w:szCs w:val="26"/>
        </w:rPr>
        <w:t>225</w:t>
      </w:r>
      <w:r w:rsidRPr="003F77BA">
        <w:rPr>
          <w:rFonts w:asciiTheme="majorBidi" w:hAnsiTheme="majorBidi" w:cstheme="majorBidi"/>
          <w:sz w:val="26"/>
          <w:szCs w:val="26"/>
        </w:rPr>
        <w:t xml:space="preserve"> (</w:t>
      </w:r>
      <w:r w:rsidR="008516A7" w:rsidRPr="003F77BA">
        <w:rPr>
          <w:rFonts w:asciiTheme="majorBidi" w:hAnsiTheme="majorBidi" w:cstheme="majorBidi"/>
          <w:sz w:val="26"/>
          <w:szCs w:val="26"/>
        </w:rPr>
        <w:t>16</w:t>
      </w:r>
      <w:r w:rsidRPr="003F77BA">
        <w:rPr>
          <w:rFonts w:asciiTheme="majorBidi" w:hAnsiTheme="majorBidi" w:cstheme="majorBidi"/>
          <w:sz w:val="26"/>
          <w:szCs w:val="26"/>
        </w:rPr>
        <w:t>,</w:t>
      </w:r>
      <w:r w:rsidR="008516A7" w:rsidRPr="003F77BA">
        <w:rPr>
          <w:rFonts w:asciiTheme="majorBidi" w:hAnsiTheme="majorBidi" w:cstheme="majorBidi"/>
          <w:sz w:val="26"/>
          <w:szCs w:val="26"/>
        </w:rPr>
        <w:t>931</w:t>
      </w:r>
      <w:r w:rsidRPr="003F77BA">
        <w:rPr>
          <w:rFonts w:asciiTheme="majorBidi" w:hAnsiTheme="majorBidi" w:cstheme="majorBidi"/>
          <w:sz w:val="26"/>
          <w:szCs w:val="26"/>
        </w:rPr>
        <w:t xml:space="preserve"> males and </w:t>
      </w:r>
      <w:r w:rsidR="008516A7" w:rsidRPr="003F77BA">
        <w:rPr>
          <w:rFonts w:asciiTheme="majorBidi" w:hAnsiTheme="majorBidi" w:cstheme="majorBidi"/>
          <w:sz w:val="26"/>
          <w:szCs w:val="26"/>
        </w:rPr>
        <w:t>29</w:t>
      </w:r>
      <w:r w:rsidRPr="003F77BA">
        <w:rPr>
          <w:rFonts w:asciiTheme="majorBidi" w:hAnsiTheme="majorBidi" w:cstheme="majorBidi"/>
          <w:sz w:val="26"/>
          <w:szCs w:val="26"/>
        </w:rPr>
        <w:t>,</w:t>
      </w:r>
      <w:r w:rsidR="008516A7" w:rsidRPr="003F77BA">
        <w:rPr>
          <w:rFonts w:asciiTheme="majorBidi" w:hAnsiTheme="majorBidi" w:cstheme="majorBidi"/>
          <w:sz w:val="26"/>
          <w:szCs w:val="26"/>
        </w:rPr>
        <w:t>29</w:t>
      </w:r>
      <w:r w:rsidR="00121297" w:rsidRPr="003F77BA">
        <w:rPr>
          <w:rFonts w:asciiTheme="majorBidi" w:hAnsiTheme="majorBidi" w:cstheme="majorBidi"/>
          <w:sz w:val="26"/>
          <w:szCs w:val="26"/>
          <w:rtl/>
        </w:rPr>
        <w:t>4</w:t>
      </w:r>
      <w:r w:rsidRPr="003F77BA">
        <w:rPr>
          <w:rFonts w:asciiTheme="majorBidi" w:hAnsiTheme="majorBidi" w:cstheme="majorBidi"/>
          <w:sz w:val="26"/>
          <w:szCs w:val="26"/>
        </w:rPr>
        <w:t xml:space="preserve"> females), where </w:t>
      </w:r>
      <w:r w:rsidR="008516A7" w:rsidRPr="003F77BA">
        <w:rPr>
          <w:rFonts w:asciiTheme="majorBidi" w:hAnsiTheme="majorBidi" w:cstheme="majorBidi"/>
          <w:sz w:val="26"/>
          <w:szCs w:val="26"/>
        </w:rPr>
        <w:t>32</w:t>
      </w:r>
      <w:r w:rsidRPr="003F77BA">
        <w:rPr>
          <w:rFonts w:asciiTheme="majorBidi" w:hAnsiTheme="majorBidi" w:cstheme="majorBidi"/>
          <w:sz w:val="26"/>
          <w:szCs w:val="26"/>
        </w:rPr>
        <w:t>,</w:t>
      </w:r>
      <w:r w:rsidR="008516A7" w:rsidRPr="003F77BA">
        <w:rPr>
          <w:rFonts w:asciiTheme="majorBidi" w:hAnsiTheme="majorBidi" w:cstheme="majorBidi"/>
          <w:sz w:val="26"/>
          <w:szCs w:val="26"/>
        </w:rPr>
        <w:t>277</w:t>
      </w:r>
      <w:r w:rsidRPr="003F77BA">
        <w:rPr>
          <w:rFonts w:asciiTheme="majorBidi" w:hAnsiTheme="majorBidi" w:cstheme="majorBidi"/>
          <w:sz w:val="26"/>
          <w:szCs w:val="26"/>
        </w:rPr>
        <w:t xml:space="preserve"> male and female graduates are in the West Bank (</w:t>
      </w:r>
      <w:r w:rsidR="008516A7" w:rsidRPr="003F77BA">
        <w:rPr>
          <w:rFonts w:asciiTheme="majorBidi" w:hAnsiTheme="majorBidi" w:cstheme="majorBidi"/>
          <w:sz w:val="26"/>
          <w:szCs w:val="26"/>
        </w:rPr>
        <w:t>10</w:t>
      </w:r>
      <w:r w:rsidRPr="003F77BA">
        <w:rPr>
          <w:rFonts w:asciiTheme="majorBidi" w:hAnsiTheme="majorBidi" w:cstheme="majorBidi"/>
          <w:sz w:val="26"/>
          <w:szCs w:val="26"/>
        </w:rPr>
        <w:t>,</w:t>
      </w:r>
      <w:r w:rsidR="008516A7" w:rsidRPr="003F77BA">
        <w:rPr>
          <w:rFonts w:asciiTheme="majorBidi" w:hAnsiTheme="majorBidi" w:cstheme="majorBidi"/>
          <w:sz w:val="26"/>
          <w:szCs w:val="26"/>
        </w:rPr>
        <w:t>763</w:t>
      </w:r>
      <w:r w:rsidRPr="003F77BA">
        <w:rPr>
          <w:rFonts w:asciiTheme="majorBidi" w:hAnsiTheme="majorBidi" w:cstheme="majorBidi"/>
          <w:sz w:val="26"/>
          <w:szCs w:val="26"/>
        </w:rPr>
        <w:t xml:space="preserve"> males and </w:t>
      </w:r>
      <w:r w:rsidR="008516A7" w:rsidRPr="003F77BA">
        <w:rPr>
          <w:rFonts w:asciiTheme="majorBidi" w:hAnsiTheme="majorBidi" w:cstheme="majorBidi"/>
          <w:sz w:val="26"/>
          <w:szCs w:val="26"/>
        </w:rPr>
        <w:t>21</w:t>
      </w:r>
      <w:r w:rsidRPr="003F77BA">
        <w:rPr>
          <w:rFonts w:asciiTheme="majorBidi" w:hAnsiTheme="majorBidi" w:cstheme="majorBidi"/>
          <w:sz w:val="26"/>
          <w:szCs w:val="26"/>
        </w:rPr>
        <w:t>,</w:t>
      </w:r>
      <w:r w:rsidR="008516A7" w:rsidRPr="003F77BA">
        <w:rPr>
          <w:rFonts w:asciiTheme="majorBidi" w:hAnsiTheme="majorBidi" w:cstheme="majorBidi"/>
          <w:sz w:val="26"/>
          <w:szCs w:val="26"/>
        </w:rPr>
        <w:t>514</w:t>
      </w:r>
      <w:r w:rsidRPr="003F77BA">
        <w:rPr>
          <w:rFonts w:asciiTheme="majorBidi" w:hAnsiTheme="majorBidi" w:cstheme="majorBidi"/>
          <w:sz w:val="26"/>
          <w:szCs w:val="26"/>
        </w:rPr>
        <w:t xml:space="preserve"> females), while there are </w:t>
      </w:r>
      <w:r w:rsidR="008516A7" w:rsidRPr="003F77BA">
        <w:rPr>
          <w:rFonts w:asciiTheme="majorBidi" w:hAnsiTheme="majorBidi" w:cstheme="majorBidi"/>
          <w:sz w:val="26"/>
          <w:szCs w:val="26"/>
        </w:rPr>
        <w:t>13</w:t>
      </w:r>
      <w:r w:rsidRPr="003F77BA">
        <w:rPr>
          <w:rFonts w:asciiTheme="majorBidi" w:hAnsiTheme="majorBidi" w:cstheme="majorBidi"/>
          <w:sz w:val="26"/>
          <w:szCs w:val="26"/>
        </w:rPr>
        <w:t>,</w:t>
      </w:r>
      <w:r w:rsidR="008516A7" w:rsidRPr="003F77BA">
        <w:rPr>
          <w:rFonts w:asciiTheme="majorBidi" w:hAnsiTheme="majorBidi" w:cstheme="majorBidi"/>
          <w:sz w:val="26"/>
          <w:szCs w:val="26"/>
        </w:rPr>
        <w:t>948</w:t>
      </w:r>
      <w:r w:rsidRPr="003F77BA">
        <w:rPr>
          <w:rFonts w:asciiTheme="majorBidi" w:hAnsiTheme="majorBidi" w:cstheme="majorBidi"/>
          <w:sz w:val="26"/>
          <w:szCs w:val="26"/>
        </w:rPr>
        <w:t xml:space="preserve"> male and female graduates in Gaza Strip (</w:t>
      </w:r>
      <w:r w:rsidR="008516A7" w:rsidRPr="003F77BA">
        <w:rPr>
          <w:rFonts w:asciiTheme="majorBidi" w:hAnsiTheme="majorBidi" w:cstheme="majorBidi"/>
          <w:sz w:val="26"/>
          <w:szCs w:val="26"/>
        </w:rPr>
        <w:t>6</w:t>
      </w:r>
      <w:r w:rsidRPr="003F77BA">
        <w:rPr>
          <w:rFonts w:asciiTheme="majorBidi" w:hAnsiTheme="majorBidi" w:cstheme="majorBidi"/>
          <w:sz w:val="26"/>
          <w:szCs w:val="26"/>
        </w:rPr>
        <w:t>,</w:t>
      </w:r>
      <w:r w:rsidR="008516A7" w:rsidRPr="003F77BA">
        <w:rPr>
          <w:rFonts w:asciiTheme="majorBidi" w:hAnsiTheme="majorBidi" w:cstheme="majorBidi"/>
          <w:sz w:val="26"/>
          <w:szCs w:val="26"/>
        </w:rPr>
        <w:t>168</w:t>
      </w:r>
      <w:r w:rsidRPr="003F77BA">
        <w:rPr>
          <w:rFonts w:asciiTheme="majorBidi" w:hAnsiTheme="majorBidi" w:cstheme="majorBidi"/>
          <w:sz w:val="26"/>
          <w:szCs w:val="26"/>
        </w:rPr>
        <w:t xml:space="preserve"> males and </w:t>
      </w:r>
      <w:r w:rsidR="008516A7" w:rsidRPr="003F77BA">
        <w:rPr>
          <w:rFonts w:asciiTheme="majorBidi" w:hAnsiTheme="majorBidi" w:cstheme="majorBidi"/>
          <w:sz w:val="26"/>
          <w:szCs w:val="26"/>
        </w:rPr>
        <w:t>7</w:t>
      </w:r>
      <w:r w:rsidRPr="003F77BA">
        <w:rPr>
          <w:rFonts w:asciiTheme="majorBidi" w:hAnsiTheme="majorBidi" w:cstheme="majorBidi"/>
          <w:sz w:val="26"/>
          <w:szCs w:val="26"/>
        </w:rPr>
        <w:t>,</w:t>
      </w:r>
      <w:r w:rsidR="008516A7" w:rsidRPr="003F77BA">
        <w:rPr>
          <w:rFonts w:asciiTheme="majorBidi" w:hAnsiTheme="majorBidi" w:cstheme="majorBidi"/>
          <w:sz w:val="26"/>
          <w:szCs w:val="26"/>
        </w:rPr>
        <w:t>780</w:t>
      </w:r>
      <w:r w:rsidRPr="003F77BA">
        <w:rPr>
          <w:rFonts w:asciiTheme="majorBidi" w:hAnsiTheme="majorBidi" w:cstheme="majorBidi"/>
          <w:sz w:val="26"/>
          <w:szCs w:val="26"/>
        </w:rPr>
        <w:t xml:space="preserve"> females).</w:t>
      </w:r>
    </w:p>
    <w:p w14:paraId="1CF030B0" w14:textId="77777777" w:rsidR="001C7A90" w:rsidRPr="003F77BA" w:rsidRDefault="001C7A90" w:rsidP="006E46EA">
      <w:pPr>
        <w:bidi w:val="0"/>
        <w:jc w:val="both"/>
        <w:rPr>
          <w:rFonts w:asciiTheme="majorBidi" w:hAnsiTheme="majorBidi" w:cstheme="majorBidi"/>
          <w:sz w:val="16"/>
          <w:szCs w:val="16"/>
          <w:lang w:eastAsia="en-US"/>
        </w:rPr>
      </w:pPr>
    </w:p>
    <w:p w14:paraId="4588904D" w14:textId="77777777" w:rsidR="00895ED1" w:rsidRPr="003F77BA" w:rsidRDefault="001C7A90" w:rsidP="006E46EA">
      <w:pPr>
        <w:bidi w:val="0"/>
        <w:jc w:val="both"/>
        <w:rPr>
          <w:rFonts w:asciiTheme="majorBidi" w:hAnsiTheme="majorBidi" w:cstheme="majorBidi"/>
          <w:b/>
          <w:bCs/>
          <w:sz w:val="28"/>
          <w:szCs w:val="28"/>
          <w:lang w:eastAsia="en-US"/>
        </w:rPr>
      </w:pPr>
      <w:r w:rsidRPr="003F77BA">
        <w:rPr>
          <w:rFonts w:asciiTheme="majorBidi" w:hAnsiTheme="majorBidi" w:cstheme="majorBidi"/>
          <w:b/>
          <w:bCs/>
          <w:sz w:val="28"/>
          <w:szCs w:val="28"/>
          <w:lang w:eastAsia="en-US"/>
        </w:rPr>
        <w:t>Continuous Israeli Aggressions and</w:t>
      </w:r>
      <w:r w:rsidR="004914F2" w:rsidRPr="003F77BA">
        <w:rPr>
          <w:rFonts w:asciiTheme="majorBidi" w:hAnsiTheme="majorBidi" w:cstheme="majorBidi"/>
          <w:b/>
          <w:bCs/>
          <w:sz w:val="28"/>
          <w:szCs w:val="28"/>
          <w:lang w:eastAsia="en-US"/>
        </w:rPr>
        <w:t xml:space="preserve"> Colonization</w:t>
      </w:r>
      <w:r w:rsidRPr="003F77BA">
        <w:rPr>
          <w:rFonts w:asciiTheme="majorBidi" w:hAnsiTheme="majorBidi" w:cstheme="majorBidi"/>
          <w:b/>
          <w:bCs/>
          <w:sz w:val="28"/>
          <w:szCs w:val="28"/>
          <w:lang w:eastAsia="en-US"/>
        </w:rPr>
        <w:t xml:space="preserve">  </w:t>
      </w:r>
    </w:p>
    <w:p w14:paraId="6C6E224B" w14:textId="6D7191C8" w:rsidR="00131D93" w:rsidRPr="003F77BA" w:rsidRDefault="00895ED1" w:rsidP="001E346C">
      <w:pPr>
        <w:bidi w:val="0"/>
        <w:jc w:val="both"/>
        <w:rPr>
          <w:rFonts w:asciiTheme="majorBidi" w:hAnsiTheme="majorBidi" w:cstheme="majorBidi"/>
          <w:b/>
          <w:bCs/>
          <w:sz w:val="26"/>
          <w:szCs w:val="26"/>
          <w:lang w:eastAsia="en-US"/>
        </w:rPr>
      </w:pPr>
      <w:r w:rsidRPr="003F77BA">
        <w:rPr>
          <w:rFonts w:asciiTheme="majorBidi" w:hAnsiTheme="majorBidi" w:cstheme="majorBidi"/>
          <w:sz w:val="26"/>
          <w:szCs w:val="26"/>
          <w:lang w:eastAsia="en-US"/>
        </w:rPr>
        <w:t>Within the Israeli</w:t>
      </w:r>
      <w:r w:rsidR="00EE0A18" w:rsidRPr="003F77BA">
        <w:rPr>
          <w:rFonts w:asciiTheme="majorBidi" w:hAnsiTheme="majorBidi" w:cstheme="majorBidi"/>
          <w:sz w:val="26"/>
          <w:szCs w:val="26"/>
          <w:lang w:eastAsia="en-US"/>
        </w:rPr>
        <w:t xml:space="preserve"> systematic policy to uproot the Palestinians people from their land, </w:t>
      </w:r>
      <w:r w:rsidR="00D4649C" w:rsidRPr="003F77BA">
        <w:rPr>
          <w:rFonts w:asciiTheme="majorBidi" w:hAnsiTheme="majorBidi" w:cstheme="majorBidi"/>
          <w:sz w:val="26"/>
          <w:szCs w:val="26"/>
          <w:lang w:eastAsia="en-US"/>
        </w:rPr>
        <w:t xml:space="preserve">the continuous aggressions practiced by the Israeli occupation and settlers against the Palestinian people in all localities, </w:t>
      </w:r>
      <w:r w:rsidR="003E096E" w:rsidRPr="003F77BA">
        <w:rPr>
          <w:rFonts w:asciiTheme="majorBidi" w:hAnsiTheme="majorBidi" w:cstheme="majorBidi"/>
          <w:sz w:val="26"/>
          <w:szCs w:val="26"/>
          <w:lang w:eastAsia="en-US"/>
        </w:rPr>
        <w:t xml:space="preserve">where </w:t>
      </w:r>
      <w:r w:rsidR="00007B8C" w:rsidRPr="003F77BA">
        <w:rPr>
          <w:rFonts w:asciiTheme="majorBidi" w:hAnsiTheme="majorBidi" w:cstheme="majorBidi"/>
          <w:sz w:val="26"/>
          <w:szCs w:val="26"/>
          <w:lang w:eastAsia="en-US"/>
        </w:rPr>
        <w:t xml:space="preserve">the Israeli occupation demolished and destroyed 1,058 buildings in Palestine (353 residential buildings and 705 facilities), which included 93 self-demolition operations, most of which are located in Jerusalem </w:t>
      </w:r>
      <w:r w:rsidR="003E096E" w:rsidRPr="003F77BA">
        <w:rPr>
          <w:rFonts w:asciiTheme="majorBidi" w:hAnsiTheme="majorBidi" w:cstheme="majorBidi"/>
          <w:sz w:val="26"/>
          <w:szCs w:val="26"/>
          <w:lang w:eastAsia="en-US"/>
        </w:rPr>
        <w:t xml:space="preserve">Governorate of </w:t>
      </w:r>
      <w:r w:rsidR="00007B8C" w:rsidRPr="003F77BA">
        <w:rPr>
          <w:rFonts w:asciiTheme="majorBidi" w:hAnsiTheme="majorBidi" w:cstheme="majorBidi"/>
          <w:sz w:val="26"/>
          <w:szCs w:val="26"/>
          <w:lang w:eastAsia="en-US"/>
        </w:rPr>
        <w:t>88 self-demolition operations</w:t>
      </w:r>
      <w:r w:rsidR="003E096E" w:rsidRPr="003F77BA">
        <w:rPr>
          <w:rFonts w:asciiTheme="majorBidi" w:hAnsiTheme="majorBidi" w:cstheme="majorBidi"/>
          <w:sz w:val="26"/>
          <w:szCs w:val="26"/>
          <w:lang w:eastAsia="en-US"/>
        </w:rPr>
        <w:t xml:space="preserve">. </w:t>
      </w:r>
      <w:r w:rsidR="00007B8C" w:rsidRPr="003F77BA">
        <w:rPr>
          <w:rFonts w:asciiTheme="majorBidi" w:hAnsiTheme="majorBidi" w:cstheme="majorBidi"/>
          <w:sz w:val="26"/>
          <w:szCs w:val="26"/>
          <w:lang w:eastAsia="en-US"/>
        </w:rPr>
        <w:t xml:space="preserve">Jerusalem governorate </w:t>
      </w:r>
      <w:r w:rsidR="003E096E" w:rsidRPr="003F77BA">
        <w:rPr>
          <w:rFonts w:asciiTheme="majorBidi" w:hAnsiTheme="majorBidi" w:cstheme="majorBidi"/>
          <w:sz w:val="26"/>
          <w:szCs w:val="26"/>
          <w:lang w:eastAsia="en-US"/>
        </w:rPr>
        <w:t>recorded the highest</w:t>
      </w:r>
      <w:r w:rsidR="00007B8C" w:rsidRPr="003F77BA">
        <w:rPr>
          <w:rFonts w:asciiTheme="majorBidi" w:hAnsiTheme="majorBidi" w:cstheme="majorBidi"/>
          <w:sz w:val="26"/>
          <w:szCs w:val="26"/>
          <w:lang w:eastAsia="en-US"/>
        </w:rPr>
        <w:t xml:space="preserve"> number of demolitions by 29%, which included the demolition of 128 residential buildings and 176 </w:t>
      </w:r>
      <w:r w:rsidR="003E096E" w:rsidRPr="003F77BA">
        <w:rPr>
          <w:rFonts w:asciiTheme="majorBidi" w:hAnsiTheme="majorBidi" w:cstheme="majorBidi"/>
          <w:sz w:val="26"/>
          <w:szCs w:val="26"/>
          <w:lang w:eastAsia="en-US"/>
        </w:rPr>
        <w:t>facilities</w:t>
      </w:r>
      <w:r w:rsidR="00007B8C" w:rsidRPr="003F77BA">
        <w:rPr>
          <w:rFonts w:asciiTheme="majorBidi" w:hAnsiTheme="majorBidi" w:cstheme="majorBidi"/>
          <w:sz w:val="26"/>
          <w:szCs w:val="26"/>
          <w:lang w:eastAsia="en-US"/>
        </w:rPr>
        <w:t xml:space="preserve">, at a time when the </w:t>
      </w:r>
      <w:r w:rsidR="003E096E" w:rsidRPr="003F77BA">
        <w:rPr>
          <w:rFonts w:asciiTheme="majorBidi" w:hAnsiTheme="majorBidi" w:cstheme="majorBidi"/>
          <w:sz w:val="26"/>
          <w:szCs w:val="26"/>
          <w:lang w:eastAsia="en-US"/>
        </w:rPr>
        <w:t>Israeli occupation</w:t>
      </w:r>
      <w:r w:rsidR="00A663DC" w:rsidRPr="003F77BA">
        <w:rPr>
          <w:rFonts w:asciiTheme="majorBidi" w:hAnsiTheme="majorBidi" w:cstheme="majorBidi"/>
          <w:sz w:val="26"/>
          <w:szCs w:val="26"/>
          <w:lang w:eastAsia="en-US"/>
        </w:rPr>
        <w:t xml:space="preserve"> </w:t>
      </w:r>
      <w:r w:rsidR="00007B8C" w:rsidRPr="003F77BA">
        <w:rPr>
          <w:rFonts w:asciiTheme="majorBidi" w:hAnsiTheme="majorBidi" w:cstheme="majorBidi"/>
          <w:sz w:val="26"/>
          <w:szCs w:val="26"/>
          <w:lang w:eastAsia="en-US"/>
        </w:rPr>
        <w:t xml:space="preserve">is building hundreds of settlement units, </w:t>
      </w:r>
      <w:r w:rsidR="003E096E" w:rsidRPr="003F77BA">
        <w:rPr>
          <w:rFonts w:asciiTheme="majorBidi" w:hAnsiTheme="majorBidi" w:cstheme="majorBidi"/>
          <w:sz w:val="26"/>
          <w:szCs w:val="26"/>
          <w:lang w:eastAsia="en-US"/>
        </w:rPr>
        <w:t>as</w:t>
      </w:r>
      <w:r w:rsidR="00007B8C" w:rsidRPr="003F77BA">
        <w:rPr>
          <w:rFonts w:asciiTheme="majorBidi" w:hAnsiTheme="majorBidi" w:cstheme="majorBidi"/>
          <w:sz w:val="26"/>
          <w:szCs w:val="26"/>
          <w:lang w:eastAsia="en-US"/>
        </w:rPr>
        <w:t xml:space="preserve"> more than </w:t>
      </w:r>
      <w:r w:rsidR="00165E64" w:rsidRPr="003F77BA">
        <w:rPr>
          <w:rFonts w:asciiTheme="majorBidi" w:hAnsiTheme="majorBidi" w:cstheme="majorBidi"/>
          <w:sz w:val="26"/>
          <w:szCs w:val="26"/>
          <w:lang w:eastAsia="en-US"/>
        </w:rPr>
        <w:t xml:space="preserve">700 thousand </w:t>
      </w:r>
      <w:r w:rsidR="00007B8C" w:rsidRPr="003F77BA">
        <w:rPr>
          <w:rFonts w:asciiTheme="majorBidi" w:hAnsiTheme="majorBidi" w:cstheme="majorBidi"/>
          <w:sz w:val="26"/>
          <w:szCs w:val="26"/>
          <w:lang w:eastAsia="en-US"/>
        </w:rPr>
        <w:t>settlers live in 151 settlements established on Palestinian lands in the West Bank at the end of 2021. The number of Palestinian martyrs reached</w:t>
      </w:r>
      <w:r w:rsidR="00A663DC" w:rsidRPr="003F77BA">
        <w:rPr>
          <w:rFonts w:asciiTheme="majorBidi" w:hAnsiTheme="majorBidi" w:cstheme="majorBidi"/>
          <w:sz w:val="26"/>
          <w:szCs w:val="26"/>
          <w:lang w:eastAsia="en-US"/>
        </w:rPr>
        <w:t xml:space="preserve"> </w:t>
      </w:r>
      <w:r w:rsidR="00784D0C" w:rsidRPr="003F77BA">
        <w:rPr>
          <w:rFonts w:asciiTheme="majorBidi" w:hAnsiTheme="majorBidi" w:cstheme="majorBidi"/>
          <w:sz w:val="26"/>
          <w:szCs w:val="26"/>
          <w:rtl/>
          <w:lang w:eastAsia="en-US"/>
        </w:rPr>
        <w:t>22</w:t>
      </w:r>
      <w:r w:rsidR="00D812CA" w:rsidRPr="003F77BA">
        <w:rPr>
          <w:rFonts w:asciiTheme="majorBidi" w:hAnsiTheme="majorBidi" w:cstheme="majorBidi"/>
          <w:sz w:val="26"/>
          <w:szCs w:val="26"/>
          <w:rtl/>
          <w:lang w:eastAsia="en-US"/>
        </w:rPr>
        <w:t>4</w:t>
      </w:r>
      <w:r w:rsidR="00007B8C" w:rsidRPr="003F77BA">
        <w:rPr>
          <w:rFonts w:asciiTheme="majorBidi" w:hAnsiTheme="majorBidi" w:cstheme="majorBidi"/>
          <w:sz w:val="26"/>
          <w:szCs w:val="26"/>
          <w:lang w:eastAsia="en-US"/>
        </w:rPr>
        <w:t xml:space="preserve"> martyrs</w:t>
      </w:r>
      <w:r w:rsidR="003E096E" w:rsidRPr="003F77BA">
        <w:rPr>
          <w:rFonts w:asciiTheme="majorBidi" w:hAnsiTheme="majorBidi" w:cstheme="majorBidi"/>
          <w:sz w:val="26"/>
          <w:szCs w:val="26"/>
          <w:lang w:eastAsia="en-US"/>
        </w:rPr>
        <w:t xml:space="preserve"> during 2022 and until </w:t>
      </w:r>
      <w:r w:rsidR="003E096E" w:rsidRPr="003F77BA">
        <w:rPr>
          <w:rFonts w:asciiTheme="majorBidi" w:hAnsiTheme="majorBidi" w:cstheme="majorBidi"/>
          <w:sz w:val="26"/>
          <w:szCs w:val="26"/>
          <w:rtl/>
          <w:lang w:eastAsia="en-US"/>
        </w:rPr>
        <w:t>26</w:t>
      </w:r>
      <w:r w:rsidR="003E096E" w:rsidRPr="003F77BA">
        <w:rPr>
          <w:rFonts w:asciiTheme="majorBidi" w:hAnsiTheme="majorBidi" w:cstheme="majorBidi"/>
          <w:sz w:val="26"/>
          <w:szCs w:val="26"/>
          <w:lang w:eastAsia="en-US"/>
        </w:rPr>
        <w:t xml:space="preserve"> December</w:t>
      </w:r>
      <w:r w:rsidR="00007B8C" w:rsidRPr="003F77BA">
        <w:rPr>
          <w:rFonts w:asciiTheme="majorBidi" w:hAnsiTheme="majorBidi" w:cstheme="majorBidi"/>
          <w:sz w:val="26"/>
          <w:szCs w:val="26"/>
          <w:lang w:eastAsia="en-US"/>
        </w:rPr>
        <w:t xml:space="preserve"> </w:t>
      </w:r>
      <w:r w:rsidR="00784D0C" w:rsidRPr="003F77BA">
        <w:rPr>
          <w:rFonts w:asciiTheme="majorBidi" w:hAnsiTheme="majorBidi" w:cstheme="majorBidi"/>
          <w:sz w:val="26"/>
          <w:szCs w:val="26"/>
          <w:rtl/>
          <w:lang w:eastAsia="en-US"/>
        </w:rPr>
        <w:t>)</w:t>
      </w:r>
      <w:r w:rsidR="00007B8C" w:rsidRPr="003F77BA">
        <w:rPr>
          <w:rFonts w:asciiTheme="majorBidi" w:hAnsiTheme="majorBidi" w:cstheme="majorBidi"/>
          <w:sz w:val="26"/>
          <w:szCs w:val="26"/>
          <w:lang w:eastAsia="en-US"/>
        </w:rPr>
        <w:t xml:space="preserve"> </w:t>
      </w:r>
      <w:r w:rsidR="00784D0C" w:rsidRPr="003F77BA">
        <w:rPr>
          <w:rFonts w:asciiTheme="majorBidi" w:hAnsiTheme="majorBidi" w:cstheme="majorBidi"/>
          <w:sz w:val="26"/>
          <w:szCs w:val="26"/>
          <w:rtl/>
          <w:lang w:eastAsia="en-US"/>
        </w:rPr>
        <w:t>53</w:t>
      </w:r>
      <w:r w:rsidR="00007B8C" w:rsidRPr="003F77BA">
        <w:rPr>
          <w:rFonts w:asciiTheme="majorBidi" w:hAnsiTheme="majorBidi" w:cstheme="majorBidi"/>
          <w:sz w:val="26"/>
          <w:szCs w:val="26"/>
          <w:lang w:eastAsia="en-US"/>
        </w:rPr>
        <w:t xml:space="preserve"> martyrs in Gaza Strip and </w:t>
      </w:r>
      <w:r w:rsidR="00D812CA" w:rsidRPr="003F77BA">
        <w:rPr>
          <w:rFonts w:asciiTheme="majorBidi" w:hAnsiTheme="majorBidi" w:cstheme="majorBidi"/>
          <w:sz w:val="26"/>
          <w:szCs w:val="26"/>
          <w:rtl/>
          <w:lang w:eastAsia="en-US"/>
        </w:rPr>
        <w:t>171</w:t>
      </w:r>
      <w:r w:rsidR="00007B8C" w:rsidRPr="003F77BA">
        <w:rPr>
          <w:rFonts w:asciiTheme="majorBidi" w:hAnsiTheme="majorBidi" w:cstheme="majorBidi"/>
          <w:sz w:val="26"/>
          <w:szCs w:val="26"/>
          <w:lang w:eastAsia="en-US"/>
        </w:rPr>
        <w:t xml:space="preserve"> martyrs in the West Bank</w:t>
      </w:r>
      <w:r w:rsidR="00784D0C" w:rsidRPr="003F77BA">
        <w:rPr>
          <w:rFonts w:asciiTheme="majorBidi" w:hAnsiTheme="majorBidi" w:cstheme="majorBidi"/>
          <w:sz w:val="26"/>
          <w:szCs w:val="26"/>
          <w:rtl/>
          <w:lang w:eastAsia="en-US"/>
        </w:rPr>
        <w:t>(</w:t>
      </w:r>
      <w:r w:rsidR="00007B8C" w:rsidRPr="003F77BA">
        <w:rPr>
          <w:rFonts w:asciiTheme="majorBidi" w:hAnsiTheme="majorBidi" w:cstheme="majorBidi"/>
          <w:sz w:val="26"/>
          <w:szCs w:val="26"/>
          <w:lang w:eastAsia="en-US"/>
        </w:rPr>
        <w:t xml:space="preserve">, according to the records of the Palestinian Ministry of Health, and the number of prisoners languishing in </w:t>
      </w:r>
      <w:r w:rsidR="003E096E" w:rsidRPr="003F77BA">
        <w:rPr>
          <w:rFonts w:asciiTheme="majorBidi" w:hAnsiTheme="majorBidi" w:cstheme="majorBidi"/>
          <w:sz w:val="26"/>
          <w:szCs w:val="26"/>
          <w:lang w:eastAsia="en-US"/>
        </w:rPr>
        <w:t xml:space="preserve">the </w:t>
      </w:r>
      <w:r w:rsidR="00007B8C" w:rsidRPr="003F77BA">
        <w:rPr>
          <w:rFonts w:asciiTheme="majorBidi" w:hAnsiTheme="majorBidi" w:cstheme="majorBidi"/>
          <w:sz w:val="26"/>
          <w:szCs w:val="26"/>
          <w:lang w:eastAsia="en-US"/>
        </w:rPr>
        <w:t>Israeli occupation prisons reached 4,7</w:t>
      </w:r>
      <w:r w:rsidR="00790293" w:rsidRPr="003F77BA">
        <w:rPr>
          <w:rFonts w:asciiTheme="majorBidi" w:hAnsiTheme="majorBidi" w:cstheme="majorBidi"/>
          <w:sz w:val="26"/>
          <w:szCs w:val="26"/>
          <w:rtl/>
          <w:lang w:eastAsia="en-US"/>
        </w:rPr>
        <w:t>0</w:t>
      </w:r>
      <w:r w:rsidR="00007B8C" w:rsidRPr="003F77BA">
        <w:rPr>
          <w:rFonts w:asciiTheme="majorBidi" w:hAnsiTheme="majorBidi" w:cstheme="majorBidi"/>
          <w:sz w:val="26"/>
          <w:szCs w:val="26"/>
          <w:lang w:eastAsia="en-US"/>
        </w:rPr>
        <w:t xml:space="preserve">0, as of the </w:t>
      </w:r>
      <w:r w:rsidR="00790293" w:rsidRPr="003F77BA">
        <w:rPr>
          <w:rFonts w:asciiTheme="majorBidi" w:hAnsiTheme="majorBidi" w:cstheme="majorBidi"/>
          <w:sz w:val="26"/>
          <w:szCs w:val="26"/>
          <w:lang w:eastAsia="en-US"/>
        </w:rPr>
        <w:t>end of November 2022</w:t>
      </w:r>
      <w:r w:rsidR="00007B8C" w:rsidRPr="003F77BA">
        <w:rPr>
          <w:rFonts w:asciiTheme="majorBidi" w:hAnsiTheme="majorBidi" w:cstheme="majorBidi"/>
          <w:sz w:val="26"/>
          <w:szCs w:val="26"/>
          <w:lang w:eastAsia="en-US"/>
        </w:rPr>
        <w:t>, according to the data of the Commission of Prisoners and Ex-Prisoners Affairs, 2022</w:t>
      </w:r>
      <w:r w:rsidR="009D1BEE" w:rsidRPr="003F77BA">
        <w:rPr>
          <w:rFonts w:asciiTheme="majorBidi" w:hAnsiTheme="majorBidi" w:cstheme="majorBidi"/>
          <w:sz w:val="26"/>
          <w:szCs w:val="26"/>
          <w:lang w:eastAsia="en-US"/>
        </w:rPr>
        <w:t xml:space="preserve">; among </w:t>
      </w:r>
      <w:r w:rsidR="00007B8C" w:rsidRPr="003F77BA">
        <w:rPr>
          <w:rFonts w:asciiTheme="majorBidi" w:hAnsiTheme="majorBidi" w:cstheme="majorBidi"/>
          <w:sz w:val="26"/>
          <w:szCs w:val="26"/>
          <w:lang w:eastAsia="en-US"/>
        </w:rPr>
        <w:t xml:space="preserve">them are </w:t>
      </w:r>
      <w:r w:rsidR="00790293" w:rsidRPr="003F77BA">
        <w:rPr>
          <w:rFonts w:asciiTheme="majorBidi" w:hAnsiTheme="majorBidi" w:cstheme="majorBidi"/>
          <w:sz w:val="26"/>
          <w:szCs w:val="26"/>
          <w:rtl/>
          <w:lang w:eastAsia="en-US"/>
        </w:rPr>
        <w:t>34</w:t>
      </w:r>
      <w:r w:rsidR="00007B8C" w:rsidRPr="003F77BA">
        <w:rPr>
          <w:rFonts w:asciiTheme="majorBidi" w:hAnsiTheme="majorBidi" w:cstheme="majorBidi"/>
          <w:sz w:val="26"/>
          <w:szCs w:val="26"/>
          <w:lang w:eastAsia="en-US"/>
        </w:rPr>
        <w:t xml:space="preserve"> female prisoners, about </w:t>
      </w:r>
      <w:r w:rsidR="00790293" w:rsidRPr="003F77BA">
        <w:rPr>
          <w:rFonts w:asciiTheme="majorBidi" w:hAnsiTheme="majorBidi" w:cstheme="majorBidi"/>
          <w:sz w:val="26"/>
          <w:szCs w:val="26"/>
          <w:rtl/>
          <w:lang w:eastAsia="en-US"/>
        </w:rPr>
        <w:t>150</w:t>
      </w:r>
      <w:r w:rsidR="00007B8C" w:rsidRPr="003F77BA">
        <w:rPr>
          <w:rFonts w:asciiTheme="majorBidi" w:hAnsiTheme="majorBidi" w:cstheme="majorBidi"/>
          <w:sz w:val="26"/>
          <w:szCs w:val="26"/>
          <w:lang w:eastAsia="en-US"/>
        </w:rPr>
        <w:t xml:space="preserve"> minors, and </w:t>
      </w:r>
      <w:r w:rsidR="00790293" w:rsidRPr="003F77BA">
        <w:rPr>
          <w:rFonts w:asciiTheme="majorBidi" w:hAnsiTheme="majorBidi" w:cstheme="majorBidi"/>
          <w:sz w:val="26"/>
          <w:szCs w:val="26"/>
          <w:rtl/>
          <w:lang w:eastAsia="en-US"/>
        </w:rPr>
        <w:t>835</w:t>
      </w:r>
      <w:r w:rsidR="00007B8C" w:rsidRPr="003F77BA">
        <w:rPr>
          <w:rFonts w:asciiTheme="majorBidi" w:hAnsiTheme="majorBidi" w:cstheme="majorBidi"/>
          <w:sz w:val="26"/>
          <w:szCs w:val="26"/>
          <w:lang w:eastAsia="en-US"/>
        </w:rPr>
        <w:t xml:space="preserve"> administrative detainees</w:t>
      </w:r>
      <w:r w:rsidR="001E346C" w:rsidRPr="003F77BA">
        <w:rPr>
          <w:rFonts w:asciiTheme="majorBidi" w:hAnsiTheme="majorBidi" w:cstheme="majorBidi"/>
          <w:sz w:val="26"/>
          <w:szCs w:val="26"/>
          <w:lang w:eastAsia="en-US"/>
        </w:rPr>
        <w:t xml:space="preserve"> </w:t>
      </w:r>
      <w:r w:rsidR="009D1BEE" w:rsidRPr="003F77BA">
        <w:rPr>
          <w:rFonts w:asciiTheme="majorBidi" w:hAnsiTheme="majorBidi" w:cstheme="majorBidi"/>
          <w:sz w:val="26"/>
          <w:szCs w:val="26"/>
          <w:lang w:eastAsia="en-US"/>
        </w:rPr>
        <w:t xml:space="preserve">(including </w:t>
      </w:r>
      <w:r w:rsidR="00007B8C" w:rsidRPr="003F77BA">
        <w:rPr>
          <w:rFonts w:asciiTheme="majorBidi" w:hAnsiTheme="majorBidi" w:cstheme="majorBidi"/>
          <w:sz w:val="26"/>
          <w:szCs w:val="26"/>
          <w:lang w:eastAsia="en-US"/>
        </w:rPr>
        <w:t>three female prisoners</w:t>
      </w:r>
      <w:r w:rsidR="009D1BEE" w:rsidRPr="003F77BA">
        <w:rPr>
          <w:rFonts w:asciiTheme="majorBidi" w:hAnsiTheme="majorBidi" w:cstheme="majorBidi"/>
          <w:sz w:val="26"/>
          <w:szCs w:val="26"/>
          <w:lang w:eastAsia="en-US"/>
        </w:rPr>
        <w:t>)</w:t>
      </w:r>
      <w:r w:rsidR="00007B8C" w:rsidRPr="003F77BA">
        <w:rPr>
          <w:rFonts w:asciiTheme="majorBidi" w:hAnsiTheme="majorBidi" w:cstheme="majorBidi"/>
          <w:sz w:val="26"/>
          <w:szCs w:val="26"/>
          <w:lang w:eastAsia="en-US"/>
        </w:rPr>
        <w:t xml:space="preserve"> and four children.</w:t>
      </w:r>
    </w:p>
    <w:p w14:paraId="4C38D9E0" w14:textId="18D97E96" w:rsidR="00574F2B" w:rsidRPr="003F77BA" w:rsidRDefault="00574F2B" w:rsidP="003F77BA">
      <w:pPr>
        <w:bidi w:val="0"/>
        <w:jc w:val="both"/>
        <w:rPr>
          <w:rFonts w:asciiTheme="majorBidi" w:hAnsiTheme="majorBidi" w:cstheme="majorBidi"/>
          <w:b/>
          <w:bCs/>
          <w:sz w:val="26"/>
          <w:szCs w:val="26"/>
          <w:lang w:eastAsia="en-US"/>
        </w:rPr>
      </w:pPr>
    </w:p>
    <w:p w14:paraId="0B57C7DD" w14:textId="77777777" w:rsidR="00574F2B" w:rsidRPr="003F77BA" w:rsidRDefault="00574F2B" w:rsidP="00B27CDC">
      <w:pPr>
        <w:jc w:val="center"/>
        <w:rPr>
          <w:rFonts w:asciiTheme="majorBidi" w:hAnsiTheme="majorBidi" w:cstheme="majorBidi" w:hint="cs"/>
          <w:b/>
          <w:bCs/>
          <w:sz w:val="26"/>
          <w:szCs w:val="26"/>
          <w:lang w:eastAsia="en-US"/>
        </w:rPr>
      </w:pPr>
    </w:p>
    <w:p w14:paraId="419B3351" w14:textId="77777777" w:rsidR="00C723E9" w:rsidRPr="003F77BA" w:rsidRDefault="00C723E9" w:rsidP="00C723E9">
      <w:pPr>
        <w:jc w:val="lowKashida"/>
        <w:rPr>
          <w:rFonts w:asciiTheme="majorBidi" w:hAnsiTheme="majorBidi" w:cstheme="majorBidi"/>
          <w:sz w:val="26"/>
          <w:szCs w:val="26"/>
          <w:u w:val="single"/>
          <w:rtl/>
          <w:lang w:eastAsia="en-US"/>
        </w:rPr>
      </w:pPr>
    </w:p>
    <w:sectPr w:rsidR="00C723E9" w:rsidRPr="003F77BA" w:rsidSect="0051615D">
      <w:footerReference w:type="even" r:id="rId10"/>
      <w:footerReference w:type="default" r:id="rId11"/>
      <w:headerReference w:type="first" r:id="rId12"/>
      <w:pgSz w:w="11906" w:h="16838" w:code="9"/>
      <w:pgMar w:top="851" w:right="1134" w:bottom="1134" w:left="1134" w:header="426" w:footer="258" w:gutter="0"/>
      <w:pgNumType w:start="1"/>
      <w:cols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22941" w14:textId="77777777" w:rsidR="00283273" w:rsidRDefault="00283273">
      <w:r>
        <w:separator/>
      </w:r>
    </w:p>
  </w:endnote>
  <w:endnote w:type="continuationSeparator" w:id="0">
    <w:p w14:paraId="4FF557C7" w14:textId="77777777" w:rsidR="00283273" w:rsidRDefault="0028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C2E43" w14:textId="77777777" w:rsidR="00915822" w:rsidRDefault="009723D5">
    <w:pPr>
      <w:pStyle w:val="Footer"/>
      <w:framePr w:wrap="around" w:vAnchor="text" w:hAnchor="margin" w:xAlign="center" w:y="1"/>
      <w:rPr>
        <w:rStyle w:val="PageNumber"/>
        <w:rtl/>
        <w:lang w:eastAsia="en-US"/>
      </w:rPr>
    </w:pPr>
    <w:r>
      <w:rPr>
        <w:rStyle w:val="PageNumber"/>
        <w:rtl/>
      </w:rPr>
      <w:fldChar w:fldCharType="begin"/>
    </w:r>
    <w:r w:rsidR="00915822">
      <w:rPr>
        <w:rStyle w:val="PageNumber"/>
        <w:lang w:eastAsia="en-US"/>
      </w:rPr>
      <w:instrText xml:space="preserve">PAGE  </w:instrText>
    </w:r>
    <w:r>
      <w:rPr>
        <w:rStyle w:val="PageNumber"/>
        <w:rtl/>
      </w:rPr>
      <w:fldChar w:fldCharType="separate"/>
    </w:r>
    <w:r w:rsidR="00915822">
      <w:rPr>
        <w:rStyle w:val="PageNumber"/>
        <w:noProof/>
        <w:rtl/>
      </w:rPr>
      <w:t>2</w:t>
    </w:r>
    <w:r>
      <w:rPr>
        <w:rStyle w:val="PageNumber"/>
        <w:rtl/>
      </w:rPr>
      <w:fldChar w:fldCharType="end"/>
    </w:r>
  </w:p>
  <w:p w14:paraId="643796A8" w14:textId="77777777" w:rsidR="00915822" w:rsidRDefault="00915822">
    <w:pPr>
      <w:pStyle w:val="Footer"/>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52021" w14:textId="1F040971" w:rsidR="00915822" w:rsidRPr="0051615D" w:rsidRDefault="009723D5">
    <w:pPr>
      <w:pStyle w:val="Footer"/>
      <w:framePr w:wrap="around" w:vAnchor="text" w:hAnchor="margin" w:xAlign="center" w:y="1"/>
      <w:rPr>
        <w:rStyle w:val="PageNumber"/>
        <w:b/>
        <w:bCs/>
        <w:rtl/>
        <w:lang w:eastAsia="en-US"/>
      </w:rPr>
    </w:pPr>
    <w:r w:rsidRPr="0051615D">
      <w:rPr>
        <w:rStyle w:val="PageNumber"/>
        <w:b/>
        <w:bCs/>
        <w:rtl/>
      </w:rPr>
      <w:fldChar w:fldCharType="begin"/>
    </w:r>
    <w:r w:rsidR="00915822" w:rsidRPr="0051615D">
      <w:rPr>
        <w:rStyle w:val="PageNumber"/>
        <w:b/>
        <w:bCs/>
        <w:lang w:eastAsia="en-US"/>
      </w:rPr>
      <w:instrText xml:space="preserve">PAGE  </w:instrText>
    </w:r>
    <w:r w:rsidRPr="0051615D">
      <w:rPr>
        <w:rStyle w:val="PageNumber"/>
        <w:b/>
        <w:bCs/>
        <w:rtl/>
      </w:rPr>
      <w:fldChar w:fldCharType="separate"/>
    </w:r>
    <w:r w:rsidR="002F1F1B">
      <w:rPr>
        <w:rStyle w:val="PageNumber"/>
        <w:b/>
        <w:bCs/>
        <w:noProof/>
        <w:rtl/>
      </w:rPr>
      <w:t>3</w:t>
    </w:r>
    <w:r w:rsidRPr="0051615D">
      <w:rPr>
        <w:rStyle w:val="PageNumber"/>
        <w:b/>
        <w:bCs/>
        <w:rtl/>
      </w:rPr>
      <w:fldChar w:fldCharType="end"/>
    </w:r>
  </w:p>
  <w:p w14:paraId="5C9E74F8" w14:textId="77777777" w:rsidR="00915822" w:rsidRPr="003F77BA" w:rsidRDefault="00915822">
    <w:pPr>
      <w:pStyle w:val="Footer"/>
      <w:rPr>
        <w:b/>
        <w:bCs/>
        <w:sz w:val="36"/>
        <w:szCs w:val="36"/>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430E4" w14:textId="77777777" w:rsidR="00283273" w:rsidRDefault="00283273">
      <w:r>
        <w:separator/>
      </w:r>
    </w:p>
  </w:footnote>
  <w:footnote w:type="continuationSeparator" w:id="0">
    <w:p w14:paraId="25A27CCB" w14:textId="77777777" w:rsidR="00283273" w:rsidRDefault="00283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472"/>
      <w:gridCol w:w="3474"/>
      <w:gridCol w:w="3474"/>
    </w:tblGrid>
    <w:tr w:rsidR="00915822" w14:paraId="0BEF62CC" w14:textId="77777777" w:rsidTr="00B10EE0">
      <w:tc>
        <w:tcPr>
          <w:tcW w:w="3473" w:type="dxa"/>
          <w:vAlign w:val="center"/>
        </w:tcPr>
        <w:p w14:paraId="288D30FD" w14:textId="77777777" w:rsidR="00915822" w:rsidRDefault="00915822" w:rsidP="00B10EE0">
          <w:pPr>
            <w:pStyle w:val="Header"/>
            <w:ind w:left="-1"/>
            <w:jc w:val="center"/>
            <w:rPr>
              <w:rFonts w:cs="Simplified Arabic"/>
              <w:b/>
              <w:bCs/>
              <w:sz w:val="28"/>
              <w:szCs w:val="28"/>
              <w:rtl/>
            </w:rPr>
          </w:pPr>
          <w:r>
            <w:rPr>
              <w:rFonts w:cs="Simplified Arabic" w:hint="cs"/>
              <w:b/>
              <w:bCs/>
              <w:sz w:val="28"/>
              <w:szCs w:val="28"/>
              <w:rtl/>
            </w:rPr>
            <w:t>فلسطين</w:t>
          </w:r>
        </w:p>
        <w:p w14:paraId="4B9D2F7A" w14:textId="77777777" w:rsidR="00915822" w:rsidRDefault="00915822"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14:paraId="683345CB" w14:textId="77777777" w:rsidR="00915822" w:rsidRDefault="00915822" w:rsidP="00B10EE0">
          <w:pPr>
            <w:pStyle w:val="Header"/>
            <w:rPr>
              <w:rtl/>
            </w:rPr>
          </w:pPr>
          <w:r>
            <w:rPr>
              <w:noProof/>
              <w:snapToGrid/>
              <w:rtl/>
            </w:rPr>
            <w:drawing>
              <wp:anchor distT="0" distB="0" distL="114300" distR="114300" simplePos="0" relativeHeight="251657216" behindDoc="0" locked="0" layoutInCell="1" allowOverlap="1" wp14:anchorId="7A530B68" wp14:editId="5EE98F96">
                <wp:simplePos x="0" y="0"/>
                <wp:positionH relativeFrom="column">
                  <wp:posOffset>733425</wp:posOffset>
                </wp:positionH>
                <wp:positionV relativeFrom="paragraph">
                  <wp:posOffset>635</wp:posOffset>
                </wp:positionV>
                <wp:extent cx="425450" cy="602615"/>
                <wp:effectExtent l="1905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14:paraId="12095ADC" w14:textId="77777777" w:rsidR="00915822" w:rsidRDefault="00915822"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14:paraId="79ADDA69" w14:textId="77777777" w:rsidR="00915822" w:rsidRPr="00237AA1" w:rsidRDefault="00915822" w:rsidP="00237AA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4"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5"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19"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15:restartNumberingAfterBreak="0">
    <w:nsid w:val="39BE6540"/>
    <w:multiLevelType w:val="hybridMultilevel"/>
    <w:tmpl w:val="F05812F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3C845709"/>
    <w:multiLevelType w:val="hybridMultilevel"/>
    <w:tmpl w:val="65E0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26AD6"/>
    <w:multiLevelType w:val="hybridMultilevel"/>
    <w:tmpl w:val="E5D00CD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6"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7"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8"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9"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30" w15:restartNumberingAfterBreak="0">
    <w:nsid w:val="498670A6"/>
    <w:multiLevelType w:val="hybridMultilevel"/>
    <w:tmpl w:val="F1B6712C"/>
    <w:lvl w:ilvl="0" w:tplc="674A165A">
      <w:start w:val="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2"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4" w15:restartNumberingAfterBreak="0">
    <w:nsid w:val="4EAE3FF2"/>
    <w:multiLevelType w:val="hybridMultilevel"/>
    <w:tmpl w:val="B8C8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7"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8" w15:restartNumberingAfterBreak="0">
    <w:nsid w:val="5FD3625B"/>
    <w:multiLevelType w:val="hybridMultilevel"/>
    <w:tmpl w:val="08F05846"/>
    <w:lvl w:ilvl="0" w:tplc="F08E329E">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0"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6508360F"/>
    <w:multiLevelType w:val="hybridMultilevel"/>
    <w:tmpl w:val="61AA5136"/>
    <w:lvl w:ilvl="0" w:tplc="04010001">
      <w:start w:val="1"/>
      <w:numFmt w:val="bullet"/>
      <w:lvlText w:val=""/>
      <w:lvlJc w:val="left"/>
      <w:pPr>
        <w:tabs>
          <w:tab w:val="num" w:pos="360"/>
        </w:tabs>
        <w:ind w:left="360" w:right="360" w:hanging="360"/>
      </w:pPr>
      <w:rPr>
        <w:rFonts w:ascii="Symbol" w:hAnsi="Symbol"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2"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43"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4"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5"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6" w15:restartNumberingAfterBreak="0">
    <w:nsid w:val="6F625A7B"/>
    <w:multiLevelType w:val="hybridMultilevel"/>
    <w:tmpl w:val="C472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8"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42"/>
  </w:num>
  <w:num w:numId="3">
    <w:abstractNumId w:val="37"/>
  </w:num>
  <w:num w:numId="4">
    <w:abstractNumId w:val="43"/>
  </w:num>
  <w:num w:numId="5">
    <w:abstractNumId w:val="44"/>
  </w:num>
  <w:num w:numId="6">
    <w:abstractNumId w:val="29"/>
  </w:num>
  <w:num w:numId="7">
    <w:abstractNumId w:val="48"/>
  </w:num>
  <w:num w:numId="8">
    <w:abstractNumId w:val="1"/>
  </w:num>
  <w:num w:numId="9">
    <w:abstractNumId w:val="6"/>
  </w:num>
  <w:num w:numId="10">
    <w:abstractNumId w:val="4"/>
  </w:num>
  <w:num w:numId="11">
    <w:abstractNumId w:val="21"/>
  </w:num>
  <w:num w:numId="12">
    <w:abstractNumId w:val="3"/>
  </w:num>
  <w:num w:numId="13">
    <w:abstractNumId w:val="28"/>
  </w:num>
  <w:num w:numId="14">
    <w:abstractNumId w:val="32"/>
  </w:num>
  <w:num w:numId="15">
    <w:abstractNumId w:val="23"/>
  </w:num>
  <w:num w:numId="16">
    <w:abstractNumId w:val="2"/>
  </w:num>
  <w:num w:numId="17">
    <w:abstractNumId w:val="36"/>
  </w:num>
  <w:num w:numId="18">
    <w:abstractNumId w:val="33"/>
  </w:num>
  <w:num w:numId="19">
    <w:abstractNumId w:val="8"/>
  </w:num>
  <w:num w:numId="20">
    <w:abstractNumId w:val="7"/>
  </w:num>
  <w:num w:numId="21">
    <w:abstractNumId w:val="18"/>
  </w:num>
  <w:num w:numId="22">
    <w:abstractNumId w:val="26"/>
  </w:num>
  <w:num w:numId="23">
    <w:abstractNumId w:val="12"/>
  </w:num>
  <w:num w:numId="24">
    <w:abstractNumId w:val="9"/>
  </w:num>
  <w:num w:numId="25">
    <w:abstractNumId w:val="47"/>
  </w:num>
  <w:num w:numId="26">
    <w:abstractNumId w:val="39"/>
  </w:num>
  <w:num w:numId="27">
    <w:abstractNumId w:val="5"/>
  </w:num>
  <w:num w:numId="28">
    <w:abstractNumId w:val="11"/>
  </w:num>
  <w:num w:numId="29">
    <w:abstractNumId w:val="14"/>
  </w:num>
  <w:num w:numId="30">
    <w:abstractNumId w:val="16"/>
  </w:num>
  <w:num w:numId="31">
    <w:abstractNumId w:val="15"/>
  </w:num>
  <w:num w:numId="32">
    <w:abstractNumId w:val="17"/>
  </w:num>
  <w:num w:numId="33">
    <w:abstractNumId w:val="40"/>
  </w:num>
  <w:num w:numId="34">
    <w:abstractNumId w:val="35"/>
  </w:num>
  <w:num w:numId="35">
    <w:abstractNumId w:val="13"/>
  </w:num>
  <w:num w:numId="36">
    <w:abstractNumId w:val="31"/>
  </w:num>
  <w:num w:numId="37">
    <w:abstractNumId w:val="0"/>
  </w:num>
  <w:num w:numId="38">
    <w:abstractNumId w:val="27"/>
  </w:num>
  <w:num w:numId="39">
    <w:abstractNumId w:val="20"/>
  </w:num>
  <w:num w:numId="40">
    <w:abstractNumId w:val="45"/>
  </w:num>
  <w:num w:numId="41">
    <w:abstractNumId w:val="19"/>
  </w:num>
  <w:num w:numId="42">
    <w:abstractNumId w:val="25"/>
  </w:num>
  <w:num w:numId="43">
    <w:abstractNumId w:val="41"/>
  </w:num>
  <w:num w:numId="44">
    <w:abstractNumId w:val="34"/>
  </w:num>
  <w:num w:numId="45">
    <w:abstractNumId w:val="46"/>
  </w:num>
  <w:num w:numId="46">
    <w:abstractNumId w:val="24"/>
  </w:num>
  <w:num w:numId="47">
    <w:abstractNumId w:val="30"/>
  </w:num>
  <w:num w:numId="48">
    <w:abstractNumId w:val="3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ar-SA" w:vendorID="64" w:dllVersion="131078" w:nlCheck="1" w:checkStyle="0"/>
  <w:proofState w:spelling="clean" w:grammar="clean"/>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UyMTE3NTc2NzQ1MjdU0lEKTi0uzszPAykwrAUAKTi70iwAAAA="/>
  </w:docVars>
  <w:rsids>
    <w:rsidRoot w:val="003735DD"/>
    <w:rsid w:val="000009B3"/>
    <w:rsid w:val="000026C1"/>
    <w:rsid w:val="00007967"/>
    <w:rsid w:val="00007B8C"/>
    <w:rsid w:val="0001013E"/>
    <w:rsid w:val="0001657B"/>
    <w:rsid w:val="00020FC8"/>
    <w:rsid w:val="000237FC"/>
    <w:rsid w:val="00024A21"/>
    <w:rsid w:val="000254EF"/>
    <w:rsid w:val="0002590B"/>
    <w:rsid w:val="00026B13"/>
    <w:rsid w:val="00027C29"/>
    <w:rsid w:val="0003252F"/>
    <w:rsid w:val="0003430C"/>
    <w:rsid w:val="000414B9"/>
    <w:rsid w:val="00042D56"/>
    <w:rsid w:val="000460DC"/>
    <w:rsid w:val="00050563"/>
    <w:rsid w:val="000512B5"/>
    <w:rsid w:val="0005342B"/>
    <w:rsid w:val="00054F57"/>
    <w:rsid w:val="000606F0"/>
    <w:rsid w:val="00064502"/>
    <w:rsid w:val="0006769B"/>
    <w:rsid w:val="00071E94"/>
    <w:rsid w:val="00072F73"/>
    <w:rsid w:val="000734B3"/>
    <w:rsid w:val="000761AF"/>
    <w:rsid w:val="00076DF8"/>
    <w:rsid w:val="00080728"/>
    <w:rsid w:val="000840A2"/>
    <w:rsid w:val="000860C5"/>
    <w:rsid w:val="00086CAA"/>
    <w:rsid w:val="0009101D"/>
    <w:rsid w:val="0009306C"/>
    <w:rsid w:val="000A20E4"/>
    <w:rsid w:val="000A2143"/>
    <w:rsid w:val="000A2992"/>
    <w:rsid w:val="000B05B1"/>
    <w:rsid w:val="000B2899"/>
    <w:rsid w:val="000B2EAA"/>
    <w:rsid w:val="000B493A"/>
    <w:rsid w:val="000B757D"/>
    <w:rsid w:val="000C107E"/>
    <w:rsid w:val="000C3718"/>
    <w:rsid w:val="000C45E5"/>
    <w:rsid w:val="000C6358"/>
    <w:rsid w:val="000D0C52"/>
    <w:rsid w:val="000D12A0"/>
    <w:rsid w:val="000D2FF5"/>
    <w:rsid w:val="000D332A"/>
    <w:rsid w:val="000D41AC"/>
    <w:rsid w:val="000D4428"/>
    <w:rsid w:val="000E2236"/>
    <w:rsid w:val="000E2620"/>
    <w:rsid w:val="000E2DC1"/>
    <w:rsid w:val="000E7B62"/>
    <w:rsid w:val="000F46B8"/>
    <w:rsid w:val="000F7363"/>
    <w:rsid w:val="00103936"/>
    <w:rsid w:val="00110AF6"/>
    <w:rsid w:val="0011171C"/>
    <w:rsid w:val="001204F0"/>
    <w:rsid w:val="0012106F"/>
    <w:rsid w:val="00121297"/>
    <w:rsid w:val="00126095"/>
    <w:rsid w:val="00127A42"/>
    <w:rsid w:val="00131D93"/>
    <w:rsid w:val="00132082"/>
    <w:rsid w:val="00132416"/>
    <w:rsid w:val="00132472"/>
    <w:rsid w:val="00135B24"/>
    <w:rsid w:val="00143DBF"/>
    <w:rsid w:val="0014641A"/>
    <w:rsid w:val="001472D6"/>
    <w:rsid w:val="00147AF3"/>
    <w:rsid w:val="00165E64"/>
    <w:rsid w:val="00165F0D"/>
    <w:rsid w:val="00173AF0"/>
    <w:rsid w:val="00176C3B"/>
    <w:rsid w:val="00194121"/>
    <w:rsid w:val="001A129E"/>
    <w:rsid w:val="001A2E41"/>
    <w:rsid w:val="001A39ED"/>
    <w:rsid w:val="001A4F91"/>
    <w:rsid w:val="001A7E63"/>
    <w:rsid w:val="001B2A5B"/>
    <w:rsid w:val="001B3736"/>
    <w:rsid w:val="001B6621"/>
    <w:rsid w:val="001B77C2"/>
    <w:rsid w:val="001C7A90"/>
    <w:rsid w:val="001D0D82"/>
    <w:rsid w:val="001D3F26"/>
    <w:rsid w:val="001D4F23"/>
    <w:rsid w:val="001E26AF"/>
    <w:rsid w:val="001E2C0B"/>
    <w:rsid w:val="001E346C"/>
    <w:rsid w:val="001F24F9"/>
    <w:rsid w:val="001F32D8"/>
    <w:rsid w:val="001F3AF0"/>
    <w:rsid w:val="001F3B0A"/>
    <w:rsid w:val="0020040D"/>
    <w:rsid w:val="002020BC"/>
    <w:rsid w:val="00203033"/>
    <w:rsid w:val="002067FB"/>
    <w:rsid w:val="00210333"/>
    <w:rsid w:val="002107DF"/>
    <w:rsid w:val="00212F4A"/>
    <w:rsid w:val="002132AA"/>
    <w:rsid w:val="002164D8"/>
    <w:rsid w:val="00217A0F"/>
    <w:rsid w:val="00220A64"/>
    <w:rsid w:val="00224FA9"/>
    <w:rsid w:val="00225ECA"/>
    <w:rsid w:val="002276F8"/>
    <w:rsid w:val="00227D61"/>
    <w:rsid w:val="00237AA1"/>
    <w:rsid w:val="002443CC"/>
    <w:rsid w:val="00247528"/>
    <w:rsid w:val="00251F4D"/>
    <w:rsid w:val="00254242"/>
    <w:rsid w:val="00254FA1"/>
    <w:rsid w:val="002560B7"/>
    <w:rsid w:val="00256FD6"/>
    <w:rsid w:val="00260AFA"/>
    <w:rsid w:val="00261467"/>
    <w:rsid w:val="00264A39"/>
    <w:rsid w:val="0026616A"/>
    <w:rsid w:val="00267642"/>
    <w:rsid w:val="00272CC7"/>
    <w:rsid w:val="00273617"/>
    <w:rsid w:val="0028046F"/>
    <w:rsid w:val="00283273"/>
    <w:rsid w:val="00284D38"/>
    <w:rsid w:val="00287E2D"/>
    <w:rsid w:val="00292E16"/>
    <w:rsid w:val="002A293C"/>
    <w:rsid w:val="002A3556"/>
    <w:rsid w:val="002A378A"/>
    <w:rsid w:val="002A6913"/>
    <w:rsid w:val="002B2F8F"/>
    <w:rsid w:val="002B3B89"/>
    <w:rsid w:val="002B6133"/>
    <w:rsid w:val="002B72AA"/>
    <w:rsid w:val="002C12F1"/>
    <w:rsid w:val="002C4877"/>
    <w:rsid w:val="002D04F6"/>
    <w:rsid w:val="002D4251"/>
    <w:rsid w:val="002D543D"/>
    <w:rsid w:val="002E38E1"/>
    <w:rsid w:val="002F1F1B"/>
    <w:rsid w:val="00301ABA"/>
    <w:rsid w:val="003059FC"/>
    <w:rsid w:val="00310E9A"/>
    <w:rsid w:val="00311F0E"/>
    <w:rsid w:val="00312577"/>
    <w:rsid w:val="00312B2B"/>
    <w:rsid w:val="00314FDA"/>
    <w:rsid w:val="003160FC"/>
    <w:rsid w:val="003163D0"/>
    <w:rsid w:val="00322966"/>
    <w:rsid w:val="00325089"/>
    <w:rsid w:val="0032568B"/>
    <w:rsid w:val="00325C93"/>
    <w:rsid w:val="00325D6B"/>
    <w:rsid w:val="00335060"/>
    <w:rsid w:val="00335394"/>
    <w:rsid w:val="0034535D"/>
    <w:rsid w:val="003457FC"/>
    <w:rsid w:val="00347F6E"/>
    <w:rsid w:val="00356629"/>
    <w:rsid w:val="00356CE0"/>
    <w:rsid w:val="003609DD"/>
    <w:rsid w:val="00360B13"/>
    <w:rsid w:val="00364E7A"/>
    <w:rsid w:val="0037084B"/>
    <w:rsid w:val="003735DD"/>
    <w:rsid w:val="00375995"/>
    <w:rsid w:val="00376EDF"/>
    <w:rsid w:val="00380323"/>
    <w:rsid w:val="00385706"/>
    <w:rsid w:val="003951D4"/>
    <w:rsid w:val="00397AD0"/>
    <w:rsid w:val="00397E7D"/>
    <w:rsid w:val="003B10D2"/>
    <w:rsid w:val="003B1F6D"/>
    <w:rsid w:val="003B4E32"/>
    <w:rsid w:val="003C57B2"/>
    <w:rsid w:val="003D154B"/>
    <w:rsid w:val="003D4232"/>
    <w:rsid w:val="003E096E"/>
    <w:rsid w:val="003E1915"/>
    <w:rsid w:val="003E1B78"/>
    <w:rsid w:val="003E1C4E"/>
    <w:rsid w:val="003E4102"/>
    <w:rsid w:val="003F1817"/>
    <w:rsid w:val="003F4698"/>
    <w:rsid w:val="003F5067"/>
    <w:rsid w:val="003F77BA"/>
    <w:rsid w:val="003F7FEB"/>
    <w:rsid w:val="00402DFA"/>
    <w:rsid w:val="00410898"/>
    <w:rsid w:val="004130D7"/>
    <w:rsid w:val="004139E0"/>
    <w:rsid w:val="0041539B"/>
    <w:rsid w:val="0041603D"/>
    <w:rsid w:val="00422BF7"/>
    <w:rsid w:val="004318DB"/>
    <w:rsid w:val="00431C9F"/>
    <w:rsid w:val="00434A35"/>
    <w:rsid w:val="00446DC7"/>
    <w:rsid w:val="00453297"/>
    <w:rsid w:val="00453F57"/>
    <w:rsid w:val="00460609"/>
    <w:rsid w:val="00465267"/>
    <w:rsid w:val="00470051"/>
    <w:rsid w:val="00471326"/>
    <w:rsid w:val="00474CC7"/>
    <w:rsid w:val="004806EE"/>
    <w:rsid w:val="004841C0"/>
    <w:rsid w:val="00485A39"/>
    <w:rsid w:val="004914F2"/>
    <w:rsid w:val="004974D1"/>
    <w:rsid w:val="004A0594"/>
    <w:rsid w:val="004A4C5A"/>
    <w:rsid w:val="004A4E84"/>
    <w:rsid w:val="004B2084"/>
    <w:rsid w:val="004B2D88"/>
    <w:rsid w:val="004C1BBE"/>
    <w:rsid w:val="004C330A"/>
    <w:rsid w:val="004C408A"/>
    <w:rsid w:val="004D1DD3"/>
    <w:rsid w:val="004E5E79"/>
    <w:rsid w:val="004F4CED"/>
    <w:rsid w:val="00502FC3"/>
    <w:rsid w:val="00506ED9"/>
    <w:rsid w:val="005118CC"/>
    <w:rsid w:val="00513320"/>
    <w:rsid w:val="0051615D"/>
    <w:rsid w:val="005167B4"/>
    <w:rsid w:val="0052132A"/>
    <w:rsid w:val="005274CE"/>
    <w:rsid w:val="00531DE9"/>
    <w:rsid w:val="00535468"/>
    <w:rsid w:val="00535B24"/>
    <w:rsid w:val="005368CC"/>
    <w:rsid w:val="00545FDD"/>
    <w:rsid w:val="00546089"/>
    <w:rsid w:val="00546F4B"/>
    <w:rsid w:val="00547CEC"/>
    <w:rsid w:val="005516C5"/>
    <w:rsid w:val="00553FA3"/>
    <w:rsid w:val="005550A1"/>
    <w:rsid w:val="0055795A"/>
    <w:rsid w:val="005579D0"/>
    <w:rsid w:val="00557BE0"/>
    <w:rsid w:val="00561952"/>
    <w:rsid w:val="00562AA6"/>
    <w:rsid w:val="00564554"/>
    <w:rsid w:val="005645DF"/>
    <w:rsid w:val="005664FC"/>
    <w:rsid w:val="005708A9"/>
    <w:rsid w:val="005727D0"/>
    <w:rsid w:val="00574F2B"/>
    <w:rsid w:val="0057675A"/>
    <w:rsid w:val="005772AD"/>
    <w:rsid w:val="005806FF"/>
    <w:rsid w:val="005814FD"/>
    <w:rsid w:val="00585285"/>
    <w:rsid w:val="00591418"/>
    <w:rsid w:val="00594A0A"/>
    <w:rsid w:val="00595E96"/>
    <w:rsid w:val="005A05DE"/>
    <w:rsid w:val="005A19DF"/>
    <w:rsid w:val="005A627C"/>
    <w:rsid w:val="005B0702"/>
    <w:rsid w:val="005B3453"/>
    <w:rsid w:val="005B3571"/>
    <w:rsid w:val="005B383E"/>
    <w:rsid w:val="005B494E"/>
    <w:rsid w:val="005B6652"/>
    <w:rsid w:val="005B697D"/>
    <w:rsid w:val="005B6C87"/>
    <w:rsid w:val="005B6FD5"/>
    <w:rsid w:val="005D42C9"/>
    <w:rsid w:val="005D71CA"/>
    <w:rsid w:val="005E1046"/>
    <w:rsid w:val="005E353A"/>
    <w:rsid w:val="005E392B"/>
    <w:rsid w:val="005E62C4"/>
    <w:rsid w:val="005F1127"/>
    <w:rsid w:val="005F1EBE"/>
    <w:rsid w:val="005F37E3"/>
    <w:rsid w:val="005F6FC9"/>
    <w:rsid w:val="006143C9"/>
    <w:rsid w:val="00617884"/>
    <w:rsid w:val="00630638"/>
    <w:rsid w:val="00632E80"/>
    <w:rsid w:val="006332D1"/>
    <w:rsid w:val="0064236B"/>
    <w:rsid w:val="00646487"/>
    <w:rsid w:val="00647254"/>
    <w:rsid w:val="00653001"/>
    <w:rsid w:val="00662920"/>
    <w:rsid w:val="00663048"/>
    <w:rsid w:val="00665DE0"/>
    <w:rsid w:val="006759C7"/>
    <w:rsid w:val="00680ED9"/>
    <w:rsid w:val="0068445D"/>
    <w:rsid w:val="0068788F"/>
    <w:rsid w:val="00690D64"/>
    <w:rsid w:val="006932DE"/>
    <w:rsid w:val="006945B7"/>
    <w:rsid w:val="00695353"/>
    <w:rsid w:val="00697C27"/>
    <w:rsid w:val="006A6058"/>
    <w:rsid w:val="006B08FC"/>
    <w:rsid w:val="006B12DB"/>
    <w:rsid w:val="006C176A"/>
    <w:rsid w:val="006C5CD2"/>
    <w:rsid w:val="006C7784"/>
    <w:rsid w:val="006C7BF0"/>
    <w:rsid w:val="006D1270"/>
    <w:rsid w:val="006D19E0"/>
    <w:rsid w:val="006D4D0C"/>
    <w:rsid w:val="006D7554"/>
    <w:rsid w:val="006E0C76"/>
    <w:rsid w:val="006E211B"/>
    <w:rsid w:val="006E2267"/>
    <w:rsid w:val="006E3E08"/>
    <w:rsid w:val="006E46EA"/>
    <w:rsid w:val="006E698D"/>
    <w:rsid w:val="00701324"/>
    <w:rsid w:val="00701A99"/>
    <w:rsid w:val="007040DF"/>
    <w:rsid w:val="00715D55"/>
    <w:rsid w:val="007161A4"/>
    <w:rsid w:val="00720FC1"/>
    <w:rsid w:val="00721AED"/>
    <w:rsid w:val="00721C43"/>
    <w:rsid w:val="00722837"/>
    <w:rsid w:val="0072303F"/>
    <w:rsid w:val="007277FE"/>
    <w:rsid w:val="00731130"/>
    <w:rsid w:val="00731720"/>
    <w:rsid w:val="00731B85"/>
    <w:rsid w:val="00735808"/>
    <w:rsid w:val="00735B24"/>
    <w:rsid w:val="00737351"/>
    <w:rsid w:val="00741B7B"/>
    <w:rsid w:val="0074448B"/>
    <w:rsid w:val="00744C9F"/>
    <w:rsid w:val="00746B86"/>
    <w:rsid w:val="0075301D"/>
    <w:rsid w:val="00761640"/>
    <w:rsid w:val="00762F9A"/>
    <w:rsid w:val="007648C5"/>
    <w:rsid w:val="00766F5C"/>
    <w:rsid w:val="007672C9"/>
    <w:rsid w:val="00770501"/>
    <w:rsid w:val="00770980"/>
    <w:rsid w:val="00772257"/>
    <w:rsid w:val="00774F8E"/>
    <w:rsid w:val="007751FE"/>
    <w:rsid w:val="0077633D"/>
    <w:rsid w:val="00784D0C"/>
    <w:rsid w:val="00790293"/>
    <w:rsid w:val="00791D9A"/>
    <w:rsid w:val="00791FBA"/>
    <w:rsid w:val="00792CE9"/>
    <w:rsid w:val="007A1EC3"/>
    <w:rsid w:val="007A221C"/>
    <w:rsid w:val="007A2B7B"/>
    <w:rsid w:val="007A2D27"/>
    <w:rsid w:val="007A46EB"/>
    <w:rsid w:val="007B0FCF"/>
    <w:rsid w:val="007B1A57"/>
    <w:rsid w:val="007C7892"/>
    <w:rsid w:val="007D038C"/>
    <w:rsid w:val="007D4A6F"/>
    <w:rsid w:val="007E49BD"/>
    <w:rsid w:val="007E6978"/>
    <w:rsid w:val="007F043A"/>
    <w:rsid w:val="007F6E11"/>
    <w:rsid w:val="00801A3F"/>
    <w:rsid w:val="00802057"/>
    <w:rsid w:val="00802F33"/>
    <w:rsid w:val="008032C6"/>
    <w:rsid w:val="0080368A"/>
    <w:rsid w:val="00807CC7"/>
    <w:rsid w:val="008108C2"/>
    <w:rsid w:val="00813D80"/>
    <w:rsid w:val="0081532D"/>
    <w:rsid w:val="008168D4"/>
    <w:rsid w:val="008221C6"/>
    <w:rsid w:val="00822BFB"/>
    <w:rsid w:val="00823A74"/>
    <w:rsid w:val="008261AC"/>
    <w:rsid w:val="0082798F"/>
    <w:rsid w:val="00831222"/>
    <w:rsid w:val="00831244"/>
    <w:rsid w:val="008369CB"/>
    <w:rsid w:val="00842E5A"/>
    <w:rsid w:val="00845A83"/>
    <w:rsid w:val="00847526"/>
    <w:rsid w:val="00847DE7"/>
    <w:rsid w:val="0085097E"/>
    <w:rsid w:val="008516A7"/>
    <w:rsid w:val="00852F3B"/>
    <w:rsid w:val="00855176"/>
    <w:rsid w:val="008558DA"/>
    <w:rsid w:val="00856BF5"/>
    <w:rsid w:val="008612C0"/>
    <w:rsid w:val="00867FA7"/>
    <w:rsid w:val="00870681"/>
    <w:rsid w:val="0087384A"/>
    <w:rsid w:val="008773F0"/>
    <w:rsid w:val="008815B1"/>
    <w:rsid w:val="00881E93"/>
    <w:rsid w:val="00883EB1"/>
    <w:rsid w:val="008945C1"/>
    <w:rsid w:val="00894C87"/>
    <w:rsid w:val="00895ED1"/>
    <w:rsid w:val="008A2EDD"/>
    <w:rsid w:val="008A538F"/>
    <w:rsid w:val="008B563A"/>
    <w:rsid w:val="008B5798"/>
    <w:rsid w:val="008B6EB3"/>
    <w:rsid w:val="008B7ECB"/>
    <w:rsid w:val="008C0974"/>
    <w:rsid w:val="008C45A9"/>
    <w:rsid w:val="008C71E5"/>
    <w:rsid w:val="008D1EE5"/>
    <w:rsid w:val="008D5D94"/>
    <w:rsid w:val="008D67FE"/>
    <w:rsid w:val="008D6C41"/>
    <w:rsid w:val="008E2CE1"/>
    <w:rsid w:val="008E3951"/>
    <w:rsid w:val="008F0371"/>
    <w:rsid w:val="008F50F4"/>
    <w:rsid w:val="008F7AC9"/>
    <w:rsid w:val="00901DAA"/>
    <w:rsid w:val="00915822"/>
    <w:rsid w:val="009161B8"/>
    <w:rsid w:val="00921393"/>
    <w:rsid w:val="00924840"/>
    <w:rsid w:val="00925280"/>
    <w:rsid w:val="00926DDA"/>
    <w:rsid w:val="00926E04"/>
    <w:rsid w:val="0093576B"/>
    <w:rsid w:val="00935ED9"/>
    <w:rsid w:val="00947191"/>
    <w:rsid w:val="00947EEE"/>
    <w:rsid w:val="009519DA"/>
    <w:rsid w:val="00955C05"/>
    <w:rsid w:val="0096066C"/>
    <w:rsid w:val="0096504F"/>
    <w:rsid w:val="00972224"/>
    <w:rsid w:val="009723D5"/>
    <w:rsid w:val="0097298D"/>
    <w:rsid w:val="00972E51"/>
    <w:rsid w:val="00973356"/>
    <w:rsid w:val="00974D91"/>
    <w:rsid w:val="009764B5"/>
    <w:rsid w:val="009817B6"/>
    <w:rsid w:val="00986D3B"/>
    <w:rsid w:val="00990378"/>
    <w:rsid w:val="00994DBC"/>
    <w:rsid w:val="009A126F"/>
    <w:rsid w:val="009A1388"/>
    <w:rsid w:val="009A16AD"/>
    <w:rsid w:val="009A5C25"/>
    <w:rsid w:val="009B0748"/>
    <w:rsid w:val="009B53EF"/>
    <w:rsid w:val="009B5790"/>
    <w:rsid w:val="009B6339"/>
    <w:rsid w:val="009B7CD4"/>
    <w:rsid w:val="009C2CCB"/>
    <w:rsid w:val="009C4F03"/>
    <w:rsid w:val="009C592D"/>
    <w:rsid w:val="009D0AF5"/>
    <w:rsid w:val="009D1BEE"/>
    <w:rsid w:val="009D2B03"/>
    <w:rsid w:val="009E0CEE"/>
    <w:rsid w:val="009E76B5"/>
    <w:rsid w:val="009F20CC"/>
    <w:rsid w:val="009F6330"/>
    <w:rsid w:val="009F6A29"/>
    <w:rsid w:val="00A02135"/>
    <w:rsid w:val="00A024A3"/>
    <w:rsid w:val="00A03A4B"/>
    <w:rsid w:val="00A11C94"/>
    <w:rsid w:val="00A1232E"/>
    <w:rsid w:val="00A12A52"/>
    <w:rsid w:val="00A12F1A"/>
    <w:rsid w:val="00A131EE"/>
    <w:rsid w:val="00A13E1B"/>
    <w:rsid w:val="00A158C4"/>
    <w:rsid w:val="00A161E1"/>
    <w:rsid w:val="00A16B45"/>
    <w:rsid w:val="00A2088C"/>
    <w:rsid w:val="00A24DFB"/>
    <w:rsid w:val="00A266B1"/>
    <w:rsid w:val="00A279EE"/>
    <w:rsid w:val="00A318A3"/>
    <w:rsid w:val="00A31AA0"/>
    <w:rsid w:val="00A367DC"/>
    <w:rsid w:val="00A36FB9"/>
    <w:rsid w:val="00A4614D"/>
    <w:rsid w:val="00A46995"/>
    <w:rsid w:val="00A5053A"/>
    <w:rsid w:val="00A5312C"/>
    <w:rsid w:val="00A537DC"/>
    <w:rsid w:val="00A57E48"/>
    <w:rsid w:val="00A605BB"/>
    <w:rsid w:val="00A64613"/>
    <w:rsid w:val="00A64EA3"/>
    <w:rsid w:val="00A663DC"/>
    <w:rsid w:val="00A67EF0"/>
    <w:rsid w:val="00A72569"/>
    <w:rsid w:val="00A741FA"/>
    <w:rsid w:val="00A80B0B"/>
    <w:rsid w:val="00A829FE"/>
    <w:rsid w:val="00A854EA"/>
    <w:rsid w:val="00A913C1"/>
    <w:rsid w:val="00A9547E"/>
    <w:rsid w:val="00A97BC3"/>
    <w:rsid w:val="00AA506D"/>
    <w:rsid w:val="00AA57D6"/>
    <w:rsid w:val="00AA7930"/>
    <w:rsid w:val="00AB0B76"/>
    <w:rsid w:val="00AB52E8"/>
    <w:rsid w:val="00AB5664"/>
    <w:rsid w:val="00AB7080"/>
    <w:rsid w:val="00AC064B"/>
    <w:rsid w:val="00AC39EC"/>
    <w:rsid w:val="00AC48B4"/>
    <w:rsid w:val="00AD0920"/>
    <w:rsid w:val="00AD4E51"/>
    <w:rsid w:val="00AD6533"/>
    <w:rsid w:val="00AE1DDD"/>
    <w:rsid w:val="00AE2646"/>
    <w:rsid w:val="00AE3B6D"/>
    <w:rsid w:val="00AF0CE1"/>
    <w:rsid w:val="00AF18DF"/>
    <w:rsid w:val="00B00D52"/>
    <w:rsid w:val="00B02F9E"/>
    <w:rsid w:val="00B04579"/>
    <w:rsid w:val="00B10EE0"/>
    <w:rsid w:val="00B203FA"/>
    <w:rsid w:val="00B274FB"/>
    <w:rsid w:val="00B27CDC"/>
    <w:rsid w:val="00B30B8F"/>
    <w:rsid w:val="00B30F30"/>
    <w:rsid w:val="00B337A2"/>
    <w:rsid w:val="00B3434A"/>
    <w:rsid w:val="00B35C47"/>
    <w:rsid w:val="00B36D89"/>
    <w:rsid w:val="00B471A0"/>
    <w:rsid w:val="00B50BAD"/>
    <w:rsid w:val="00B528E1"/>
    <w:rsid w:val="00B60F62"/>
    <w:rsid w:val="00B60FB6"/>
    <w:rsid w:val="00B67C2E"/>
    <w:rsid w:val="00B71BEB"/>
    <w:rsid w:val="00B74F39"/>
    <w:rsid w:val="00B8308F"/>
    <w:rsid w:val="00B8617C"/>
    <w:rsid w:val="00B930F0"/>
    <w:rsid w:val="00B934A2"/>
    <w:rsid w:val="00B964EE"/>
    <w:rsid w:val="00BA02E3"/>
    <w:rsid w:val="00BA2078"/>
    <w:rsid w:val="00BA4992"/>
    <w:rsid w:val="00BA524E"/>
    <w:rsid w:val="00BA68DA"/>
    <w:rsid w:val="00BA69D8"/>
    <w:rsid w:val="00BB29D4"/>
    <w:rsid w:val="00BB32B7"/>
    <w:rsid w:val="00BB43C7"/>
    <w:rsid w:val="00BB515F"/>
    <w:rsid w:val="00BC4F31"/>
    <w:rsid w:val="00BC7CBA"/>
    <w:rsid w:val="00BD2145"/>
    <w:rsid w:val="00BD2F84"/>
    <w:rsid w:val="00BD4930"/>
    <w:rsid w:val="00BD523B"/>
    <w:rsid w:val="00BE10E4"/>
    <w:rsid w:val="00BE2C1A"/>
    <w:rsid w:val="00BE5FA3"/>
    <w:rsid w:val="00BF0E58"/>
    <w:rsid w:val="00BF3F43"/>
    <w:rsid w:val="00C04333"/>
    <w:rsid w:val="00C10051"/>
    <w:rsid w:val="00C1100E"/>
    <w:rsid w:val="00C119B9"/>
    <w:rsid w:val="00C13507"/>
    <w:rsid w:val="00C15E76"/>
    <w:rsid w:val="00C23191"/>
    <w:rsid w:val="00C3036F"/>
    <w:rsid w:val="00C305DE"/>
    <w:rsid w:val="00C31F04"/>
    <w:rsid w:val="00C357E1"/>
    <w:rsid w:val="00C35C2F"/>
    <w:rsid w:val="00C410A4"/>
    <w:rsid w:val="00C433D0"/>
    <w:rsid w:val="00C46E5F"/>
    <w:rsid w:val="00C506A1"/>
    <w:rsid w:val="00C5189C"/>
    <w:rsid w:val="00C53C39"/>
    <w:rsid w:val="00C64C39"/>
    <w:rsid w:val="00C65206"/>
    <w:rsid w:val="00C67697"/>
    <w:rsid w:val="00C723E9"/>
    <w:rsid w:val="00C72B83"/>
    <w:rsid w:val="00C73DFB"/>
    <w:rsid w:val="00C7521E"/>
    <w:rsid w:val="00C76401"/>
    <w:rsid w:val="00C86A0B"/>
    <w:rsid w:val="00C919A2"/>
    <w:rsid w:val="00C91CCE"/>
    <w:rsid w:val="00C92226"/>
    <w:rsid w:val="00C94D9B"/>
    <w:rsid w:val="00CA03EE"/>
    <w:rsid w:val="00CA431D"/>
    <w:rsid w:val="00CB4FFD"/>
    <w:rsid w:val="00CB5683"/>
    <w:rsid w:val="00CB5E5D"/>
    <w:rsid w:val="00CC1F0B"/>
    <w:rsid w:val="00CD0507"/>
    <w:rsid w:val="00CD21D8"/>
    <w:rsid w:val="00CD22B7"/>
    <w:rsid w:val="00CD465D"/>
    <w:rsid w:val="00CE22A7"/>
    <w:rsid w:val="00CE2EA5"/>
    <w:rsid w:val="00CE6F87"/>
    <w:rsid w:val="00CF0A70"/>
    <w:rsid w:val="00CF1028"/>
    <w:rsid w:val="00CF4A6F"/>
    <w:rsid w:val="00D027F9"/>
    <w:rsid w:val="00D03308"/>
    <w:rsid w:val="00D065FF"/>
    <w:rsid w:val="00D07FC8"/>
    <w:rsid w:val="00D1179A"/>
    <w:rsid w:val="00D14846"/>
    <w:rsid w:val="00D15564"/>
    <w:rsid w:val="00D22DEE"/>
    <w:rsid w:val="00D27C6D"/>
    <w:rsid w:val="00D3184E"/>
    <w:rsid w:val="00D336A4"/>
    <w:rsid w:val="00D34659"/>
    <w:rsid w:val="00D351BF"/>
    <w:rsid w:val="00D362AB"/>
    <w:rsid w:val="00D379A6"/>
    <w:rsid w:val="00D40394"/>
    <w:rsid w:val="00D4303F"/>
    <w:rsid w:val="00D45FD3"/>
    <w:rsid w:val="00D4649C"/>
    <w:rsid w:val="00D52F19"/>
    <w:rsid w:val="00D53242"/>
    <w:rsid w:val="00D54CFB"/>
    <w:rsid w:val="00D57F0D"/>
    <w:rsid w:val="00D617A2"/>
    <w:rsid w:val="00D63037"/>
    <w:rsid w:val="00D6558B"/>
    <w:rsid w:val="00D658BC"/>
    <w:rsid w:val="00D725C5"/>
    <w:rsid w:val="00D736D3"/>
    <w:rsid w:val="00D73861"/>
    <w:rsid w:val="00D74A3C"/>
    <w:rsid w:val="00D74D63"/>
    <w:rsid w:val="00D75A5C"/>
    <w:rsid w:val="00D806D4"/>
    <w:rsid w:val="00D812CA"/>
    <w:rsid w:val="00D81904"/>
    <w:rsid w:val="00D94A23"/>
    <w:rsid w:val="00DA012A"/>
    <w:rsid w:val="00DB599C"/>
    <w:rsid w:val="00DB7CD9"/>
    <w:rsid w:val="00DC2122"/>
    <w:rsid w:val="00DE01A5"/>
    <w:rsid w:val="00DF0D0D"/>
    <w:rsid w:val="00DF25E5"/>
    <w:rsid w:val="00DF5694"/>
    <w:rsid w:val="00DF67C9"/>
    <w:rsid w:val="00E04A10"/>
    <w:rsid w:val="00E13456"/>
    <w:rsid w:val="00E13E41"/>
    <w:rsid w:val="00E17675"/>
    <w:rsid w:val="00E2311A"/>
    <w:rsid w:val="00E23E84"/>
    <w:rsid w:val="00E240AE"/>
    <w:rsid w:val="00E26DA3"/>
    <w:rsid w:val="00E302EF"/>
    <w:rsid w:val="00E35849"/>
    <w:rsid w:val="00E37DF9"/>
    <w:rsid w:val="00E46B3C"/>
    <w:rsid w:val="00E4717C"/>
    <w:rsid w:val="00E4721C"/>
    <w:rsid w:val="00E519EE"/>
    <w:rsid w:val="00E5634C"/>
    <w:rsid w:val="00E57F4B"/>
    <w:rsid w:val="00E61E9E"/>
    <w:rsid w:val="00E624F4"/>
    <w:rsid w:val="00E65BF4"/>
    <w:rsid w:val="00E670D4"/>
    <w:rsid w:val="00E70CA1"/>
    <w:rsid w:val="00E80047"/>
    <w:rsid w:val="00E90778"/>
    <w:rsid w:val="00E95D3C"/>
    <w:rsid w:val="00EA0791"/>
    <w:rsid w:val="00EA0F9A"/>
    <w:rsid w:val="00EA23C3"/>
    <w:rsid w:val="00EA5C2B"/>
    <w:rsid w:val="00EB0998"/>
    <w:rsid w:val="00EB1207"/>
    <w:rsid w:val="00EB230A"/>
    <w:rsid w:val="00EB68C6"/>
    <w:rsid w:val="00EC4B5B"/>
    <w:rsid w:val="00EC7812"/>
    <w:rsid w:val="00ED1E8A"/>
    <w:rsid w:val="00ED3A3B"/>
    <w:rsid w:val="00ED7664"/>
    <w:rsid w:val="00EE0A18"/>
    <w:rsid w:val="00EE4AB8"/>
    <w:rsid w:val="00EE6DEE"/>
    <w:rsid w:val="00EF3400"/>
    <w:rsid w:val="00F02087"/>
    <w:rsid w:val="00F057D1"/>
    <w:rsid w:val="00F11000"/>
    <w:rsid w:val="00F1385F"/>
    <w:rsid w:val="00F14889"/>
    <w:rsid w:val="00F219C2"/>
    <w:rsid w:val="00F21D80"/>
    <w:rsid w:val="00F34A18"/>
    <w:rsid w:val="00F35E20"/>
    <w:rsid w:val="00F36FFF"/>
    <w:rsid w:val="00F40996"/>
    <w:rsid w:val="00F418B7"/>
    <w:rsid w:val="00F43700"/>
    <w:rsid w:val="00F43CE1"/>
    <w:rsid w:val="00F459C6"/>
    <w:rsid w:val="00F501A3"/>
    <w:rsid w:val="00F5103D"/>
    <w:rsid w:val="00F54484"/>
    <w:rsid w:val="00F60959"/>
    <w:rsid w:val="00F6150D"/>
    <w:rsid w:val="00F61A25"/>
    <w:rsid w:val="00F650F4"/>
    <w:rsid w:val="00F73CF4"/>
    <w:rsid w:val="00F76CAB"/>
    <w:rsid w:val="00F77E8C"/>
    <w:rsid w:val="00F85F64"/>
    <w:rsid w:val="00F86CE3"/>
    <w:rsid w:val="00F96C16"/>
    <w:rsid w:val="00F96F49"/>
    <w:rsid w:val="00FA0786"/>
    <w:rsid w:val="00FB2D5D"/>
    <w:rsid w:val="00FB718C"/>
    <w:rsid w:val="00FB7842"/>
    <w:rsid w:val="00FC0372"/>
    <w:rsid w:val="00FE4F40"/>
    <w:rsid w:val="00FE706A"/>
    <w:rsid w:val="00FF096D"/>
    <w:rsid w:val="00FF0F8E"/>
    <w:rsid w:val="00FF6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81210"/>
  <w15:docId w15:val="{86548C42-8257-44C1-AA3E-E76CB564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6AF"/>
    <w:pPr>
      <w:bidi/>
    </w:pPr>
    <w:rPr>
      <w:sz w:val="24"/>
      <w:szCs w:val="24"/>
      <w:lang w:eastAsia="ar-SA"/>
    </w:rPr>
  </w:style>
  <w:style w:type="paragraph" w:styleId="Heading1">
    <w:name w:val="heading 1"/>
    <w:basedOn w:val="Normal"/>
    <w:next w:val="Normal"/>
    <w:qFormat/>
    <w:rsid w:val="001E26AF"/>
    <w:pPr>
      <w:keepNext/>
      <w:outlineLvl w:val="0"/>
    </w:pPr>
    <w:rPr>
      <w:b/>
      <w:bCs/>
    </w:rPr>
  </w:style>
  <w:style w:type="paragraph" w:styleId="Heading2">
    <w:name w:val="heading 2"/>
    <w:basedOn w:val="Normal"/>
    <w:next w:val="Normal"/>
    <w:qFormat/>
    <w:rsid w:val="001E26AF"/>
    <w:pPr>
      <w:keepNext/>
      <w:jc w:val="center"/>
      <w:outlineLvl w:val="1"/>
    </w:pPr>
    <w:rPr>
      <w:rFonts w:cs="Simplified Arabic"/>
      <w:b/>
      <w:bCs/>
    </w:rPr>
  </w:style>
  <w:style w:type="paragraph" w:styleId="Heading3">
    <w:name w:val="heading 3"/>
    <w:basedOn w:val="Normal"/>
    <w:next w:val="Normal"/>
    <w:qFormat/>
    <w:rsid w:val="001E26AF"/>
    <w:pPr>
      <w:keepNext/>
      <w:jc w:val="center"/>
      <w:outlineLvl w:val="2"/>
    </w:pPr>
    <w:rPr>
      <w:rFonts w:cs="Simplified Arabic"/>
      <w:b/>
      <w:bCs/>
      <w:sz w:val="22"/>
      <w:szCs w:val="22"/>
    </w:rPr>
  </w:style>
  <w:style w:type="paragraph" w:styleId="Heading4">
    <w:name w:val="heading 4"/>
    <w:basedOn w:val="Normal"/>
    <w:next w:val="Normal"/>
    <w:qFormat/>
    <w:rsid w:val="001E26AF"/>
    <w:pPr>
      <w:keepNext/>
      <w:jc w:val="lowKashida"/>
      <w:outlineLvl w:val="3"/>
    </w:pPr>
    <w:rPr>
      <w:rFonts w:cs="Simplified Arabic"/>
      <w:b/>
      <w:bCs/>
    </w:rPr>
  </w:style>
  <w:style w:type="paragraph" w:styleId="Heading5">
    <w:name w:val="heading 5"/>
    <w:basedOn w:val="Normal"/>
    <w:next w:val="Normal"/>
    <w:qFormat/>
    <w:rsid w:val="001E26AF"/>
    <w:pPr>
      <w:keepNext/>
      <w:jc w:val="center"/>
      <w:outlineLvl w:val="4"/>
    </w:pPr>
    <w:rPr>
      <w:rFonts w:cs="Simplified Arabic"/>
      <w:b/>
      <w:bCs/>
      <w:color w:val="339966"/>
    </w:rPr>
  </w:style>
  <w:style w:type="paragraph" w:styleId="Heading6">
    <w:name w:val="heading 6"/>
    <w:basedOn w:val="Normal"/>
    <w:next w:val="Normal"/>
    <w:qFormat/>
    <w:rsid w:val="001E26AF"/>
    <w:pPr>
      <w:keepNext/>
      <w:jc w:val="center"/>
      <w:outlineLvl w:val="5"/>
    </w:pPr>
    <w:rPr>
      <w:rFonts w:cs="Simplified Arabic"/>
      <w:b/>
      <w:bCs/>
      <w:sz w:val="28"/>
      <w:szCs w:val="28"/>
    </w:rPr>
  </w:style>
  <w:style w:type="paragraph" w:styleId="Heading7">
    <w:name w:val="heading 7"/>
    <w:basedOn w:val="Normal"/>
    <w:next w:val="Normal"/>
    <w:qFormat/>
    <w:rsid w:val="001E26AF"/>
    <w:pPr>
      <w:keepNext/>
      <w:outlineLvl w:val="6"/>
    </w:pPr>
    <w:rPr>
      <w:rFonts w:cs="Simplified Arabic"/>
      <w:b/>
      <w:bCs/>
      <w:sz w:val="22"/>
      <w:szCs w:val="22"/>
    </w:rPr>
  </w:style>
  <w:style w:type="paragraph" w:styleId="Heading8">
    <w:name w:val="heading 8"/>
    <w:basedOn w:val="Normal"/>
    <w:next w:val="Normal"/>
    <w:qFormat/>
    <w:rsid w:val="001E26AF"/>
    <w:pPr>
      <w:keepNext/>
      <w:jc w:val="lowKashida"/>
      <w:outlineLvl w:val="7"/>
    </w:pPr>
    <w:rPr>
      <w:rFonts w:cs="Simplified Arabic"/>
      <w:b/>
      <w:bCs/>
      <w:sz w:val="20"/>
      <w:szCs w:val="20"/>
    </w:rPr>
  </w:style>
  <w:style w:type="paragraph" w:styleId="Heading9">
    <w:name w:val="heading 9"/>
    <w:basedOn w:val="Normal"/>
    <w:next w:val="Normal"/>
    <w:qFormat/>
    <w:rsid w:val="001E26AF"/>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E26AF"/>
    <w:pPr>
      <w:jc w:val="lowKashida"/>
    </w:pPr>
    <w:rPr>
      <w:rFonts w:cs="Simplified Arabic"/>
      <w:snapToGrid w:val="0"/>
      <w:sz w:val="20"/>
      <w:szCs w:val="20"/>
      <w:lang w:eastAsia="en-US"/>
    </w:rPr>
  </w:style>
  <w:style w:type="paragraph" w:styleId="List">
    <w:name w:val="List"/>
    <w:basedOn w:val="Normal"/>
    <w:semiHidden/>
    <w:rsid w:val="001E26AF"/>
    <w:pPr>
      <w:ind w:left="283" w:hanging="283"/>
    </w:pPr>
  </w:style>
  <w:style w:type="paragraph" w:styleId="List2">
    <w:name w:val="List 2"/>
    <w:basedOn w:val="Normal"/>
    <w:semiHidden/>
    <w:rsid w:val="001E26AF"/>
    <w:pPr>
      <w:ind w:left="566" w:hanging="283"/>
    </w:pPr>
  </w:style>
  <w:style w:type="paragraph" w:styleId="BodyText2">
    <w:name w:val="Body Text 2"/>
    <w:basedOn w:val="Normal"/>
    <w:semiHidden/>
    <w:rsid w:val="001E26AF"/>
    <w:pPr>
      <w:jc w:val="lowKashida"/>
    </w:pPr>
    <w:rPr>
      <w:rFonts w:cs="Traditional Arabic"/>
      <w:noProof/>
      <w:szCs w:val="28"/>
      <w:lang w:eastAsia="en-US"/>
    </w:rPr>
  </w:style>
  <w:style w:type="paragraph" w:styleId="BodyTextIndent">
    <w:name w:val="Body Text Indent"/>
    <w:basedOn w:val="Normal"/>
    <w:semiHidden/>
    <w:rsid w:val="001E26AF"/>
    <w:pPr>
      <w:ind w:left="2040"/>
    </w:pPr>
  </w:style>
  <w:style w:type="paragraph" w:styleId="BodyText3">
    <w:name w:val="Body Text 3"/>
    <w:basedOn w:val="Normal"/>
    <w:semiHidden/>
    <w:rsid w:val="001E26AF"/>
    <w:pPr>
      <w:jc w:val="lowKashida"/>
    </w:pPr>
    <w:rPr>
      <w:rFonts w:cs="Simplified Arabic"/>
    </w:rPr>
  </w:style>
  <w:style w:type="paragraph" w:styleId="Header">
    <w:name w:val="header"/>
    <w:basedOn w:val="Normal"/>
    <w:link w:val="HeaderChar"/>
    <w:uiPriority w:val="99"/>
    <w:rsid w:val="001E26AF"/>
    <w:pPr>
      <w:tabs>
        <w:tab w:val="center" w:pos="4320"/>
        <w:tab w:val="right" w:pos="8640"/>
      </w:tabs>
    </w:pPr>
    <w:rPr>
      <w:rFonts w:cs="Traditional Arabic"/>
      <w:snapToGrid w:val="0"/>
      <w:sz w:val="20"/>
      <w:szCs w:val="20"/>
      <w:lang w:eastAsia="en-US"/>
    </w:rPr>
  </w:style>
  <w:style w:type="paragraph" w:styleId="Footer">
    <w:name w:val="footer"/>
    <w:basedOn w:val="Normal"/>
    <w:semiHidden/>
    <w:rsid w:val="001E26AF"/>
    <w:pPr>
      <w:tabs>
        <w:tab w:val="center" w:pos="4153"/>
        <w:tab w:val="right" w:pos="8306"/>
      </w:tabs>
    </w:pPr>
  </w:style>
  <w:style w:type="character" w:styleId="PageNumber">
    <w:name w:val="page number"/>
    <w:basedOn w:val="DefaultParagraphFont"/>
    <w:semiHidden/>
    <w:rsid w:val="001E26AF"/>
  </w:style>
  <w:style w:type="paragraph" w:customStyle="1" w:styleId="xl24">
    <w:name w:val="xl24"/>
    <w:basedOn w:val="Normal"/>
    <w:rsid w:val="001E26AF"/>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1E26AF"/>
    <w:pPr>
      <w:bidi w:val="0"/>
      <w:spacing w:before="100" w:beforeAutospacing="1" w:after="100" w:afterAutospacing="1"/>
      <w:jc w:val="center"/>
    </w:pPr>
    <w:rPr>
      <w:rFonts w:cs="Simplified Arabic" w:hint="cs"/>
      <w:b/>
      <w:bCs/>
    </w:rPr>
  </w:style>
  <w:style w:type="paragraph" w:customStyle="1" w:styleId="xl26">
    <w:name w:val="xl26"/>
    <w:basedOn w:val="Normal"/>
    <w:rsid w:val="001E26AF"/>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1E26AF"/>
    <w:pPr>
      <w:bidi w:val="0"/>
      <w:spacing w:before="100" w:beforeAutospacing="1" w:after="100" w:afterAutospacing="1"/>
      <w:jc w:val="right"/>
    </w:pPr>
    <w:rPr>
      <w:rFonts w:cs="Simplified Arabic" w:hint="cs"/>
      <w:b/>
      <w:bCs/>
    </w:rPr>
  </w:style>
  <w:style w:type="paragraph" w:customStyle="1" w:styleId="xl28">
    <w:name w:val="xl28"/>
    <w:basedOn w:val="Normal"/>
    <w:rsid w:val="001E26AF"/>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1E26AF"/>
    <w:pPr>
      <w:bidi w:val="0"/>
      <w:spacing w:before="100" w:beforeAutospacing="1" w:after="100" w:afterAutospacing="1"/>
      <w:jc w:val="right"/>
    </w:pPr>
    <w:rPr>
      <w:rFonts w:cs="Simplified Arabic" w:hint="cs"/>
    </w:rPr>
  </w:style>
  <w:style w:type="paragraph" w:customStyle="1" w:styleId="xl30">
    <w:name w:val="xl30"/>
    <w:basedOn w:val="Normal"/>
    <w:rsid w:val="001E26AF"/>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1E26AF"/>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1E26AF"/>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1E26AF"/>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1E26AF"/>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1E26AF"/>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1E26AF"/>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1E26AF"/>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1E26AF"/>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1E26AF"/>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1E26AF"/>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1E26AF"/>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1E26AF"/>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1E26AF"/>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1E26AF"/>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1E26AF"/>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1E26AF"/>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1E26AF"/>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1E26AF"/>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1E26AF"/>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1E26AF"/>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1E26AF"/>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1E26AF"/>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1E26AF"/>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1E26AF"/>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1E26AF"/>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1E26AF"/>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1E26AF"/>
    <w:pPr>
      <w:bidi w:val="0"/>
      <w:spacing w:before="100" w:beforeAutospacing="1" w:after="100" w:afterAutospacing="1"/>
    </w:pPr>
    <w:rPr>
      <w:b/>
      <w:bCs/>
    </w:rPr>
  </w:style>
  <w:style w:type="paragraph" w:customStyle="1" w:styleId="font6">
    <w:name w:val="font6"/>
    <w:basedOn w:val="Normal"/>
    <w:rsid w:val="001E26AF"/>
    <w:pPr>
      <w:bidi w:val="0"/>
      <w:spacing w:before="100" w:beforeAutospacing="1" w:after="100" w:afterAutospacing="1"/>
    </w:pPr>
    <w:rPr>
      <w:rFonts w:cs="Simplified Arabic" w:hint="cs"/>
      <w:b/>
      <w:bCs/>
    </w:rPr>
  </w:style>
  <w:style w:type="paragraph" w:customStyle="1" w:styleId="xl57">
    <w:name w:val="xl57"/>
    <w:basedOn w:val="Normal"/>
    <w:rsid w:val="001E26AF"/>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uiPriority w:val="99"/>
    <w:rsid w:val="001E26AF"/>
    <w:rPr>
      <w:vertAlign w:val="superscript"/>
    </w:rPr>
  </w:style>
  <w:style w:type="paragraph" w:styleId="FootnoteText">
    <w:name w:val="footnote text"/>
    <w:basedOn w:val="Normal"/>
    <w:link w:val="FootnoteTextChar"/>
    <w:uiPriority w:val="99"/>
    <w:rsid w:val="001E26AF"/>
    <w:rPr>
      <w:sz w:val="20"/>
      <w:szCs w:val="20"/>
    </w:rPr>
  </w:style>
  <w:style w:type="paragraph" w:styleId="BlockText">
    <w:name w:val="Block Text"/>
    <w:basedOn w:val="Normal"/>
    <w:semiHidden/>
    <w:rsid w:val="001E26AF"/>
    <w:pPr>
      <w:ind w:left="737" w:right="737"/>
      <w:jc w:val="lowKashida"/>
    </w:pPr>
    <w:rPr>
      <w:rFonts w:cs="Simplified Arabic"/>
    </w:rPr>
  </w:style>
  <w:style w:type="paragraph" w:styleId="Caption">
    <w:name w:val="caption"/>
    <w:basedOn w:val="Normal"/>
    <w:next w:val="Normal"/>
    <w:qFormat/>
    <w:rsid w:val="001E26AF"/>
    <w:pPr>
      <w:jc w:val="lowKashida"/>
    </w:pPr>
    <w:rPr>
      <w:rFonts w:cs="Simplified Arabic"/>
      <w:b/>
      <w:bCs/>
      <w:lang w:eastAsia="en-US"/>
    </w:rPr>
  </w:style>
  <w:style w:type="paragraph" w:styleId="BodyTextIndent2">
    <w:name w:val="Body Text Indent 2"/>
    <w:basedOn w:val="Normal"/>
    <w:semiHidden/>
    <w:rsid w:val="001E26AF"/>
    <w:pPr>
      <w:ind w:firstLine="284"/>
      <w:jc w:val="lowKashida"/>
    </w:pPr>
    <w:rPr>
      <w:rFonts w:cs="Simplified Arabic"/>
      <w:lang w:eastAsia="en-US"/>
    </w:rPr>
  </w:style>
  <w:style w:type="character" w:styleId="Hyperlink">
    <w:name w:val="Hyperlink"/>
    <w:basedOn w:val="DefaultParagraphFont"/>
    <w:rsid w:val="001E26AF"/>
    <w:rPr>
      <w:color w:val="0000FF"/>
      <w:u w:val="single"/>
    </w:rPr>
  </w:style>
  <w:style w:type="character" w:styleId="FollowedHyperlink">
    <w:name w:val="FollowedHyperlink"/>
    <w:basedOn w:val="DefaultParagraphFont"/>
    <w:semiHidden/>
    <w:rsid w:val="001E26AF"/>
    <w:rPr>
      <w:color w:val="800080"/>
      <w:u w:val="single"/>
    </w:rPr>
  </w:style>
  <w:style w:type="paragraph" w:styleId="CommentText">
    <w:name w:val="annotation text"/>
    <w:basedOn w:val="Normal"/>
    <w:link w:val="CommentTextChar"/>
    <w:semiHidden/>
    <w:rsid w:val="001E26AF"/>
    <w:rPr>
      <w:rFonts w:cs="Traditional Arabic"/>
      <w:sz w:val="20"/>
      <w:szCs w:val="20"/>
      <w:lang w:eastAsia="en-US"/>
    </w:rPr>
  </w:style>
  <w:style w:type="paragraph" w:styleId="Title">
    <w:name w:val="Title"/>
    <w:basedOn w:val="Normal"/>
    <w:qFormat/>
    <w:rsid w:val="001E26AF"/>
    <w:pPr>
      <w:jc w:val="center"/>
    </w:pPr>
    <w:rPr>
      <w:rFonts w:cs="Simplified Arabic"/>
      <w:b/>
      <w:bCs/>
      <w:noProof/>
      <w:szCs w:val="28"/>
      <w:lang w:eastAsia="en-US"/>
    </w:rPr>
  </w:style>
  <w:style w:type="paragraph" w:styleId="EndnoteText">
    <w:name w:val="endnote text"/>
    <w:basedOn w:val="Normal"/>
    <w:semiHidden/>
    <w:rsid w:val="001E26AF"/>
    <w:rPr>
      <w:sz w:val="20"/>
      <w:szCs w:val="20"/>
    </w:rPr>
  </w:style>
  <w:style w:type="character" w:styleId="EndnoteReference">
    <w:name w:val="endnote reference"/>
    <w:basedOn w:val="DefaultParagraphFont"/>
    <w:semiHidden/>
    <w:rsid w:val="001E26AF"/>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odyTextIndent3">
    <w:name w:val="Body Text Indent 3"/>
    <w:basedOn w:val="Normal"/>
    <w:link w:val="BodyTextIndent3Char"/>
    <w:semiHidden/>
    <w:rsid w:val="000B2EAA"/>
    <w:pPr>
      <w:ind w:left="714" w:hanging="357"/>
    </w:pPr>
    <w:rPr>
      <w:noProof/>
      <w:lang w:eastAsia="en-US"/>
    </w:rPr>
  </w:style>
  <w:style w:type="character" w:customStyle="1" w:styleId="BodyTextIndent3Char">
    <w:name w:val="Body Text Indent 3 Char"/>
    <w:basedOn w:val="DefaultParagraphFont"/>
    <w:link w:val="BodyTextIndent3"/>
    <w:semiHidden/>
    <w:rsid w:val="000B2EAA"/>
    <w:rPr>
      <w:noProof/>
      <w:sz w:val="24"/>
      <w:szCs w:val="24"/>
    </w:rPr>
  </w:style>
  <w:style w:type="paragraph" w:styleId="Subtitle">
    <w:name w:val="Subtitle"/>
    <w:basedOn w:val="Normal"/>
    <w:link w:val="SubtitleChar"/>
    <w:qFormat/>
    <w:rsid w:val="000B2EAA"/>
    <w:pPr>
      <w:jc w:val="center"/>
    </w:pPr>
    <w:rPr>
      <w:b/>
      <w:bCs/>
      <w:sz w:val="20"/>
      <w:szCs w:val="20"/>
      <w:lang w:eastAsia="en-US"/>
    </w:rPr>
  </w:style>
  <w:style w:type="character" w:customStyle="1" w:styleId="SubtitleChar">
    <w:name w:val="Subtitle Char"/>
    <w:basedOn w:val="DefaultParagraphFont"/>
    <w:link w:val="Subtitle"/>
    <w:rsid w:val="000B2EAA"/>
    <w:rPr>
      <w:b/>
      <w:bCs/>
    </w:rPr>
  </w:style>
  <w:style w:type="paragraph" w:customStyle="1" w:styleId="xl22">
    <w:name w:val="xl22"/>
    <w:basedOn w:val="Normal"/>
    <w:rsid w:val="000B2EAA"/>
    <w:pPr>
      <w:bidi w:val="0"/>
      <w:spacing w:before="100" w:beforeAutospacing="1" w:after="100" w:afterAutospacing="1"/>
      <w:jc w:val="right"/>
    </w:pPr>
    <w:rPr>
      <w:rFonts w:ascii="Arial" w:hAnsi="Arial" w:cs="Arial"/>
      <w:b/>
      <w:bCs/>
      <w:sz w:val="18"/>
      <w:szCs w:val="18"/>
    </w:rPr>
  </w:style>
  <w:style w:type="paragraph" w:styleId="BalloonText">
    <w:name w:val="Balloon Text"/>
    <w:basedOn w:val="Normal"/>
    <w:link w:val="BalloonTextChar"/>
    <w:rsid w:val="000B2EAA"/>
    <w:rPr>
      <w:rFonts w:ascii="Tahoma" w:hAnsi="Tahoma" w:cs="Tahoma"/>
      <w:sz w:val="16"/>
      <w:szCs w:val="16"/>
    </w:rPr>
  </w:style>
  <w:style w:type="character" w:customStyle="1" w:styleId="BalloonTextChar">
    <w:name w:val="Balloon Text Char"/>
    <w:basedOn w:val="DefaultParagraphFont"/>
    <w:link w:val="BalloonText"/>
    <w:rsid w:val="000B2EAA"/>
    <w:rPr>
      <w:rFonts w:ascii="Tahoma" w:hAnsi="Tahoma" w:cs="Tahoma"/>
      <w:sz w:val="16"/>
      <w:szCs w:val="16"/>
      <w:lang w:eastAsia="ar-SA"/>
    </w:rPr>
  </w:style>
  <w:style w:type="table" w:styleId="LightShading-Accent6">
    <w:name w:val="Light Shading Accent 6"/>
    <w:basedOn w:val="TableNormal"/>
    <w:uiPriority w:val="60"/>
    <w:rsid w:val="0032568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2-Accent6">
    <w:name w:val="Medium Grid 2 Accent 6"/>
    <w:basedOn w:val="TableNormal"/>
    <w:uiPriority w:val="68"/>
    <w:rsid w:val="0032568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TableGrid">
    <w:name w:val="Table Grid"/>
    <w:basedOn w:val="TableNormal"/>
    <w:uiPriority w:val="59"/>
    <w:rsid w:val="00A5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F1EBE"/>
    <w:rPr>
      <w:rFonts w:cs="Simplified Arabic"/>
      <w:snapToGrid w:val="0"/>
    </w:rPr>
  </w:style>
  <w:style w:type="paragraph" w:styleId="NoSpacing">
    <w:name w:val="No Spacing"/>
    <w:uiPriority w:val="1"/>
    <w:qFormat/>
    <w:rsid w:val="00690D64"/>
    <w:pPr>
      <w:bidi/>
    </w:pPr>
    <w:rPr>
      <w:sz w:val="24"/>
      <w:szCs w:val="24"/>
      <w:lang w:eastAsia="ar-SA"/>
    </w:rPr>
  </w:style>
  <w:style w:type="character" w:customStyle="1" w:styleId="1H">
    <w:name w:val="1H"/>
    <w:rsid w:val="00A13E1B"/>
    <w:rPr>
      <w:b/>
      <w:sz w:val="28"/>
    </w:rPr>
  </w:style>
  <w:style w:type="character" w:customStyle="1" w:styleId="FootnoteTextChar">
    <w:name w:val="Footnote Text Char"/>
    <w:basedOn w:val="DefaultParagraphFont"/>
    <w:link w:val="FootnoteText"/>
    <w:uiPriority w:val="99"/>
    <w:rsid w:val="00CD465D"/>
    <w:rPr>
      <w:lang w:eastAsia="ar-SA"/>
    </w:rPr>
  </w:style>
  <w:style w:type="paragraph" w:styleId="ListParagraph">
    <w:name w:val="List Paragraph"/>
    <w:basedOn w:val="Normal"/>
    <w:uiPriority w:val="34"/>
    <w:qFormat/>
    <w:rsid w:val="00F54484"/>
    <w:pPr>
      <w:ind w:left="720"/>
      <w:contextualSpacing/>
    </w:pPr>
  </w:style>
  <w:style w:type="character" w:styleId="CommentReference">
    <w:name w:val="annotation reference"/>
    <w:basedOn w:val="DefaultParagraphFont"/>
    <w:uiPriority w:val="99"/>
    <w:semiHidden/>
    <w:unhideWhenUsed/>
    <w:rsid w:val="00335060"/>
    <w:rPr>
      <w:sz w:val="16"/>
      <w:szCs w:val="16"/>
    </w:rPr>
  </w:style>
  <w:style w:type="paragraph" w:styleId="CommentSubject">
    <w:name w:val="annotation subject"/>
    <w:basedOn w:val="CommentText"/>
    <w:next w:val="CommentText"/>
    <w:link w:val="CommentSubjectChar"/>
    <w:uiPriority w:val="99"/>
    <w:semiHidden/>
    <w:unhideWhenUsed/>
    <w:rsid w:val="00335060"/>
    <w:rPr>
      <w:rFonts w:cs="Times New Roman"/>
      <w:b/>
      <w:bCs/>
      <w:lang w:eastAsia="ar-SA"/>
    </w:rPr>
  </w:style>
  <w:style w:type="character" w:customStyle="1" w:styleId="CommentTextChar">
    <w:name w:val="Comment Text Char"/>
    <w:basedOn w:val="DefaultParagraphFont"/>
    <w:link w:val="CommentText"/>
    <w:semiHidden/>
    <w:rsid w:val="00335060"/>
    <w:rPr>
      <w:rFonts w:cs="Traditional Arabic"/>
    </w:rPr>
  </w:style>
  <w:style w:type="character" w:customStyle="1" w:styleId="CommentSubjectChar">
    <w:name w:val="Comment Subject Char"/>
    <w:basedOn w:val="CommentTextChar"/>
    <w:link w:val="CommentSubject"/>
    <w:uiPriority w:val="99"/>
    <w:semiHidden/>
    <w:rsid w:val="00335060"/>
    <w:rPr>
      <w:rFonts w:cs="Traditional Arabic"/>
      <w:b/>
      <w:bCs/>
      <w:lang w:eastAsia="ar-SA"/>
    </w:rPr>
  </w:style>
  <w:style w:type="table" w:customStyle="1" w:styleId="LightShading-Accent41">
    <w:name w:val="Light Shading - Accent 41"/>
    <w:basedOn w:val="TableNormal"/>
    <w:uiPriority w:val="60"/>
    <w:rsid w:val="005645DF"/>
    <w:rPr>
      <w:color w:val="5F497A"/>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9507">
      <w:bodyDiv w:val="1"/>
      <w:marLeft w:val="0"/>
      <w:marRight w:val="0"/>
      <w:marTop w:val="0"/>
      <w:marBottom w:val="0"/>
      <w:divBdr>
        <w:top w:val="none" w:sz="0" w:space="0" w:color="auto"/>
        <w:left w:val="none" w:sz="0" w:space="0" w:color="auto"/>
        <w:bottom w:val="none" w:sz="0" w:space="0" w:color="auto"/>
        <w:right w:val="none" w:sz="0" w:space="0" w:color="auto"/>
      </w:divBdr>
    </w:div>
    <w:div w:id="150100198">
      <w:bodyDiv w:val="1"/>
      <w:marLeft w:val="0"/>
      <w:marRight w:val="0"/>
      <w:marTop w:val="0"/>
      <w:marBottom w:val="0"/>
      <w:divBdr>
        <w:top w:val="none" w:sz="0" w:space="0" w:color="auto"/>
        <w:left w:val="none" w:sz="0" w:space="0" w:color="auto"/>
        <w:bottom w:val="none" w:sz="0" w:space="0" w:color="auto"/>
        <w:right w:val="none" w:sz="0" w:space="0" w:color="auto"/>
      </w:divBdr>
    </w:div>
    <w:div w:id="420834196">
      <w:bodyDiv w:val="1"/>
      <w:marLeft w:val="0"/>
      <w:marRight w:val="0"/>
      <w:marTop w:val="0"/>
      <w:marBottom w:val="0"/>
      <w:divBdr>
        <w:top w:val="none" w:sz="0" w:space="0" w:color="auto"/>
        <w:left w:val="none" w:sz="0" w:space="0" w:color="auto"/>
        <w:bottom w:val="none" w:sz="0" w:space="0" w:color="auto"/>
        <w:right w:val="none" w:sz="0" w:space="0" w:color="auto"/>
      </w:divBdr>
    </w:div>
    <w:div w:id="432475488">
      <w:bodyDiv w:val="1"/>
      <w:marLeft w:val="0"/>
      <w:marRight w:val="0"/>
      <w:marTop w:val="0"/>
      <w:marBottom w:val="0"/>
      <w:divBdr>
        <w:top w:val="none" w:sz="0" w:space="0" w:color="auto"/>
        <w:left w:val="none" w:sz="0" w:space="0" w:color="auto"/>
        <w:bottom w:val="none" w:sz="0" w:space="0" w:color="auto"/>
        <w:right w:val="none" w:sz="0" w:space="0" w:color="auto"/>
      </w:divBdr>
    </w:div>
    <w:div w:id="469056120">
      <w:bodyDiv w:val="1"/>
      <w:marLeft w:val="0"/>
      <w:marRight w:val="0"/>
      <w:marTop w:val="0"/>
      <w:marBottom w:val="0"/>
      <w:divBdr>
        <w:top w:val="none" w:sz="0" w:space="0" w:color="auto"/>
        <w:left w:val="none" w:sz="0" w:space="0" w:color="auto"/>
        <w:bottom w:val="none" w:sz="0" w:space="0" w:color="auto"/>
        <w:right w:val="none" w:sz="0" w:space="0" w:color="auto"/>
      </w:divBdr>
    </w:div>
    <w:div w:id="505636642">
      <w:bodyDiv w:val="1"/>
      <w:marLeft w:val="0"/>
      <w:marRight w:val="0"/>
      <w:marTop w:val="0"/>
      <w:marBottom w:val="0"/>
      <w:divBdr>
        <w:top w:val="none" w:sz="0" w:space="0" w:color="auto"/>
        <w:left w:val="none" w:sz="0" w:space="0" w:color="auto"/>
        <w:bottom w:val="none" w:sz="0" w:space="0" w:color="auto"/>
        <w:right w:val="none" w:sz="0" w:space="0" w:color="auto"/>
      </w:divBdr>
    </w:div>
    <w:div w:id="636838011">
      <w:bodyDiv w:val="1"/>
      <w:marLeft w:val="0"/>
      <w:marRight w:val="0"/>
      <w:marTop w:val="0"/>
      <w:marBottom w:val="0"/>
      <w:divBdr>
        <w:top w:val="none" w:sz="0" w:space="0" w:color="auto"/>
        <w:left w:val="none" w:sz="0" w:space="0" w:color="auto"/>
        <w:bottom w:val="none" w:sz="0" w:space="0" w:color="auto"/>
        <w:right w:val="none" w:sz="0" w:space="0" w:color="auto"/>
      </w:divBdr>
    </w:div>
    <w:div w:id="647516445">
      <w:bodyDiv w:val="1"/>
      <w:marLeft w:val="0"/>
      <w:marRight w:val="0"/>
      <w:marTop w:val="0"/>
      <w:marBottom w:val="0"/>
      <w:divBdr>
        <w:top w:val="none" w:sz="0" w:space="0" w:color="auto"/>
        <w:left w:val="none" w:sz="0" w:space="0" w:color="auto"/>
        <w:bottom w:val="none" w:sz="0" w:space="0" w:color="auto"/>
        <w:right w:val="none" w:sz="0" w:space="0" w:color="auto"/>
      </w:divBdr>
    </w:div>
    <w:div w:id="822310861">
      <w:bodyDiv w:val="1"/>
      <w:marLeft w:val="0"/>
      <w:marRight w:val="0"/>
      <w:marTop w:val="0"/>
      <w:marBottom w:val="0"/>
      <w:divBdr>
        <w:top w:val="none" w:sz="0" w:space="0" w:color="auto"/>
        <w:left w:val="none" w:sz="0" w:space="0" w:color="auto"/>
        <w:bottom w:val="none" w:sz="0" w:space="0" w:color="auto"/>
        <w:right w:val="none" w:sz="0" w:space="0" w:color="auto"/>
      </w:divBdr>
    </w:div>
    <w:div w:id="836842147">
      <w:bodyDiv w:val="1"/>
      <w:marLeft w:val="0"/>
      <w:marRight w:val="0"/>
      <w:marTop w:val="0"/>
      <w:marBottom w:val="0"/>
      <w:divBdr>
        <w:top w:val="none" w:sz="0" w:space="0" w:color="auto"/>
        <w:left w:val="none" w:sz="0" w:space="0" w:color="auto"/>
        <w:bottom w:val="none" w:sz="0" w:space="0" w:color="auto"/>
        <w:right w:val="none" w:sz="0" w:space="0" w:color="auto"/>
      </w:divBdr>
    </w:div>
    <w:div w:id="849173467">
      <w:bodyDiv w:val="1"/>
      <w:marLeft w:val="0"/>
      <w:marRight w:val="0"/>
      <w:marTop w:val="0"/>
      <w:marBottom w:val="0"/>
      <w:divBdr>
        <w:top w:val="none" w:sz="0" w:space="0" w:color="auto"/>
        <w:left w:val="none" w:sz="0" w:space="0" w:color="auto"/>
        <w:bottom w:val="none" w:sz="0" w:space="0" w:color="auto"/>
        <w:right w:val="none" w:sz="0" w:space="0" w:color="auto"/>
      </w:divBdr>
    </w:div>
    <w:div w:id="916785257">
      <w:bodyDiv w:val="1"/>
      <w:marLeft w:val="0"/>
      <w:marRight w:val="0"/>
      <w:marTop w:val="0"/>
      <w:marBottom w:val="0"/>
      <w:divBdr>
        <w:top w:val="none" w:sz="0" w:space="0" w:color="auto"/>
        <w:left w:val="none" w:sz="0" w:space="0" w:color="auto"/>
        <w:bottom w:val="none" w:sz="0" w:space="0" w:color="auto"/>
        <w:right w:val="none" w:sz="0" w:space="0" w:color="auto"/>
      </w:divBdr>
    </w:div>
    <w:div w:id="923303684">
      <w:bodyDiv w:val="1"/>
      <w:marLeft w:val="0"/>
      <w:marRight w:val="0"/>
      <w:marTop w:val="0"/>
      <w:marBottom w:val="0"/>
      <w:divBdr>
        <w:top w:val="none" w:sz="0" w:space="0" w:color="auto"/>
        <w:left w:val="none" w:sz="0" w:space="0" w:color="auto"/>
        <w:bottom w:val="none" w:sz="0" w:space="0" w:color="auto"/>
        <w:right w:val="none" w:sz="0" w:space="0" w:color="auto"/>
      </w:divBdr>
    </w:div>
    <w:div w:id="948706609">
      <w:bodyDiv w:val="1"/>
      <w:marLeft w:val="0"/>
      <w:marRight w:val="0"/>
      <w:marTop w:val="0"/>
      <w:marBottom w:val="0"/>
      <w:divBdr>
        <w:top w:val="none" w:sz="0" w:space="0" w:color="auto"/>
        <w:left w:val="none" w:sz="0" w:space="0" w:color="auto"/>
        <w:bottom w:val="none" w:sz="0" w:space="0" w:color="auto"/>
        <w:right w:val="none" w:sz="0" w:space="0" w:color="auto"/>
      </w:divBdr>
    </w:div>
    <w:div w:id="1148549659">
      <w:bodyDiv w:val="1"/>
      <w:marLeft w:val="0"/>
      <w:marRight w:val="0"/>
      <w:marTop w:val="0"/>
      <w:marBottom w:val="0"/>
      <w:divBdr>
        <w:top w:val="none" w:sz="0" w:space="0" w:color="auto"/>
        <w:left w:val="none" w:sz="0" w:space="0" w:color="auto"/>
        <w:bottom w:val="none" w:sz="0" w:space="0" w:color="auto"/>
        <w:right w:val="none" w:sz="0" w:space="0" w:color="auto"/>
      </w:divBdr>
    </w:div>
    <w:div w:id="1162888942">
      <w:bodyDiv w:val="1"/>
      <w:marLeft w:val="0"/>
      <w:marRight w:val="0"/>
      <w:marTop w:val="0"/>
      <w:marBottom w:val="0"/>
      <w:divBdr>
        <w:top w:val="none" w:sz="0" w:space="0" w:color="auto"/>
        <w:left w:val="none" w:sz="0" w:space="0" w:color="auto"/>
        <w:bottom w:val="none" w:sz="0" w:space="0" w:color="auto"/>
        <w:right w:val="none" w:sz="0" w:space="0" w:color="auto"/>
      </w:divBdr>
    </w:div>
    <w:div w:id="1196385707">
      <w:bodyDiv w:val="1"/>
      <w:marLeft w:val="0"/>
      <w:marRight w:val="0"/>
      <w:marTop w:val="0"/>
      <w:marBottom w:val="0"/>
      <w:divBdr>
        <w:top w:val="none" w:sz="0" w:space="0" w:color="auto"/>
        <w:left w:val="none" w:sz="0" w:space="0" w:color="auto"/>
        <w:bottom w:val="none" w:sz="0" w:space="0" w:color="auto"/>
        <w:right w:val="none" w:sz="0" w:space="0" w:color="auto"/>
      </w:divBdr>
    </w:div>
    <w:div w:id="1289970691">
      <w:bodyDiv w:val="1"/>
      <w:marLeft w:val="0"/>
      <w:marRight w:val="0"/>
      <w:marTop w:val="0"/>
      <w:marBottom w:val="0"/>
      <w:divBdr>
        <w:top w:val="none" w:sz="0" w:space="0" w:color="auto"/>
        <w:left w:val="none" w:sz="0" w:space="0" w:color="auto"/>
        <w:bottom w:val="none" w:sz="0" w:space="0" w:color="auto"/>
        <w:right w:val="none" w:sz="0" w:space="0" w:color="auto"/>
      </w:divBdr>
    </w:div>
    <w:div w:id="1305355459">
      <w:bodyDiv w:val="1"/>
      <w:marLeft w:val="0"/>
      <w:marRight w:val="0"/>
      <w:marTop w:val="0"/>
      <w:marBottom w:val="0"/>
      <w:divBdr>
        <w:top w:val="none" w:sz="0" w:space="0" w:color="auto"/>
        <w:left w:val="none" w:sz="0" w:space="0" w:color="auto"/>
        <w:bottom w:val="none" w:sz="0" w:space="0" w:color="auto"/>
        <w:right w:val="none" w:sz="0" w:space="0" w:color="auto"/>
      </w:divBdr>
    </w:div>
    <w:div w:id="1329560613">
      <w:bodyDiv w:val="1"/>
      <w:marLeft w:val="0"/>
      <w:marRight w:val="0"/>
      <w:marTop w:val="0"/>
      <w:marBottom w:val="0"/>
      <w:divBdr>
        <w:top w:val="none" w:sz="0" w:space="0" w:color="auto"/>
        <w:left w:val="none" w:sz="0" w:space="0" w:color="auto"/>
        <w:bottom w:val="none" w:sz="0" w:space="0" w:color="auto"/>
        <w:right w:val="none" w:sz="0" w:space="0" w:color="auto"/>
      </w:divBdr>
    </w:div>
    <w:div w:id="1371806412">
      <w:bodyDiv w:val="1"/>
      <w:marLeft w:val="0"/>
      <w:marRight w:val="0"/>
      <w:marTop w:val="0"/>
      <w:marBottom w:val="0"/>
      <w:divBdr>
        <w:top w:val="none" w:sz="0" w:space="0" w:color="auto"/>
        <w:left w:val="none" w:sz="0" w:space="0" w:color="auto"/>
        <w:bottom w:val="none" w:sz="0" w:space="0" w:color="auto"/>
        <w:right w:val="none" w:sz="0" w:space="0" w:color="auto"/>
      </w:divBdr>
    </w:div>
    <w:div w:id="1434786881">
      <w:bodyDiv w:val="1"/>
      <w:marLeft w:val="0"/>
      <w:marRight w:val="0"/>
      <w:marTop w:val="0"/>
      <w:marBottom w:val="0"/>
      <w:divBdr>
        <w:top w:val="none" w:sz="0" w:space="0" w:color="auto"/>
        <w:left w:val="none" w:sz="0" w:space="0" w:color="auto"/>
        <w:bottom w:val="none" w:sz="0" w:space="0" w:color="auto"/>
        <w:right w:val="none" w:sz="0" w:space="0" w:color="auto"/>
      </w:divBdr>
    </w:div>
    <w:div w:id="1566260039">
      <w:bodyDiv w:val="1"/>
      <w:marLeft w:val="0"/>
      <w:marRight w:val="0"/>
      <w:marTop w:val="0"/>
      <w:marBottom w:val="0"/>
      <w:divBdr>
        <w:top w:val="none" w:sz="0" w:space="0" w:color="auto"/>
        <w:left w:val="none" w:sz="0" w:space="0" w:color="auto"/>
        <w:bottom w:val="none" w:sz="0" w:space="0" w:color="auto"/>
        <w:right w:val="none" w:sz="0" w:space="0" w:color="auto"/>
      </w:divBdr>
    </w:div>
    <w:div w:id="1583221382">
      <w:bodyDiv w:val="1"/>
      <w:marLeft w:val="0"/>
      <w:marRight w:val="0"/>
      <w:marTop w:val="0"/>
      <w:marBottom w:val="0"/>
      <w:divBdr>
        <w:top w:val="none" w:sz="0" w:space="0" w:color="auto"/>
        <w:left w:val="none" w:sz="0" w:space="0" w:color="auto"/>
        <w:bottom w:val="none" w:sz="0" w:space="0" w:color="auto"/>
        <w:right w:val="none" w:sz="0" w:space="0" w:color="auto"/>
      </w:divBdr>
    </w:div>
    <w:div w:id="1702129365">
      <w:bodyDiv w:val="1"/>
      <w:marLeft w:val="0"/>
      <w:marRight w:val="0"/>
      <w:marTop w:val="0"/>
      <w:marBottom w:val="0"/>
      <w:divBdr>
        <w:top w:val="none" w:sz="0" w:space="0" w:color="auto"/>
        <w:left w:val="none" w:sz="0" w:space="0" w:color="auto"/>
        <w:bottom w:val="none" w:sz="0" w:space="0" w:color="auto"/>
        <w:right w:val="none" w:sz="0" w:space="0" w:color="auto"/>
      </w:divBdr>
    </w:div>
    <w:div w:id="1825274030">
      <w:bodyDiv w:val="1"/>
      <w:marLeft w:val="0"/>
      <w:marRight w:val="0"/>
      <w:marTop w:val="0"/>
      <w:marBottom w:val="0"/>
      <w:divBdr>
        <w:top w:val="none" w:sz="0" w:space="0" w:color="auto"/>
        <w:left w:val="none" w:sz="0" w:space="0" w:color="auto"/>
        <w:bottom w:val="none" w:sz="0" w:space="0" w:color="auto"/>
        <w:right w:val="none" w:sz="0" w:space="0" w:color="auto"/>
      </w:divBdr>
    </w:div>
    <w:div w:id="1825733008">
      <w:bodyDiv w:val="1"/>
      <w:marLeft w:val="0"/>
      <w:marRight w:val="0"/>
      <w:marTop w:val="0"/>
      <w:marBottom w:val="0"/>
      <w:divBdr>
        <w:top w:val="none" w:sz="0" w:space="0" w:color="auto"/>
        <w:left w:val="none" w:sz="0" w:space="0" w:color="auto"/>
        <w:bottom w:val="none" w:sz="0" w:space="0" w:color="auto"/>
        <w:right w:val="none" w:sz="0" w:space="0" w:color="auto"/>
      </w:divBdr>
    </w:div>
    <w:div w:id="1892303225">
      <w:bodyDiv w:val="1"/>
      <w:marLeft w:val="0"/>
      <w:marRight w:val="0"/>
      <w:marTop w:val="0"/>
      <w:marBottom w:val="0"/>
      <w:divBdr>
        <w:top w:val="none" w:sz="0" w:space="0" w:color="auto"/>
        <w:left w:val="none" w:sz="0" w:space="0" w:color="auto"/>
        <w:bottom w:val="none" w:sz="0" w:space="0" w:color="auto"/>
        <w:right w:val="none" w:sz="0" w:space="0" w:color="auto"/>
      </w:divBdr>
    </w:div>
    <w:div w:id="1916478218">
      <w:bodyDiv w:val="1"/>
      <w:marLeft w:val="0"/>
      <w:marRight w:val="0"/>
      <w:marTop w:val="0"/>
      <w:marBottom w:val="0"/>
      <w:divBdr>
        <w:top w:val="none" w:sz="0" w:space="0" w:color="auto"/>
        <w:left w:val="none" w:sz="0" w:space="0" w:color="auto"/>
        <w:bottom w:val="none" w:sz="0" w:space="0" w:color="auto"/>
        <w:right w:val="none" w:sz="0" w:space="0" w:color="auto"/>
      </w:divBdr>
    </w:div>
    <w:div w:id="1919509896">
      <w:bodyDiv w:val="1"/>
      <w:marLeft w:val="0"/>
      <w:marRight w:val="0"/>
      <w:marTop w:val="0"/>
      <w:marBottom w:val="0"/>
      <w:divBdr>
        <w:top w:val="none" w:sz="0" w:space="0" w:color="auto"/>
        <w:left w:val="none" w:sz="0" w:space="0" w:color="auto"/>
        <w:bottom w:val="none" w:sz="0" w:space="0" w:color="auto"/>
        <w:right w:val="none" w:sz="0" w:space="0" w:color="auto"/>
      </w:divBdr>
    </w:div>
    <w:div w:id="1962876240">
      <w:bodyDiv w:val="1"/>
      <w:marLeft w:val="0"/>
      <w:marRight w:val="0"/>
      <w:marTop w:val="0"/>
      <w:marBottom w:val="0"/>
      <w:divBdr>
        <w:top w:val="none" w:sz="0" w:space="0" w:color="auto"/>
        <w:left w:val="none" w:sz="0" w:space="0" w:color="auto"/>
        <w:bottom w:val="none" w:sz="0" w:space="0" w:color="auto"/>
        <w:right w:val="none" w:sz="0" w:space="0" w:color="auto"/>
      </w:divBdr>
    </w:div>
    <w:div w:id="20756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751029599075637"/>
          <c:y val="5.0591519005685232E-2"/>
          <c:w val="0.88160913110947414"/>
          <c:h val="0.7519551213654565"/>
        </c:manualLayout>
      </c:layout>
      <c:barChart>
        <c:barDir val="col"/>
        <c:grouping val="clustered"/>
        <c:varyColors val="0"/>
        <c:ser>
          <c:idx val="0"/>
          <c:order val="0"/>
          <c:tx>
            <c:strRef>
              <c:f>Sheet6!$A$2</c:f>
              <c:strCache>
                <c:ptCount val="1"/>
                <c:pt idx="0">
                  <c:v>Gaza Strip</c:v>
                </c:pt>
              </c:strCache>
            </c:strRef>
          </c:tx>
          <c:spPr>
            <a:solidFill>
              <a:schemeClr val="tx2">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Sheet6!$B$1:$C$1</c:f>
              <c:strCache>
                <c:ptCount val="2"/>
                <c:pt idx="0">
                  <c:v>1999-2003</c:v>
                </c:pt>
                <c:pt idx="1">
                  <c:v>2017-2019</c:v>
                </c:pt>
              </c:strCache>
            </c:strRef>
          </c:cat>
          <c:val>
            <c:numRef>
              <c:f>Sheet6!$B$2:$C$2</c:f>
              <c:numCache>
                <c:formatCode>General</c:formatCode>
                <c:ptCount val="2"/>
                <c:pt idx="0">
                  <c:v>5.8</c:v>
                </c:pt>
                <c:pt idx="1">
                  <c:v>3.9</c:v>
                </c:pt>
              </c:numCache>
            </c:numRef>
          </c:val>
          <c:extLst>
            <c:ext xmlns:c16="http://schemas.microsoft.com/office/drawing/2014/chart" uri="{C3380CC4-5D6E-409C-BE32-E72D297353CC}">
              <c16:uniqueId val="{00000000-C816-4B62-8DDC-D2E7BE11B69D}"/>
            </c:ext>
          </c:extLst>
        </c:ser>
        <c:ser>
          <c:idx val="1"/>
          <c:order val="1"/>
          <c:tx>
            <c:strRef>
              <c:f>Sheet6!$A$3</c:f>
              <c:strCache>
                <c:ptCount val="1"/>
                <c:pt idx="0">
                  <c:v>West Bank</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Sheet6!$B$1:$C$1</c:f>
              <c:strCache>
                <c:ptCount val="2"/>
                <c:pt idx="0">
                  <c:v>1999-2003</c:v>
                </c:pt>
                <c:pt idx="1">
                  <c:v>2017-2019</c:v>
                </c:pt>
              </c:strCache>
            </c:strRef>
          </c:cat>
          <c:val>
            <c:numRef>
              <c:f>Sheet6!$B$3:$C$3</c:f>
              <c:numCache>
                <c:formatCode>General</c:formatCode>
                <c:ptCount val="2"/>
                <c:pt idx="0">
                  <c:v>4.0999999999999996</c:v>
                </c:pt>
                <c:pt idx="1">
                  <c:v>3.8</c:v>
                </c:pt>
              </c:numCache>
            </c:numRef>
          </c:val>
          <c:extLst>
            <c:ext xmlns:c16="http://schemas.microsoft.com/office/drawing/2014/chart" uri="{C3380CC4-5D6E-409C-BE32-E72D297353CC}">
              <c16:uniqueId val="{00000001-C816-4B62-8DDC-D2E7BE11B69D}"/>
            </c:ext>
          </c:extLst>
        </c:ser>
        <c:ser>
          <c:idx val="2"/>
          <c:order val="2"/>
          <c:tx>
            <c:strRef>
              <c:f>Sheet6!$A$4</c:f>
              <c:strCache>
                <c:ptCount val="1"/>
                <c:pt idx="0">
                  <c:v>Palestine</c:v>
                </c:pt>
              </c:strCache>
            </c:strRef>
          </c:tx>
          <c:spPr>
            <a:solidFill>
              <a:schemeClr val="bg2">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Sheet6!$B$1:$C$1</c:f>
              <c:strCache>
                <c:ptCount val="2"/>
                <c:pt idx="0">
                  <c:v>1999-2003</c:v>
                </c:pt>
                <c:pt idx="1">
                  <c:v>2017-2019</c:v>
                </c:pt>
              </c:strCache>
            </c:strRef>
          </c:cat>
          <c:val>
            <c:numRef>
              <c:f>Sheet6!$B$4:$C$4</c:f>
              <c:numCache>
                <c:formatCode>General</c:formatCode>
                <c:ptCount val="2"/>
                <c:pt idx="0">
                  <c:v>4.5999999999999996</c:v>
                </c:pt>
                <c:pt idx="1">
                  <c:v>3.8</c:v>
                </c:pt>
              </c:numCache>
            </c:numRef>
          </c:val>
          <c:extLst>
            <c:ext xmlns:c16="http://schemas.microsoft.com/office/drawing/2014/chart" uri="{C3380CC4-5D6E-409C-BE32-E72D297353CC}">
              <c16:uniqueId val="{00000002-C816-4B62-8DDC-D2E7BE11B69D}"/>
            </c:ext>
          </c:extLst>
        </c:ser>
        <c:dLbls>
          <c:showLegendKey val="0"/>
          <c:showVal val="1"/>
          <c:showCatName val="0"/>
          <c:showSerName val="0"/>
          <c:showPercent val="0"/>
          <c:showBubbleSize val="0"/>
        </c:dLbls>
        <c:gapWidth val="150"/>
        <c:axId val="145470976"/>
        <c:axId val="145472896"/>
      </c:barChart>
      <c:catAx>
        <c:axId val="145470976"/>
        <c:scaling>
          <c:orientation val="minMax"/>
        </c:scaling>
        <c:delete val="0"/>
        <c:axPos val="b"/>
        <c:title>
          <c:tx>
            <c:rich>
              <a:bodyPr/>
              <a:lstStyle/>
              <a:p>
                <a:pPr>
                  <a:defRPr/>
                </a:pPr>
                <a:r>
                  <a:rPr lang="en-US"/>
                  <a:t>Year</a:t>
                </a:r>
                <a:endParaRPr lang="ar-SA"/>
              </a:p>
            </c:rich>
          </c:tx>
          <c:layout>
            <c:manualLayout>
              <c:xMode val="edge"/>
              <c:yMode val="edge"/>
              <c:x val="0.4977242985471888"/>
              <c:y val="0.90062161148775965"/>
            </c:manualLayout>
          </c:layout>
          <c:overlay val="0"/>
        </c:title>
        <c:numFmt formatCode="General" sourceLinked="1"/>
        <c:majorTickMark val="out"/>
        <c:minorTickMark val="none"/>
        <c:tickLblPos val="nextTo"/>
        <c:txPr>
          <a:bodyPr rot="0" vert="horz"/>
          <a:lstStyle/>
          <a:p>
            <a:pPr>
              <a:defRPr/>
            </a:pPr>
            <a:endParaRPr lang="ar-SA"/>
          </a:p>
        </c:txPr>
        <c:crossAx val="145472896"/>
        <c:crosses val="autoZero"/>
        <c:auto val="1"/>
        <c:lblAlgn val="ctr"/>
        <c:lblOffset val="100"/>
        <c:tickLblSkip val="1"/>
        <c:tickMarkSkip val="1"/>
        <c:noMultiLvlLbl val="0"/>
      </c:catAx>
      <c:valAx>
        <c:axId val="145472896"/>
        <c:scaling>
          <c:orientation val="minMax"/>
          <c:max val="7"/>
        </c:scaling>
        <c:delete val="0"/>
        <c:axPos val="l"/>
        <c:numFmt formatCode="General" sourceLinked="1"/>
        <c:majorTickMark val="out"/>
        <c:minorTickMark val="none"/>
        <c:tickLblPos val="nextTo"/>
        <c:txPr>
          <a:bodyPr rot="0" vert="horz"/>
          <a:lstStyle/>
          <a:p>
            <a:pPr>
              <a:defRPr/>
            </a:pPr>
            <a:endParaRPr lang="ar-SA"/>
          </a:p>
        </c:txPr>
        <c:crossAx val="145470976"/>
        <c:crosses val="autoZero"/>
        <c:crossBetween val="between"/>
        <c:majorUnit val="1"/>
      </c:valAx>
    </c:plotArea>
    <c:legend>
      <c:legendPos val="r"/>
      <c:layout>
        <c:manualLayout>
          <c:xMode val="edge"/>
          <c:yMode val="edge"/>
          <c:x val="0.35904884874033621"/>
          <c:y val="3.1707854927154853E-2"/>
          <c:w val="0.56703322281605351"/>
          <c:h val="0.16254294917680748"/>
        </c:manualLayout>
      </c:layout>
      <c:overlay val="0"/>
      <c:spPr>
        <a:ln>
          <a:solidFill>
            <a:srgbClr val="4F81BD"/>
          </a:solidFill>
        </a:ln>
      </c:spPr>
    </c:legend>
    <c:plotVisOnly val="1"/>
    <c:dispBlanksAs val="gap"/>
    <c:showDLblsOverMax val="0"/>
  </c:chart>
  <c:spPr>
    <a:ln>
      <a:solidFill>
        <a:schemeClr val="tx1"/>
      </a:solidFill>
    </a:ln>
  </c:spPr>
  <c:txPr>
    <a:bodyPr/>
    <a:lstStyle/>
    <a:p>
      <a:pPr>
        <a:defRPr sz="900">
          <a:latin typeface="Arial" pitchFamily="34" charset="0"/>
          <a:cs typeface="Arial" pitchFamily="34" charset="0"/>
        </a:defRPr>
      </a:pPr>
      <a:endParaRPr lang="ar-S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57259754295423"/>
          <c:y val="0.17970930520477393"/>
          <c:w val="0.81556427507031948"/>
          <c:h val="0.70918735925763032"/>
        </c:manualLayout>
      </c:layout>
      <c:barChart>
        <c:barDir val="col"/>
        <c:grouping val="clustered"/>
        <c:varyColors val="0"/>
        <c:ser>
          <c:idx val="0"/>
          <c:order val="0"/>
          <c:tx>
            <c:strRef>
              <c:f>Sheet1!$B$1</c:f>
              <c:strCache>
                <c:ptCount val="1"/>
                <c:pt idx="0">
                  <c:v>Palestine</c:v>
                </c:pt>
              </c:strCache>
            </c:strRef>
          </c:tx>
          <c:invertIfNegative val="0"/>
          <c:dPt>
            <c:idx val="0"/>
            <c:invertIfNegative val="0"/>
            <c:bubble3D val="0"/>
            <c:spPr>
              <a:solidFill>
                <a:schemeClr val="tx2">
                  <a:lumMod val="75000"/>
                </a:schemeClr>
              </a:solidFill>
            </c:spPr>
            <c:extLst>
              <c:ext xmlns:c16="http://schemas.microsoft.com/office/drawing/2014/chart" uri="{C3380CC4-5D6E-409C-BE32-E72D297353CC}">
                <c16:uniqueId val="{00000001-D0FF-4EA8-A1A7-1F0EEFD9EAEA}"/>
              </c:ext>
            </c:extLst>
          </c:dPt>
          <c:dPt>
            <c:idx val="1"/>
            <c:invertIfNegative val="0"/>
            <c:bubble3D val="0"/>
            <c:spPr>
              <a:solidFill>
                <a:schemeClr val="tx2">
                  <a:lumMod val="75000"/>
                </a:schemeClr>
              </a:solidFill>
            </c:spPr>
            <c:extLst>
              <c:ext xmlns:c16="http://schemas.microsoft.com/office/drawing/2014/chart" uri="{C3380CC4-5D6E-409C-BE32-E72D297353CC}">
                <c16:uniqueId val="{00000003-D0FF-4EA8-A1A7-1F0EEFD9EAEA}"/>
              </c:ext>
            </c:extLst>
          </c:dPt>
          <c:dLbls>
            <c:spPr>
              <a:noFill/>
              <a:ln w="25410">
                <a:noFill/>
              </a:ln>
            </c:spPr>
            <c:txPr>
              <a:bodyPr/>
              <a:lstStyle/>
              <a:p>
                <a:pPr>
                  <a:defRPr lang="en-US" sz="800">
                    <a:latin typeface="Arial" pitchFamily="34" charset="0"/>
                    <a:cs typeface="Arial"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2010</c:v>
                </c:pt>
                <c:pt idx="1">
                  <c:v>2021</c:v>
                </c:pt>
              </c:numCache>
            </c:numRef>
          </c:cat>
          <c:val>
            <c:numRef>
              <c:f>Sheet1!$B$2:$B$3</c:f>
              <c:numCache>
                <c:formatCode>0.0</c:formatCode>
                <c:ptCount val="2"/>
                <c:pt idx="0" formatCode="General">
                  <c:v>5.5</c:v>
                </c:pt>
                <c:pt idx="1">
                  <c:v>5</c:v>
                </c:pt>
              </c:numCache>
            </c:numRef>
          </c:val>
          <c:extLst>
            <c:ext xmlns:c16="http://schemas.microsoft.com/office/drawing/2014/chart" uri="{C3380CC4-5D6E-409C-BE32-E72D297353CC}">
              <c16:uniqueId val="{00000004-D0FF-4EA8-A1A7-1F0EEFD9EAEA}"/>
            </c:ext>
          </c:extLst>
        </c:ser>
        <c:ser>
          <c:idx val="1"/>
          <c:order val="1"/>
          <c:tx>
            <c:strRef>
              <c:f>Sheet1!$C$1</c:f>
              <c:strCache>
                <c:ptCount val="1"/>
                <c:pt idx="0">
                  <c:v>West Bank</c:v>
                </c:pt>
              </c:strCache>
            </c:strRef>
          </c:tx>
          <c:invertIfNegative val="0"/>
          <c:dLbls>
            <c:spPr>
              <a:noFill/>
              <a:ln w="25410">
                <a:noFill/>
              </a:ln>
            </c:spPr>
            <c:txPr>
              <a:bodyPr/>
              <a:lstStyle/>
              <a:p>
                <a:pPr>
                  <a:defRPr lang="en-US" sz="800">
                    <a:latin typeface="Arial" pitchFamily="34" charset="0"/>
                    <a:cs typeface="Arial"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2010</c:v>
                </c:pt>
                <c:pt idx="1">
                  <c:v>2021</c:v>
                </c:pt>
              </c:numCache>
            </c:numRef>
          </c:cat>
          <c:val>
            <c:numRef>
              <c:f>Sheet1!$C$2:$C$3</c:f>
              <c:numCache>
                <c:formatCode>General</c:formatCode>
                <c:ptCount val="2"/>
                <c:pt idx="0">
                  <c:v>5.2</c:v>
                </c:pt>
                <c:pt idx="1">
                  <c:v>4.7</c:v>
                </c:pt>
              </c:numCache>
            </c:numRef>
          </c:val>
          <c:extLst>
            <c:ext xmlns:c16="http://schemas.microsoft.com/office/drawing/2014/chart" uri="{C3380CC4-5D6E-409C-BE32-E72D297353CC}">
              <c16:uniqueId val="{00000005-D0FF-4EA8-A1A7-1F0EEFD9EAEA}"/>
            </c:ext>
          </c:extLst>
        </c:ser>
        <c:ser>
          <c:idx val="2"/>
          <c:order val="2"/>
          <c:tx>
            <c:strRef>
              <c:f>Sheet1!$D$1</c:f>
              <c:strCache>
                <c:ptCount val="1"/>
                <c:pt idx="0">
                  <c:v>Gaza Strip</c:v>
                </c:pt>
              </c:strCache>
            </c:strRef>
          </c:tx>
          <c:invertIfNegative val="0"/>
          <c:dLbls>
            <c:spPr>
              <a:noFill/>
              <a:ln w="25410">
                <a:noFill/>
              </a:ln>
            </c:spPr>
            <c:txPr>
              <a:bodyPr/>
              <a:lstStyle/>
              <a:p>
                <a:pPr>
                  <a:defRPr lang="en-US" sz="800">
                    <a:latin typeface="Arial" pitchFamily="34" charset="0"/>
                    <a:cs typeface="Arial"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2010</c:v>
                </c:pt>
                <c:pt idx="1">
                  <c:v>2021</c:v>
                </c:pt>
              </c:numCache>
            </c:numRef>
          </c:cat>
          <c:val>
            <c:numRef>
              <c:f>Sheet1!$D$2:$D$3</c:f>
              <c:numCache>
                <c:formatCode>General</c:formatCode>
                <c:ptCount val="2"/>
                <c:pt idx="0">
                  <c:v>6.4</c:v>
                </c:pt>
                <c:pt idx="1">
                  <c:v>5.6</c:v>
                </c:pt>
              </c:numCache>
            </c:numRef>
          </c:val>
          <c:extLst>
            <c:ext xmlns:c16="http://schemas.microsoft.com/office/drawing/2014/chart" uri="{C3380CC4-5D6E-409C-BE32-E72D297353CC}">
              <c16:uniqueId val="{00000006-D0FF-4EA8-A1A7-1F0EEFD9EAEA}"/>
            </c:ext>
          </c:extLst>
        </c:ser>
        <c:dLbls>
          <c:showLegendKey val="0"/>
          <c:showVal val="0"/>
          <c:showCatName val="0"/>
          <c:showSerName val="0"/>
          <c:showPercent val="0"/>
          <c:showBubbleSize val="0"/>
        </c:dLbls>
        <c:gapWidth val="150"/>
        <c:axId val="177642656"/>
        <c:axId val="1"/>
      </c:barChart>
      <c:catAx>
        <c:axId val="177642656"/>
        <c:scaling>
          <c:orientation val="minMax"/>
        </c:scaling>
        <c:delete val="0"/>
        <c:axPos val="b"/>
        <c:numFmt formatCode="General" sourceLinked="1"/>
        <c:majorTickMark val="out"/>
        <c:minorTickMark val="none"/>
        <c:tickLblPos val="nextTo"/>
        <c:txPr>
          <a:bodyPr/>
          <a:lstStyle/>
          <a:p>
            <a:pPr>
              <a:defRPr lang="en-US" sz="800">
                <a:latin typeface="Arial" pitchFamily="34" charset="0"/>
                <a:cs typeface="Arial" pitchFamily="34" charset="0"/>
              </a:defRPr>
            </a:pPr>
            <a:endParaRPr lang="ar-SA"/>
          </a:p>
        </c:txPr>
        <c:crossAx val="1"/>
        <c:crosses val="autoZero"/>
        <c:auto val="1"/>
        <c:lblAlgn val="ctr"/>
        <c:lblOffset val="100"/>
        <c:noMultiLvlLbl val="0"/>
      </c:catAx>
      <c:valAx>
        <c:axId val="1"/>
        <c:scaling>
          <c:orientation val="minMax"/>
        </c:scaling>
        <c:delete val="0"/>
        <c:axPos val="l"/>
        <c:numFmt formatCode="General" sourceLinked="1"/>
        <c:majorTickMark val="out"/>
        <c:minorTickMark val="none"/>
        <c:tickLblPos val="nextTo"/>
        <c:txPr>
          <a:bodyPr/>
          <a:lstStyle/>
          <a:p>
            <a:pPr>
              <a:defRPr lang="en-US" sz="800">
                <a:latin typeface="Arial" pitchFamily="34" charset="0"/>
                <a:cs typeface="Arial" pitchFamily="34" charset="0"/>
              </a:defRPr>
            </a:pPr>
            <a:endParaRPr lang="ar-SA"/>
          </a:p>
        </c:txPr>
        <c:crossAx val="177642656"/>
        <c:crosses val="autoZero"/>
        <c:crossBetween val="between"/>
      </c:valAx>
    </c:plotArea>
    <c:legend>
      <c:legendPos val="r"/>
      <c:layout>
        <c:manualLayout>
          <c:xMode val="edge"/>
          <c:yMode val="edge"/>
          <c:x val="0.14293625314003133"/>
          <c:y val="4.0806970134650331E-2"/>
          <c:w val="0.68685073164137744"/>
          <c:h val="0.10939508301107333"/>
        </c:manualLayout>
      </c:layout>
      <c:overlay val="0"/>
      <c:txPr>
        <a:bodyPr/>
        <a:lstStyle/>
        <a:p>
          <a:pPr>
            <a:defRPr lang="en-US" sz="800">
              <a:latin typeface="Arial" pitchFamily="34" charset="0"/>
              <a:cs typeface="Arial" pitchFamily="34" charset="0"/>
            </a:defRPr>
          </a:pPr>
          <a:endParaRPr lang="ar-SA"/>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19051-5AEF-49E9-A346-84A369BA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heba</dc:creator>
  <cp:lastModifiedBy>LOAY SHEHADEH</cp:lastModifiedBy>
  <cp:revision>4</cp:revision>
  <cp:lastPrinted>2022-12-26T08:42:00Z</cp:lastPrinted>
  <dcterms:created xsi:type="dcterms:W3CDTF">2022-12-27T10:56:00Z</dcterms:created>
  <dcterms:modified xsi:type="dcterms:W3CDTF">2022-12-27T11:31:00Z</dcterms:modified>
</cp:coreProperties>
</file>