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7AF07">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14:paraId="45F2A1C0">
      <w:pPr>
        <w:pStyle w:val="13"/>
        <w:ind w:left="-2" w:right="358"/>
        <w:jc w:val="center"/>
        <w:rPr>
          <w:rFonts w:ascii="Times New Roman" w:cs="Times New Roman"/>
          <w:sz w:val="16"/>
          <w:szCs w:val="16"/>
        </w:rPr>
      </w:pPr>
    </w:p>
    <w:p w14:paraId="0136F001">
      <w:pPr>
        <w:pStyle w:val="6"/>
        <w:bidi w:val="0"/>
        <w:ind w:right="-110"/>
        <w:jc w:val="center"/>
        <w:rPr>
          <w:sz w:val="28"/>
          <w:szCs w:val="28"/>
        </w:rPr>
      </w:pPr>
    </w:p>
    <w:p w14:paraId="201C7CBC">
      <w:pPr>
        <w:pStyle w:val="6"/>
        <w:bidi w:val="0"/>
        <w:ind w:right="-110"/>
        <w:jc w:val="center"/>
        <w:rPr>
          <w:sz w:val="28"/>
          <w:szCs w:val="28"/>
          <w:vertAlign w:val="superscript"/>
        </w:rPr>
      </w:pPr>
      <w:r>
        <w:rPr>
          <w:sz w:val="28"/>
          <w:szCs w:val="28"/>
        </w:rPr>
        <w:t>Main Results</w:t>
      </w:r>
      <w:r>
        <w:rPr>
          <w:rStyle w:val="19"/>
          <w:sz w:val="28"/>
          <w:szCs w:val="28"/>
        </w:rPr>
        <w:footnoteReference w:id="0"/>
      </w:r>
      <w:r>
        <w:rPr>
          <w:sz w:val="28"/>
          <w:szCs w:val="28"/>
          <w:vertAlign w:val="superscript"/>
        </w:rPr>
        <w:t xml:space="preserve"> </w:t>
      </w:r>
    </w:p>
    <w:p w14:paraId="6C0569A6">
      <w:pPr>
        <w:pStyle w:val="6"/>
        <w:bidi w:val="0"/>
        <w:ind w:right="-110"/>
        <w:jc w:val="both"/>
      </w:pPr>
    </w:p>
    <w:p w14:paraId="21A59726">
      <w:pPr>
        <w:bidi w:val="0"/>
        <w:jc w:val="center"/>
        <w:rPr>
          <w:rFonts w:asciiTheme="majorBidi" w:hAnsiTheme="majorBidi" w:cstheme="majorBidi"/>
          <w:b/>
          <w:bCs/>
          <w:rtl/>
        </w:rPr>
      </w:pPr>
      <w:r>
        <w:rPr>
          <w:rFonts w:asciiTheme="majorBidi" w:hAnsiTheme="majorBidi" w:cstheme="majorBidi"/>
          <w:b/>
          <w:bCs/>
        </w:rPr>
        <w:t>Decline in the gross domestic product in Palestine by 35%, and collapse in the economic system in Gaza Strip, in light of the sharp contraction in the gross domestic product in Gaza Strip during the first quarter of 2024 by 86% compared to the corresponding quarter of 2023, as a result of the ongoing Israeli aggression against Palestine.</w:t>
      </w:r>
    </w:p>
    <w:p w14:paraId="239922D9">
      <w:pPr>
        <w:bidi w:val="0"/>
        <w:jc w:val="center"/>
        <w:rPr>
          <w:rFonts w:asciiTheme="majorBidi" w:hAnsiTheme="majorBidi" w:cstheme="majorBidi"/>
          <w:b/>
          <w:bCs/>
        </w:rPr>
      </w:pPr>
      <w:r>
        <w:rPr>
          <w:rFonts w:hint="cs" w:asciiTheme="majorBidi" w:hAnsiTheme="majorBidi" w:cstheme="majorBidi"/>
          <w:b/>
          <w:bCs/>
          <w:rtl/>
        </w:rPr>
        <w:t xml:space="preserve"> </w:t>
      </w:r>
      <w:r>
        <w:rPr>
          <w:rFonts w:asciiTheme="majorBidi" w:hAnsiTheme="majorBidi" w:cstheme="majorBidi"/>
          <w:b/>
          <w:bCs/>
        </w:rPr>
        <w:t>This was accompanied by a decline in the West Bank economy by 25%</w:t>
      </w:r>
    </w:p>
    <w:p w14:paraId="6F5CA83A">
      <w:pPr>
        <w:bidi w:val="0"/>
        <w:rPr>
          <w:b/>
          <w:bCs/>
          <w:snapToGrid w:val="0"/>
          <w:color w:val="0000FF"/>
          <w:rtl/>
        </w:rPr>
      </w:pPr>
    </w:p>
    <w:p w14:paraId="24088BCA">
      <w:pPr>
        <w:bidi w:val="0"/>
        <w:jc w:val="both"/>
        <w:rPr>
          <w:lang w:eastAsia="en-US"/>
        </w:rPr>
      </w:pPr>
      <w:r>
        <w:rPr>
          <w:lang w:eastAsia="en-US"/>
        </w:rPr>
        <w:t>Primary estimates for GDP showed a decrease of Gross Domestic Product in Palestine by 35% during the 1</w:t>
      </w:r>
      <w:r>
        <w:rPr>
          <w:vertAlign w:val="superscript"/>
          <w:lang w:eastAsia="en-US"/>
        </w:rPr>
        <w:t>st</w:t>
      </w:r>
      <w:r>
        <w:rPr>
          <w:lang w:eastAsia="en-US"/>
        </w:rPr>
        <w:t xml:space="preserve">  quarter of 2024 compared to the 1</w:t>
      </w:r>
      <w:r>
        <w:rPr>
          <w:vertAlign w:val="superscript"/>
          <w:lang w:eastAsia="en-US"/>
        </w:rPr>
        <w:t>st</w:t>
      </w:r>
      <w:r>
        <w:rPr>
          <w:lang w:eastAsia="en-US"/>
        </w:rPr>
        <w:t xml:space="preserve">  quarter of 2023,</w:t>
      </w:r>
      <w:r>
        <w:rPr>
          <w:rtl/>
          <w:lang w:eastAsia="en-US"/>
        </w:rPr>
        <w:t xml:space="preserve"> </w:t>
      </w:r>
      <w:r>
        <w:rPr>
          <w:lang w:eastAsia="en-US"/>
        </w:rPr>
        <w:t>All economic activities recorded a sharp decline in value-added, as Mining, Manufacturing, Electricity and Water activity declined by 3</w:t>
      </w:r>
      <w:r>
        <w:rPr>
          <w:rFonts w:hint="cs"/>
          <w:rtl/>
          <w:lang w:eastAsia="en-US"/>
        </w:rPr>
        <w:t>6</w:t>
      </w:r>
      <w:r>
        <w:rPr>
          <w:lang w:eastAsia="en-US"/>
        </w:rPr>
        <w:t>% in Palestine (2</w:t>
      </w:r>
      <w:r>
        <w:rPr>
          <w:rFonts w:hint="cs"/>
          <w:rtl/>
          <w:lang w:eastAsia="en-US"/>
        </w:rPr>
        <w:t>9</w:t>
      </w:r>
      <w:r>
        <w:rPr>
          <w:lang w:eastAsia="en-US"/>
        </w:rPr>
        <w:t>% West Bank, 9</w:t>
      </w:r>
      <w:r>
        <w:rPr>
          <w:rFonts w:hint="cs"/>
          <w:rtl/>
          <w:lang w:eastAsia="en-US"/>
        </w:rPr>
        <w:t>5</w:t>
      </w:r>
      <w:r>
        <w:rPr>
          <w:lang w:eastAsia="en-US"/>
        </w:rPr>
        <w:t xml:space="preserve">% Gaza Strip), Construction activity by </w:t>
      </w:r>
      <w:r>
        <w:rPr>
          <w:rFonts w:hint="cs"/>
          <w:rtl/>
          <w:lang w:eastAsia="en-US"/>
        </w:rPr>
        <w:t>51</w:t>
      </w:r>
      <w:r>
        <w:rPr>
          <w:lang w:eastAsia="en-US"/>
        </w:rPr>
        <w:t>% (</w:t>
      </w:r>
      <w:r>
        <w:rPr>
          <w:rFonts w:hint="cs"/>
          <w:rtl/>
          <w:lang w:eastAsia="en-US"/>
        </w:rPr>
        <w:t>42</w:t>
      </w:r>
      <w:r>
        <w:rPr>
          <w:lang w:eastAsia="en-US"/>
        </w:rPr>
        <w:t>% West Bank, 99% Gaza Strip), agriculture, forestry and fishing activity by 33% (11% West Bank, 93% Gaza Strip), Wholesale and Retail Trade, Repair of Motor Vehicles and Motorcycles activity by 36% (27% West Bank, 96% Gaza Strip). GDP for the 1</w:t>
      </w:r>
      <w:r>
        <w:rPr>
          <w:vertAlign w:val="superscript"/>
          <w:lang w:eastAsia="en-US"/>
        </w:rPr>
        <w:t>st</w:t>
      </w:r>
      <w:r>
        <w:rPr>
          <w:lang w:eastAsia="en-US"/>
        </w:rPr>
        <w:t xml:space="preserve">  quarter of 2024 was USD 2,474 million for the West Bank and USD 92 million for the Gaza Strip.</w:t>
      </w:r>
    </w:p>
    <w:p w14:paraId="25876B95">
      <w:pPr>
        <w:bidi w:val="0"/>
        <w:jc w:val="both"/>
        <w:rPr>
          <w:color w:val="0000FF"/>
          <w:sz w:val="10"/>
          <w:szCs w:val="10"/>
          <w:rtl/>
          <w:lang w:eastAsia="en-US"/>
        </w:rPr>
      </w:pPr>
    </w:p>
    <w:p w14:paraId="0288E2F8">
      <w:pPr>
        <w:bidi w:val="0"/>
        <w:jc w:val="both"/>
        <w:rPr>
          <w:b/>
          <w:bCs/>
          <w:sz w:val="10"/>
          <w:szCs w:val="10"/>
          <w:lang w:eastAsia="en-US"/>
        </w:rPr>
      </w:pPr>
      <w:r>
        <w:rPr>
          <w:rFonts w:hint="cs"/>
          <w:sz w:val="10"/>
          <w:szCs w:val="10"/>
          <w:rtl/>
          <w:lang w:eastAsia="en-US"/>
        </w:rPr>
        <w:t xml:space="preserve"> </w:t>
      </w:r>
      <w:r>
        <w:rPr>
          <w:sz w:val="10"/>
          <w:szCs w:val="10"/>
          <w:lang w:eastAsia="en-US"/>
        </w:rPr>
        <w:t xml:space="preserve"> </w:t>
      </w:r>
    </w:p>
    <w:p w14:paraId="323629AA">
      <w:pPr>
        <w:bidi w:val="0"/>
        <w:jc w:val="both"/>
        <w:rPr>
          <w:b/>
          <w:bCs/>
          <w:lang w:eastAsia="en-US"/>
        </w:rPr>
      </w:pPr>
      <w:r>
        <w:rPr>
          <w:b/>
          <w:bCs/>
          <w:snapToGrid w:val="0"/>
        </w:rPr>
        <w:t xml:space="preserve"> Gross Domestic Product Per Capita decreased by a third during the 1</w:t>
      </w:r>
      <w:r>
        <w:rPr>
          <w:b/>
          <w:bCs/>
          <w:snapToGrid w:val="0"/>
          <w:vertAlign w:val="superscript"/>
        </w:rPr>
        <w:t>st</w:t>
      </w:r>
      <w:r>
        <w:rPr>
          <w:b/>
          <w:bCs/>
          <w:snapToGrid w:val="0"/>
        </w:rPr>
        <w:t xml:space="preserve">  quarter of 2024</w:t>
      </w:r>
    </w:p>
    <w:p w14:paraId="09F7FC4A">
      <w:pPr>
        <w:bidi w:val="0"/>
        <w:jc w:val="both"/>
        <w:rPr>
          <w:snapToGrid w:val="0"/>
        </w:rPr>
      </w:pPr>
      <w:r>
        <w:rPr>
          <w:snapToGrid w:val="0"/>
        </w:rPr>
        <w:t xml:space="preserve">GDP per Capita for </w:t>
      </w:r>
      <w:r>
        <w:rPr>
          <w:lang w:eastAsia="en-US"/>
        </w:rPr>
        <w:t xml:space="preserve">Palestine </w:t>
      </w:r>
      <w:r>
        <w:rPr>
          <w:snapToGrid w:val="0"/>
        </w:rPr>
        <w:t xml:space="preserve">was USD 491 during the </w:t>
      </w:r>
      <w:r>
        <w:rPr>
          <w:lang w:eastAsia="en-US"/>
        </w:rPr>
        <w:t>1</w:t>
      </w:r>
      <w:r>
        <w:rPr>
          <w:vertAlign w:val="superscript"/>
          <w:lang w:eastAsia="en-US"/>
        </w:rPr>
        <w:t>st</w:t>
      </w:r>
      <w:r>
        <w:rPr>
          <w:lang w:eastAsia="en-US"/>
        </w:rPr>
        <w:t xml:space="preserve"> quarter of 2024, which showed a de</w:t>
      </w:r>
      <w:r>
        <w:rPr>
          <w:snapToGrid w:val="0"/>
        </w:rPr>
        <w:t xml:space="preserve">crease of 36% compared to the </w:t>
      </w:r>
      <w:r>
        <w:rPr>
          <w:lang w:eastAsia="en-US"/>
        </w:rPr>
        <w:t>1</w:t>
      </w:r>
      <w:r>
        <w:rPr>
          <w:vertAlign w:val="superscript"/>
          <w:lang w:eastAsia="en-US"/>
        </w:rPr>
        <w:t xml:space="preserve">st </w:t>
      </w:r>
      <w:r>
        <w:rPr>
          <w:snapToGrid w:val="0"/>
        </w:rPr>
        <w:t xml:space="preserve">quarter of 2023. As for the West Bank, it showed a decrease </w:t>
      </w:r>
      <w:r>
        <w:rPr>
          <w:lang w:eastAsia="en-US"/>
        </w:rPr>
        <w:t>of 26% compared to the 1</w:t>
      </w:r>
      <w:r>
        <w:rPr>
          <w:vertAlign w:val="superscript"/>
          <w:lang w:eastAsia="en-US"/>
        </w:rPr>
        <w:t>st</w:t>
      </w:r>
      <w:r>
        <w:t xml:space="preserve"> </w:t>
      </w:r>
      <w:r>
        <w:rPr>
          <w:snapToGrid w:val="0"/>
        </w:rPr>
        <w:t xml:space="preserve">quarter of 2023, while the Gaza Strip showed a decrease </w:t>
      </w:r>
      <w:r>
        <w:rPr>
          <w:lang w:eastAsia="en-US"/>
        </w:rPr>
        <w:t>of 86% compared to the 1</w:t>
      </w:r>
      <w:r>
        <w:rPr>
          <w:vertAlign w:val="superscript"/>
          <w:lang w:eastAsia="en-US"/>
        </w:rPr>
        <w:t>st</w:t>
      </w:r>
      <w:r>
        <w:t xml:space="preserve"> </w:t>
      </w:r>
      <w:r>
        <w:rPr>
          <w:snapToGrid w:val="0"/>
        </w:rPr>
        <w:t>quarter of 2023.</w:t>
      </w:r>
    </w:p>
    <w:p w14:paraId="7C855E05">
      <w:pPr>
        <w:bidi w:val="0"/>
        <w:jc w:val="both"/>
        <w:rPr>
          <w:snapToGrid w:val="0"/>
          <w:rtl/>
        </w:rPr>
      </w:pPr>
    </w:p>
    <w:p w14:paraId="32C2CEEB">
      <w:pPr>
        <w:pStyle w:val="14"/>
        <w:bidi w:val="0"/>
        <w:spacing w:after="0" w:line="240" w:lineRule="atLeast"/>
        <w:ind w:left="0"/>
        <w:jc w:val="center"/>
        <w:rPr>
          <w:b/>
          <w:bCs/>
          <w:sz w:val="22"/>
          <w:szCs w:val="22"/>
        </w:rPr>
      </w:pPr>
      <w:r>
        <w:rPr>
          <w:b/>
          <w:bCs/>
          <w:sz w:val="22"/>
          <w:szCs w:val="22"/>
        </w:rPr>
        <w:t>GDP by quarter in Palestine at Constant Prices, 2021-2024</w:t>
      </w:r>
    </w:p>
    <w:p w14:paraId="41EC3975">
      <w:pPr>
        <w:pStyle w:val="14"/>
        <w:rPr>
          <w:b/>
          <w:bCs/>
        </w:rPr>
      </w:pPr>
      <w:r>
        <w:rPr>
          <w:rFonts w:hint="cs"/>
          <w:b/>
          <w:bCs/>
          <w:rtl/>
          <w:lang w:eastAsia="en-US"/>
        </w:rPr>
        <w:drawing>
          <wp:inline distT="0" distB="0" distL="0" distR="0">
            <wp:extent cx="5509895" cy="2171700"/>
            <wp:effectExtent l="19050" t="0" r="1424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25AD91">
      <w:pPr>
        <w:pStyle w:val="13"/>
        <w:ind w:right="358"/>
        <w:rPr>
          <w:rFonts w:ascii="Times New Roman" w:cs="Times New Roman"/>
          <w:sz w:val="16"/>
          <w:szCs w:val="16"/>
        </w:rPr>
      </w:pPr>
    </w:p>
    <w:p w14:paraId="3914FCFA">
      <w:pPr>
        <w:pStyle w:val="13"/>
        <w:ind w:left="358" w:right="358"/>
        <w:rPr>
          <w:rFonts w:ascii="Times New Roman" w:cs="Times New Roman"/>
          <w:sz w:val="24"/>
          <w:szCs w:val="24"/>
        </w:rPr>
      </w:pPr>
    </w:p>
    <w:p w14:paraId="32B71104">
      <w:pPr>
        <w:pStyle w:val="13"/>
        <w:ind w:right="358"/>
        <w:rPr>
          <w:rFonts w:ascii="Times New Roman" w:cs="Times New Roman"/>
          <w:sz w:val="16"/>
          <w:szCs w:val="16"/>
        </w:rPr>
      </w:pPr>
    </w:p>
    <w:p w14:paraId="1412C0D0">
      <w:pPr>
        <w:pStyle w:val="13"/>
        <w:ind w:left="-2" w:right="358"/>
        <w:rPr>
          <w:rFonts w:ascii="Times New Roman" w:cs="Times New Roman"/>
          <w:sz w:val="24"/>
          <w:szCs w:val="24"/>
        </w:rPr>
      </w:pPr>
    </w:p>
    <w:p w14:paraId="43857836">
      <w:pPr>
        <w:pStyle w:val="13"/>
        <w:ind w:left="-2" w:right="358"/>
        <w:jc w:val="right"/>
        <w:rPr>
          <w:rFonts w:ascii="Times New Roman" w:cs="Times New Roman"/>
          <w:sz w:val="24"/>
          <w:szCs w:val="24"/>
        </w:rPr>
      </w:pPr>
    </w:p>
    <w:p w14:paraId="593C14BC">
      <w:pPr>
        <w:pStyle w:val="13"/>
        <w:ind w:left="-2" w:right="358"/>
        <w:rPr>
          <w:rFonts w:ascii="Times New Roman" w:cs="Times New Roman"/>
          <w:sz w:val="24"/>
          <w:szCs w:val="24"/>
        </w:rPr>
      </w:pPr>
    </w:p>
    <w:p w14:paraId="23C5FAFE">
      <w:pPr>
        <w:rPr>
          <w:rFonts w:hint="cs"/>
          <w:rtl/>
        </w:rPr>
      </w:pPr>
    </w:p>
    <w:sectPr>
      <w:footerReference r:id="rId6" w:type="default"/>
      <w:headerReference r:id="rId5" w:type="even"/>
      <w:pgSz w:w="11906" w:h="16838"/>
      <w:pgMar w:top="1418" w:right="1418" w:bottom="1418" w:left="1418" w:header="709" w:footer="709" w:gutter="0"/>
      <w:pgNumType w:start="5"/>
      <w:cols w:space="708" w:num="1"/>
      <w:titlePg/>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Traditional Arabic">
    <w:panose1 w:val="02020603050405020304"/>
    <w:charset w:val="00"/>
    <w:family w:val="roman"/>
    <w:pitch w:val="default"/>
    <w:sig w:usb0="00002003" w:usb1="80000000" w:usb2="00000008" w:usb3="00000000" w:csb0="00000041" w:csb1="2008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7D87">
    <w:pPr>
      <w:pStyle w:val="18"/>
      <w:framePr w:wrap="around" w:vAnchor="text" w:hAnchor="text" w:xAlign="center" w:y="1"/>
      <w:bidi w:val="0"/>
    </w:pPr>
    <w:r>
      <w:rPr>
        <w:rStyle w:val="23"/>
      </w:rPr>
      <w:t xml:space="preserve"> [</w:t>
    </w:r>
    <w:r>
      <w:rPr>
        <w:rStyle w:val="23"/>
        <w:rtl/>
      </w:rPr>
      <w:fldChar w:fldCharType="begin"/>
    </w:r>
    <w:r>
      <w:rPr>
        <w:rStyle w:val="23"/>
      </w:rPr>
      <w:instrText xml:space="preserve">PAGE  </w:instrText>
    </w:r>
    <w:r>
      <w:rPr>
        <w:rStyle w:val="23"/>
        <w:rtl/>
      </w:rPr>
      <w:fldChar w:fldCharType="separate"/>
    </w:r>
    <w:r>
      <w:rPr>
        <w:rStyle w:val="23"/>
      </w:rPr>
      <w:t>6</w:t>
    </w:r>
    <w:r>
      <w:rPr>
        <w:rStyle w:val="23"/>
        <w:rtl/>
      </w:rPr>
      <w:fldChar w:fldCharType="end"/>
    </w:r>
    <w:r>
      <w:rPr>
        <w:rStyle w:val="23"/>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65ADCB4E">
      <w:pPr>
        <w:pStyle w:val="20"/>
        <w:rPr>
          <w:b/>
          <w:bCs/>
        </w:rPr>
      </w:pPr>
      <w:r>
        <w:rPr>
          <w:rStyle w:val="19"/>
          <w:b/>
          <w:bCs/>
        </w:rPr>
        <w:footnoteRef/>
      </w:r>
      <w:r>
        <w:rPr>
          <w:b/>
          <w:bCs/>
        </w:rPr>
        <w:t xml:space="preserve"> </w:t>
      </w:r>
      <w:r>
        <w:rPr>
          <w:rFonts w:cs="Times New Roman"/>
          <w:b/>
          <w:bCs/>
          <w:snapToGrid w:val="0"/>
          <w:szCs w:val="20"/>
        </w:rPr>
        <w:t xml:space="preserve">The data excluded those parts of Jerusalem which were annexed </w:t>
      </w:r>
      <w:r>
        <w:rPr>
          <w:rFonts w:cs="Times New Roman"/>
          <w:b/>
          <w:bCs/>
          <w:szCs w:val="20"/>
          <w:lang w:eastAsia="en-US"/>
        </w:rPr>
        <w:t>by</w:t>
      </w:r>
      <w:r>
        <w:rPr>
          <w:rFonts w:cs="Times New Roman"/>
          <w:b/>
          <w:bCs/>
          <w:snapToGrid w:val="0"/>
          <w:szCs w:val="20"/>
        </w:rPr>
        <w:t xml:space="preserve"> Israeli Occupation </w:t>
      </w:r>
      <w:r>
        <w:rPr>
          <w:rFonts w:cs="Times New Roman"/>
          <w:b/>
          <w:bCs/>
          <w:szCs w:val="20"/>
          <w:lang w:eastAsia="en-US"/>
        </w:rPr>
        <w:t>in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19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characterSpacingControl w:val="doNotCompress"/>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81"/>
    <w:rsid w:val="00001867"/>
    <w:rsid w:val="00004729"/>
    <w:rsid w:val="00004E10"/>
    <w:rsid w:val="000053F7"/>
    <w:rsid w:val="000064BA"/>
    <w:rsid w:val="00006590"/>
    <w:rsid w:val="00007A6D"/>
    <w:rsid w:val="00010E1A"/>
    <w:rsid w:val="00010F30"/>
    <w:rsid w:val="00012024"/>
    <w:rsid w:val="00014250"/>
    <w:rsid w:val="00014AD2"/>
    <w:rsid w:val="00015818"/>
    <w:rsid w:val="000159BA"/>
    <w:rsid w:val="0001767C"/>
    <w:rsid w:val="00020C1C"/>
    <w:rsid w:val="0002273D"/>
    <w:rsid w:val="000232A6"/>
    <w:rsid w:val="000250E7"/>
    <w:rsid w:val="00026272"/>
    <w:rsid w:val="00030FED"/>
    <w:rsid w:val="00032239"/>
    <w:rsid w:val="000332C5"/>
    <w:rsid w:val="000337B1"/>
    <w:rsid w:val="0003594B"/>
    <w:rsid w:val="00036896"/>
    <w:rsid w:val="00036EC6"/>
    <w:rsid w:val="000406FA"/>
    <w:rsid w:val="0004429E"/>
    <w:rsid w:val="00044396"/>
    <w:rsid w:val="00044436"/>
    <w:rsid w:val="00044579"/>
    <w:rsid w:val="000451BA"/>
    <w:rsid w:val="00046002"/>
    <w:rsid w:val="00052168"/>
    <w:rsid w:val="00052826"/>
    <w:rsid w:val="00052A00"/>
    <w:rsid w:val="00052D60"/>
    <w:rsid w:val="0005306E"/>
    <w:rsid w:val="00054746"/>
    <w:rsid w:val="00054BE8"/>
    <w:rsid w:val="00056A49"/>
    <w:rsid w:val="00057E4E"/>
    <w:rsid w:val="00061B8F"/>
    <w:rsid w:val="00061C91"/>
    <w:rsid w:val="0006660F"/>
    <w:rsid w:val="00066C0D"/>
    <w:rsid w:val="000711DC"/>
    <w:rsid w:val="00071EE4"/>
    <w:rsid w:val="000734F6"/>
    <w:rsid w:val="000739A5"/>
    <w:rsid w:val="00074CD1"/>
    <w:rsid w:val="00074E17"/>
    <w:rsid w:val="0007646D"/>
    <w:rsid w:val="00076A0E"/>
    <w:rsid w:val="000774C7"/>
    <w:rsid w:val="00080C7B"/>
    <w:rsid w:val="00081357"/>
    <w:rsid w:val="00081BFE"/>
    <w:rsid w:val="00082590"/>
    <w:rsid w:val="00083D10"/>
    <w:rsid w:val="000920A6"/>
    <w:rsid w:val="00093AE7"/>
    <w:rsid w:val="00093B77"/>
    <w:rsid w:val="0009640F"/>
    <w:rsid w:val="00097D60"/>
    <w:rsid w:val="000A1F74"/>
    <w:rsid w:val="000A27D4"/>
    <w:rsid w:val="000A358E"/>
    <w:rsid w:val="000A46B4"/>
    <w:rsid w:val="000A6CB0"/>
    <w:rsid w:val="000A7637"/>
    <w:rsid w:val="000A78D3"/>
    <w:rsid w:val="000B336B"/>
    <w:rsid w:val="000B35D1"/>
    <w:rsid w:val="000B5C72"/>
    <w:rsid w:val="000B6CBA"/>
    <w:rsid w:val="000C0838"/>
    <w:rsid w:val="000C1108"/>
    <w:rsid w:val="000C1C05"/>
    <w:rsid w:val="000C2A54"/>
    <w:rsid w:val="000C39C7"/>
    <w:rsid w:val="000C4243"/>
    <w:rsid w:val="000C5808"/>
    <w:rsid w:val="000C7BC2"/>
    <w:rsid w:val="000D023D"/>
    <w:rsid w:val="000D6997"/>
    <w:rsid w:val="000E0723"/>
    <w:rsid w:val="000E0CED"/>
    <w:rsid w:val="000E125A"/>
    <w:rsid w:val="000E233B"/>
    <w:rsid w:val="000E41C8"/>
    <w:rsid w:val="000E41DC"/>
    <w:rsid w:val="000E7DBB"/>
    <w:rsid w:val="000F0131"/>
    <w:rsid w:val="000F1803"/>
    <w:rsid w:val="000F1B8E"/>
    <w:rsid w:val="000F210C"/>
    <w:rsid w:val="000F2A6E"/>
    <w:rsid w:val="000F35D0"/>
    <w:rsid w:val="000F3770"/>
    <w:rsid w:val="000F4D70"/>
    <w:rsid w:val="000F5794"/>
    <w:rsid w:val="000F72AE"/>
    <w:rsid w:val="00101D28"/>
    <w:rsid w:val="00102933"/>
    <w:rsid w:val="00102FB8"/>
    <w:rsid w:val="00103668"/>
    <w:rsid w:val="00103B15"/>
    <w:rsid w:val="001046D7"/>
    <w:rsid w:val="00105C22"/>
    <w:rsid w:val="001065F4"/>
    <w:rsid w:val="0011005C"/>
    <w:rsid w:val="00112607"/>
    <w:rsid w:val="00113CA0"/>
    <w:rsid w:val="001149C3"/>
    <w:rsid w:val="00114BE9"/>
    <w:rsid w:val="00114DE9"/>
    <w:rsid w:val="00114EE2"/>
    <w:rsid w:val="0011758A"/>
    <w:rsid w:val="00117CBA"/>
    <w:rsid w:val="00122146"/>
    <w:rsid w:val="00122C68"/>
    <w:rsid w:val="00123A69"/>
    <w:rsid w:val="0012502D"/>
    <w:rsid w:val="0012717A"/>
    <w:rsid w:val="001277B1"/>
    <w:rsid w:val="00131F39"/>
    <w:rsid w:val="00131FC0"/>
    <w:rsid w:val="0013326A"/>
    <w:rsid w:val="0013360D"/>
    <w:rsid w:val="00133A50"/>
    <w:rsid w:val="00133E08"/>
    <w:rsid w:val="001345D6"/>
    <w:rsid w:val="001356BC"/>
    <w:rsid w:val="0013739C"/>
    <w:rsid w:val="00137BD4"/>
    <w:rsid w:val="00140082"/>
    <w:rsid w:val="00140996"/>
    <w:rsid w:val="00141780"/>
    <w:rsid w:val="001417A5"/>
    <w:rsid w:val="0014239E"/>
    <w:rsid w:val="00143DBF"/>
    <w:rsid w:val="00145387"/>
    <w:rsid w:val="00145B90"/>
    <w:rsid w:val="0015196D"/>
    <w:rsid w:val="001519A4"/>
    <w:rsid w:val="001524E2"/>
    <w:rsid w:val="00152D3A"/>
    <w:rsid w:val="001552D9"/>
    <w:rsid w:val="00156EA6"/>
    <w:rsid w:val="00163488"/>
    <w:rsid w:val="00163EF0"/>
    <w:rsid w:val="00164390"/>
    <w:rsid w:val="001647CF"/>
    <w:rsid w:val="00167F9C"/>
    <w:rsid w:val="00172592"/>
    <w:rsid w:val="00174C52"/>
    <w:rsid w:val="0017555A"/>
    <w:rsid w:val="00175AEB"/>
    <w:rsid w:val="001767CC"/>
    <w:rsid w:val="0018008D"/>
    <w:rsid w:val="00181820"/>
    <w:rsid w:val="001829AF"/>
    <w:rsid w:val="00184122"/>
    <w:rsid w:val="00184422"/>
    <w:rsid w:val="001869E0"/>
    <w:rsid w:val="00186E78"/>
    <w:rsid w:val="00191964"/>
    <w:rsid w:val="00192D5D"/>
    <w:rsid w:val="00195B58"/>
    <w:rsid w:val="001A0B0C"/>
    <w:rsid w:val="001A1153"/>
    <w:rsid w:val="001A1187"/>
    <w:rsid w:val="001A2A32"/>
    <w:rsid w:val="001A7928"/>
    <w:rsid w:val="001B2B15"/>
    <w:rsid w:val="001B30E7"/>
    <w:rsid w:val="001B5387"/>
    <w:rsid w:val="001B7E8D"/>
    <w:rsid w:val="001C1B4B"/>
    <w:rsid w:val="001C477B"/>
    <w:rsid w:val="001C55C7"/>
    <w:rsid w:val="001C631A"/>
    <w:rsid w:val="001C68C7"/>
    <w:rsid w:val="001D000E"/>
    <w:rsid w:val="001D0427"/>
    <w:rsid w:val="001D0C5A"/>
    <w:rsid w:val="001D4139"/>
    <w:rsid w:val="001D4E08"/>
    <w:rsid w:val="001D4F49"/>
    <w:rsid w:val="001D63E6"/>
    <w:rsid w:val="001D71F5"/>
    <w:rsid w:val="001D7CE5"/>
    <w:rsid w:val="001E127C"/>
    <w:rsid w:val="001E3E59"/>
    <w:rsid w:val="001E71C3"/>
    <w:rsid w:val="001E76B7"/>
    <w:rsid w:val="001F026D"/>
    <w:rsid w:val="001F22B4"/>
    <w:rsid w:val="001F4B56"/>
    <w:rsid w:val="001F4D47"/>
    <w:rsid w:val="001F4F1D"/>
    <w:rsid w:val="001F5478"/>
    <w:rsid w:val="001F5E31"/>
    <w:rsid w:val="001F6FA8"/>
    <w:rsid w:val="001F6FF1"/>
    <w:rsid w:val="002004F2"/>
    <w:rsid w:val="00200A2C"/>
    <w:rsid w:val="002011E2"/>
    <w:rsid w:val="00201F22"/>
    <w:rsid w:val="002052E4"/>
    <w:rsid w:val="00205B60"/>
    <w:rsid w:val="00207467"/>
    <w:rsid w:val="00207CB5"/>
    <w:rsid w:val="00210D54"/>
    <w:rsid w:val="00210ED2"/>
    <w:rsid w:val="00211A76"/>
    <w:rsid w:val="00212081"/>
    <w:rsid w:val="0021349B"/>
    <w:rsid w:val="00213C78"/>
    <w:rsid w:val="0021433F"/>
    <w:rsid w:val="00214F38"/>
    <w:rsid w:val="002164EC"/>
    <w:rsid w:val="00223824"/>
    <w:rsid w:val="00224944"/>
    <w:rsid w:val="00225C3D"/>
    <w:rsid w:val="002267F1"/>
    <w:rsid w:val="00227808"/>
    <w:rsid w:val="002302EF"/>
    <w:rsid w:val="00230E8C"/>
    <w:rsid w:val="00230EA5"/>
    <w:rsid w:val="0023342E"/>
    <w:rsid w:val="002341E7"/>
    <w:rsid w:val="00234A09"/>
    <w:rsid w:val="0024048B"/>
    <w:rsid w:val="00240F16"/>
    <w:rsid w:val="00242473"/>
    <w:rsid w:val="00242BA3"/>
    <w:rsid w:val="00243996"/>
    <w:rsid w:val="0024458B"/>
    <w:rsid w:val="00247487"/>
    <w:rsid w:val="00252F80"/>
    <w:rsid w:val="00253CB3"/>
    <w:rsid w:val="00257518"/>
    <w:rsid w:val="00257AD4"/>
    <w:rsid w:val="00257BFA"/>
    <w:rsid w:val="0026011E"/>
    <w:rsid w:val="00260FE4"/>
    <w:rsid w:val="0026154C"/>
    <w:rsid w:val="002661BA"/>
    <w:rsid w:val="00266298"/>
    <w:rsid w:val="0026663C"/>
    <w:rsid w:val="00267446"/>
    <w:rsid w:val="00272045"/>
    <w:rsid w:val="00274848"/>
    <w:rsid w:val="0027558F"/>
    <w:rsid w:val="00276893"/>
    <w:rsid w:val="00276970"/>
    <w:rsid w:val="00280939"/>
    <w:rsid w:val="00281C60"/>
    <w:rsid w:val="00281E6A"/>
    <w:rsid w:val="0028735F"/>
    <w:rsid w:val="00287536"/>
    <w:rsid w:val="00287734"/>
    <w:rsid w:val="00291076"/>
    <w:rsid w:val="00291231"/>
    <w:rsid w:val="0029292A"/>
    <w:rsid w:val="0029304A"/>
    <w:rsid w:val="0029597F"/>
    <w:rsid w:val="002959A3"/>
    <w:rsid w:val="00297A8D"/>
    <w:rsid w:val="002A3C77"/>
    <w:rsid w:val="002A4133"/>
    <w:rsid w:val="002A4974"/>
    <w:rsid w:val="002A5114"/>
    <w:rsid w:val="002A6211"/>
    <w:rsid w:val="002A7DD9"/>
    <w:rsid w:val="002B0BA9"/>
    <w:rsid w:val="002B0CF0"/>
    <w:rsid w:val="002B312D"/>
    <w:rsid w:val="002B50A6"/>
    <w:rsid w:val="002B6292"/>
    <w:rsid w:val="002B658A"/>
    <w:rsid w:val="002B7F3C"/>
    <w:rsid w:val="002C4B3B"/>
    <w:rsid w:val="002C5A81"/>
    <w:rsid w:val="002C5F1F"/>
    <w:rsid w:val="002D1353"/>
    <w:rsid w:val="002D1965"/>
    <w:rsid w:val="002D2776"/>
    <w:rsid w:val="002D27EF"/>
    <w:rsid w:val="002D7B98"/>
    <w:rsid w:val="002E2B34"/>
    <w:rsid w:val="002E34B0"/>
    <w:rsid w:val="002E77FB"/>
    <w:rsid w:val="002F2544"/>
    <w:rsid w:val="002F3D83"/>
    <w:rsid w:val="002F4AE5"/>
    <w:rsid w:val="002F5DF0"/>
    <w:rsid w:val="002F6959"/>
    <w:rsid w:val="002F747B"/>
    <w:rsid w:val="00304298"/>
    <w:rsid w:val="00305A5C"/>
    <w:rsid w:val="00307EBD"/>
    <w:rsid w:val="003105B1"/>
    <w:rsid w:val="00312120"/>
    <w:rsid w:val="00312B25"/>
    <w:rsid w:val="00312FB4"/>
    <w:rsid w:val="0031373F"/>
    <w:rsid w:val="003143EA"/>
    <w:rsid w:val="00316988"/>
    <w:rsid w:val="003178C2"/>
    <w:rsid w:val="0031796B"/>
    <w:rsid w:val="00317C13"/>
    <w:rsid w:val="003207F5"/>
    <w:rsid w:val="00322B77"/>
    <w:rsid w:val="00324223"/>
    <w:rsid w:val="00324EAD"/>
    <w:rsid w:val="00325F41"/>
    <w:rsid w:val="00326007"/>
    <w:rsid w:val="00326E9B"/>
    <w:rsid w:val="003277EA"/>
    <w:rsid w:val="0033206D"/>
    <w:rsid w:val="003331AE"/>
    <w:rsid w:val="003341C4"/>
    <w:rsid w:val="00336BD1"/>
    <w:rsid w:val="0034154C"/>
    <w:rsid w:val="0034248C"/>
    <w:rsid w:val="0034288D"/>
    <w:rsid w:val="00342FBA"/>
    <w:rsid w:val="00343F45"/>
    <w:rsid w:val="00344039"/>
    <w:rsid w:val="00344B3B"/>
    <w:rsid w:val="0034693D"/>
    <w:rsid w:val="00347E54"/>
    <w:rsid w:val="00350E2D"/>
    <w:rsid w:val="0035141F"/>
    <w:rsid w:val="00353338"/>
    <w:rsid w:val="00354515"/>
    <w:rsid w:val="0035567D"/>
    <w:rsid w:val="0035600E"/>
    <w:rsid w:val="00357551"/>
    <w:rsid w:val="00357AFA"/>
    <w:rsid w:val="00360DF0"/>
    <w:rsid w:val="00360DF8"/>
    <w:rsid w:val="00360F35"/>
    <w:rsid w:val="00361C41"/>
    <w:rsid w:val="00363DAE"/>
    <w:rsid w:val="00364650"/>
    <w:rsid w:val="00366438"/>
    <w:rsid w:val="003671C3"/>
    <w:rsid w:val="003672C5"/>
    <w:rsid w:val="003714A8"/>
    <w:rsid w:val="00372A2C"/>
    <w:rsid w:val="00381FB5"/>
    <w:rsid w:val="0038349E"/>
    <w:rsid w:val="00383E5F"/>
    <w:rsid w:val="003852E0"/>
    <w:rsid w:val="003865E1"/>
    <w:rsid w:val="00391D2F"/>
    <w:rsid w:val="00392E24"/>
    <w:rsid w:val="0039494A"/>
    <w:rsid w:val="00394F68"/>
    <w:rsid w:val="003A0385"/>
    <w:rsid w:val="003A0C87"/>
    <w:rsid w:val="003A173B"/>
    <w:rsid w:val="003B0CE7"/>
    <w:rsid w:val="003B1965"/>
    <w:rsid w:val="003B60AE"/>
    <w:rsid w:val="003B65F9"/>
    <w:rsid w:val="003B693C"/>
    <w:rsid w:val="003B7ACC"/>
    <w:rsid w:val="003C2E8D"/>
    <w:rsid w:val="003C4045"/>
    <w:rsid w:val="003C6BF7"/>
    <w:rsid w:val="003C6D63"/>
    <w:rsid w:val="003C6FEC"/>
    <w:rsid w:val="003C7F85"/>
    <w:rsid w:val="003D3046"/>
    <w:rsid w:val="003D34FF"/>
    <w:rsid w:val="003D4196"/>
    <w:rsid w:val="003D4277"/>
    <w:rsid w:val="003D42FA"/>
    <w:rsid w:val="003D46C9"/>
    <w:rsid w:val="003D582B"/>
    <w:rsid w:val="003D5BDE"/>
    <w:rsid w:val="003D6E51"/>
    <w:rsid w:val="003D7B72"/>
    <w:rsid w:val="003E339A"/>
    <w:rsid w:val="003F18B2"/>
    <w:rsid w:val="003F402C"/>
    <w:rsid w:val="003F4E1A"/>
    <w:rsid w:val="003F5314"/>
    <w:rsid w:val="003F597D"/>
    <w:rsid w:val="003F6016"/>
    <w:rsid w:val="00400208"/>
    <w:rsid w:val="00401BC6"/>
    <w:rsid w:val="00401C82"/>
    <w:rsid w:val="00402C3F"/>
    <w:rsid w:val="004035A4"/>
    <w:rsid w:val="004049BF"/>
    <w:rsid w:val="00404C65"/>
    <w:rsid w:val="00405081"/>
    <w:rsid w:val="0040627E"/>
    <w:rsid w:val="0040650A"/>
    <w:rsid w:val="004110BC"/>
    <w:rsid w:val="004116C8"/>
    <w:rsid w:val="0041209C"/>
    <w:rsid w:val="00412D51"/>
    <w:rsid w:val="00414BAF"/>
    <w:rsid w:val="00415920"/>
    <w:rsid w:val="004175C7"/>
    <w:rsid w:val="00420BD3"/>
    <w:rsid w:val="00420CB4"/>
    <w:rsid w:val="00422047"/>
    <w:rsid w:val="0042297D"/>
    <w:rsid w:val="00422E59"/>
    <w:rsid w:val="00425403"/>
    <w:rsid w:val="004256DC"/>
    <w:rsid w:val="00425C0A"/>
    <w:rsid w:val="0042654C"/>
    <w:rsid w:val="00427BC1"/>
    <w:rsid w:val="00430DBA"/>
    <w:rsid w:val="00431384"/>
    <w:rsid w:val="00434114"/>
    <w:rsid w:val="004343D2"/>
    <w:rsid w:val="00435550"/>
    <w:rsid w:val="00435F3D"/>
    <w:rsid w:val="00442A7E"/>
    <w:rsid w:val="0044325F"/>
    <w:rsid w:val="00443C3D"/>
    <w:rsid w:val="00443E01"/>
    <w:rsid w:val="00445EC7"/>
    <w:rsid w:val="004462D4"/>
    <w:rsid w:val="004469E8"/>
    <w:rsid w:val="00446F80"/>
    <w:rsid w:val="004502F0"/>
    <w:rsid w:val="004511AB"/>
    <w:rsid w:val="00453162"/>
    <w:rsid w:val="00453A6F"/>
    <w:rsid w:val="00454240"/>
    <w:rsid w:val="00455168"/>
    <w:rsid w:val="004551D2"/>
    <w:rsid w:val="004561E8"/>
    <w:rsid w:val="0045703B"/>
    <w:rsid w:val="004572AA"/>
    <w:rsid w:val="00462D73"/>
    <w:rsid w:val="00463ED5"/>
    <w:rsid w:val="004643F3"/>
    <w:rsid w:val="004657A3"/>
    <w:rsid w:val="00466613"/>
    <w:rsid w:val="0046743D"/>
    <w:rsid w:val="00470C4B"/>
    <w:rsid w:val="00471817"/>
    <w:rsid w:val="00472900"/>
    <w:rsid w:val="00473222"/>
    <w:rsid w:val="00473874"/>
    <w:rsid w:val="00474538"/>
    <w:rsid w:val="00481872"/>
    <w:rsid w:val="00483063"/>
    <w:rsid w:val="0048366F"/>
    <w:rsid w:val="0048512B"/>
    <w:rsid w:val="00486DAA"/>
    <w:rsid w:val="0049202F"/>
    <w:rsid w:val="00492679"/>
    <w:rsid w:val="00493776"/>
    <w:rsid w:val="00497165"/>
    <w:rsid w:val="004978FF"/>
    <w:rsid w:val="004A05A0"/>
    <w:rsid w:val="004A30FE"/>
    <w:rsid w:val="004A3605"/>
    <w:rsid w:val="004A3A68"/>
    <w:rsid w:val="004A68D5"/>
    <w:rsid w:val="004B138D"/>
    <w:rsid w:val="004B28FF"/>
    <w:rsid w:val="004B5564"/>
    <w:rsid w:val="004B5B89"/>
    <w:rsid w:val="004B6C58"/>
    <w:rsid w:val="004B7268"/>
    <w:rsid w:val="004B7FB0"/>
    <w:rsid w:val="004C0382"/>
    <w:rsid w:val="004C261F"/>
    <w:rsid w:val="004C26C4"/>
    <w:rsid w:val="004C282E"/>
    <w:rsid w:val="004C2DF2"/>
    <w:rsid w:val="004C4AA2"/>
    <w:rsid w:val="004C5BC2"/>
    <w:rsid w:val="004C60DD"/>
    <w:rsid w:val="004C61A4"/>
    <w:rsid w:val="004C6C06"/>
    <w:rsid w:val="004C795F"/>
    <w:rsid w:val="004D238C"/>
    <w:rsid w:val="004D50D9"/>
    <w:rsid w:val="004D7322"/>
    <w:rsid w:val="004E0999"/>
    <w:rsid w:val="004E0B87"/>
    <w:rsid w:val="004E1335"/>
    <w:rsid w:val="004E1D98"/>
    <w:rsid w:val="004E1E17"/>
    <w:rsid w:val="004E21F7"/>
    <w:rsid w:val="004E3480"/>
    <w:rsid w:val="004E4BA7"/>
    <w:rsid w:val="004E52F1"/>
    <w:rsid w:val="004E631B"/>
    <w:rsid w:val="004E65F7"/>
    <w:rsid w:val="004E6E89"/>
    <w:rsid w:val="004F0C27"/>
    <w:rsid w:val="004F1497"/>
    <w:rsid w:val="004F3845"/>
    <w:rsid w:val="004F437A"/>
    <w:rsid w:val="004F496D"/>
    <w:rsid w:val="004F56E0"/>
    <w:rsid w:val="004F6321"/>
    <w:rsid w:val="0050247E"/>
    <w:rsid w:val="005025D1"/>
    <w:rsid w:val="005026B3"/>
    <w:rsid w:val="00504322"/>
    <w:rsid w:val="005060F4"/>
    <w:rsid w:val="00511A29"/>
    <w:rsid w:val="0051357F"/>
    <w:rsid w:val="005141DF"/>
    <w:rsid w:val="005172DB"/>
    <w:rsid w:val="00527B47"/>
    <w:rsid w:val="00527CC8"/>
    <w:rsid w:val="0053112B"/>
    <w:rsid w:val="00531850"/>
    <w:rsid w:val="00536A5D"/>
    <w:rsid w:val="00537EA0"/>
    <w:rsid w:val="00540249"/>
    <w:rsid w:val="005408E3"/>
    <w:rsid w:val="0054282F"/>
    <w:rsid w:val="00542949"/>
    <w:rsid w:val="00542E33"/>
    <w:rsid w:val="0054424D"/>
    <w:rsid w:val="00545ABE"/>
    <w:rsid w:val="00546B66"/>
    <w:rsid w:val="00547A86"/>
    <w:rsid w:val="005528E7"/>
    <w:rsid w:val="00552F28"/>
    <w:rsid w:val="00553BCC"/>
    <w:rsid w:val="0055451E"/>
    <w:rsid w:val="00555072"/>
    <w:rsid w:val="005554A0"/>
    <w:rsid w:val="00557268"/>
    <w:rsid w:val="00563F11"/>
    <w:rsid w:val="00564A0E"/>
    <w:rsid w:val="0056691F"/>
    <w:rsid w:val="0056752B"/>
    <w:rsid w:val="0056763C"/>
    <w:rsid w:val="00572CAB"/>
    <w:rsid w:val="005749BE"/>
    <w:rsid w:val="00574C0F"/>
    <w:rsid w:val="00575F9A"/>
    <w:rsid w:val="00580064"/>
    <w:rsid w:val="00581E9E"/>
    <w:rsid w:val="0058252F"/>
    <w:rsid w:val="005854AC"/>
    <w:rsid w:val="005862BA"/>
    <w:rsid w:val="00592164"/>
    <w:rsid w:val="0059277F"/>
    <w:rsid w:val="005927BD"/>
    <w:rsid w:val="00593BB2"/>
    <w:rsid w:val="00594696"/>
    <w:rsid w:val="005946F6"/>
    <w:rsid w:val="005963AE"/>
    <w:rsid w:val="005A03A0"/>
    <w:rsid w:val="005A1229"/>
    <w:rsid w:val="005A3AA3"/>
    <w:rsid w:val="005A48D2"/>
    <w:rsid w:val="005A6059"/>
    <w:rsid w:val="005A60BE"/>
    <w:rsid w:val="005A64F7"/>
    <w:rsid w:val="005B01E4"/>
    <w:rsid w:val="005B3EA6"/>
    <w:rsid w:val="005B4838"/>
    <w:rsid w:val="005B550A"/>
    <w:rsid w:val="005C20C2"/>
    <w:rsid w:val="005C6AE4"/>
    <w:rsid w:val="005C73B5"/>
    <w:rsid w:val="005C75BA"/>
    <w:rsid w:val="005C764D"/>
    <w:rsid w:val="005C7B0F"/>
    <w:rsid w:val="005D284E"/>
    <w:rsid w:val="005D2E4E"/>
    <w:rsid w:val="005D4CDA"/>
    <w:rsid w:val="005D52DE"/>
    <w:rsid w:val="005D65F1"/>
    <w:rsid w:val="005D74D9"/>
    <w:rsid w:val="005E08CE"/>
    <w:rsid w:val="005E0A09"/>
    <w:rsid w:val="005E3149"/>
    <w:rsid w:val="005E4118"/>
    <w:rsid w:val="005E472C"/>
    <w:rsid w:val="005E75AB"/>
    <w:rsid w:val="005E7EFE"/>
    <w:rsid w:val="005F18C9"/>
    <w:rsid w:val="005F271A"/>
    <w:rsid w:val="005F2C1A"/>
    <w:rsid w:val="005F310F"/>
    <w:rsid w:val="005F43A9"/>
    <w:rsid w:val="005F5D61"/>
    <w:rsid w:val="005F6D3F"/>
    <w:rsid w:val="005F6EF6"/>
    <w:rsid w:val="005F7E98"/>
    <w:rsid w:val="0060124D"/>
    <w:rsid w:val="006033BB"/>
    <w:rsid w:val="0060392C"/>
    <w:rsid w:val="00604141"/>
    <w:rsid w:val="00610E1E"/>
    <w:rsid w:val="00612A49"/>
    <w:rsid w:val="0061373E"/>
    <w:rsid w:val="00613E27"/>
    <w:rsid w:val="00614A93"/>
    <w:rsid w:val="00616163"/>
    <w:rsid w:val="00617455"/>
    <w:rsid w:val="006177D6"/>
    <w:rsid w:val="006206B0"/>
    <w:rsid w:val="00620914"/>
    <w:rsid w:val="0062119F"/>
    <w:rsid w:val="00621789"/>
    <w:rsid w:val="00621F94"/>
    <w:rsid w:val="006237EC"/>
    <w:rsid w:val="006241AE"/>
    <w:rsid w:val="006271E2"/>
    <w:rsid w:val="00627B22"/>
    <w:rsid w:val="00627D1F"/>
    <w:rsid w:val="006306B4"/>
    <w:rsid w:val="006312FC"/>
    <w:rsid w:val="00632D47"/>
    <w:rsid w:val="0063387B"/>
    <w:rsid w:val="00635017"/>
    <w:rsid w:val="00635646"/>
    <w:rsid w:val="006365E7"/>
    <w:rsid w:val="00640385"/>
    <w:rsid w:val="00640E6C"/>
    <w:rsid w:val="00641985"/>
    <w:rsid w:val="00641BC0"/>
    <w:rsid w:val="00643145"/>
    <w:rsid w:val="0064315E"/>
    <w:rsid w:val="0064495F"/>
    <w:rsid w:val="00644E2E"/>
    <w:rsid w:val="00645B0D"/>
    <w:rsid w:val="00645FEC"/>
    <w:rsid w:val="00646E05"/>
    <w:rsid w:val="00653628"/>
    <w:rsid w:val="00653759"/>
    <w:rsid w:val="00654010"/>
    <w:rsid w:val="00654E0F"/>
    <w:rsid w:val="00655246"/>
    <w:rsid w:val="00655651"/>
    <w:rsid w:val="00657F01"/>
    <w:rsid w:val="006604C7"/>
    <w:rsid w:val="00661DA0"/>
    <w:rsid w:val="0066506E"/>
    <w:rsid w:val="00666144"/>
    <w:rsid w:val="0066664F"/>
    <w:rsid w:val="00666D38"/>
    <w:rsid w:val="006671C6"/>
    <w:rsid w:val="0067012B"/>
    <w:rsid w:val="0067331E"/>
    <w:rsid w:val="00674995"/>
    <w:rsid w:val="0067614A"/>
    <w:rsid w:val="00676186"/>
    <w:rsid w:val="00677D47"/>
    <w:rsid w:val="00680D85"/>
    <w:rsid w:val="006814A8"/>
    <w:rsid w:val="0068197A"/>
    <w:rsid w:val="006831F8"/>
    <w:rsid w:val="006873D8"/>
    <w:rsid w:val="006905E2"/>
    <w:rsid w:val="00690BE7"/>
    <w:rsid w:val="006930CD"/>
    <w:rsid w:val="00693448"/>
    <w:rsid w:val="006944D8"/>
    <w:rsid w:val="00696093"/>
    <w:rsid w:val="00696B97"/>
    <w:rsid w:val="00696ED8"/>
    <w:rsid w:val="006979AE"/>
    <w:rsid w:val="006A13C2"/>
    <w:rsid w:val="006A3303"/>
    <w:rsid w:val="006A3851"/>
    <w:rsid w:val="006A3D03"/>
    <w:rsid w:val="006A4FE4"/>
    <w:rsid w:val="006A64AC"/>
    <w:rsid w:val="006A65A8"/>
    <w:rsid w:val="006A7973"/>
    <w:rsid w:val="006B00D0"/>
    <w:rsid w:val="006B0234"/>
    <w:rsid w:val="006B0AC0"/>
    <w:rsid w:val="006B0AFB"/>
    <w:rsid w:val="006B1907"/>
    <w:rsid w:val="006B24F2"/>
    <w:rsid w:val="006B2C9D"/>
    <w:rsid w:val="006B3962"/>
    <w:rsid w:val="006B3AE4"/>
    <w:rsid w:val="006B50E9"/>
    <w:rsid w:val="006B737F"/>
    <w:rsid w:val="006B74AB"/>
    <w:rsid w:val="006C1069"/>
    <w:rsid w:val="006D0F11"/>
    <w:rsid w:val="006D4570"/>
    <w:rsid w:val="006D6F74"/>
    <w:rsid w:val="006D73C1"/>
    <w:rsid w:val="006E20FB"/>
    <w:rsid w:val="006E4AAE"/>
    <w:rsid w:val="006E7B59"/>
    <w:rsid w:val="006F0AA4"/>
    <w:rsid w:val="006F2D8D"/>
    <w:rsid w:val="006F3AC6"/>
    <w:rsid w:val="006F435D"/>
    <w:rsid w:val="007003D2"/>
    <w:rsid w:val="00701459"/>
    <w:rsid w:val="00703495"/>
    <w:rsid w:val="007052A8"/>
    <w:rsid w:val="007057F6"/>
    <w:rsid w:val="00705E8F"/>
    <w:rsid w:val="007070D7"/>
    <w:rsid w:val="00710CD2"/>
    <w:rsid w:val="00711240"/>
    <w:rsid w:val="007117D1"/>
    <w:rsid w:val="0071280D"/>
    <w:rsid w:val="00712B0F"/>
    <w:rsid w:val="00714856"/>
    <w:rsid w:val="007150F2"/>
    <w:rsid w:val="007163FA"/>
    <w:rsid w:val="007174A4"/>
    <w:rsid w:val="00720368"/>
    <w:rsid w:val="00724136"/>
    <w:rsid w:val="0072430D"/>
    <w:rsid w:val="007253A4"/>
    <w:rsid w:val="0072765A"/>
    <w:rsid w:val="007309C8"/>
    <w:rsid w:val="00730D9E"/>
    <w:rsid w:val="00732929"/>
    <w:rsid w:val="00732E40"/>
    <w:rsid w:val="00734CA1"/>
    <w:rsid w:val="00734D56"/>
    <w:rsid w:val="00735913"/>
    <w:rsid w:val="007359BB"/>
    <w:rsid w:val="007365EA"/>
    <w:rsid w:val="00737807"/>
    <w:rsid w:val="00740A8F"/>
    <w:rsid w:val="00741430"/>
    <w:rsid w:val="0074143D"/>
    <w:rsid w:val="00742487"/>
    <w:rsid w:val="00746E12"/>
    <w:rsid w:val="0074796A"/>
    <w:rsid w:val="00750831"/>
    <w:rsid w:val="00751605"/>
    <w:rsid w:val="00751F2C"/>
    <w:rsid w:val="00752A66"/>
    <w:rsid w:val="0075597A"/>
    <w:rsid w:val="0076080B"/>
    <w:rsid w:val="00760E04"/>
    <w:rsid w:val="00762B98"/>
    <w:rsid w:val="00762E92"/>
    <w:rsid w:val="00765C02"/>
    <w:rsid w:val="00765E5B"/>
    <w:rsid w:val="007667AB"/>
    <w:rsid w:val="0076733F"/>
    <w:rsid w:val="00767B5B"/>
    <w:rsid w:val="00767D78"/>
    <w:rsid w:val="00770F5B"/>
    <w:rsid w:val="00772AE3"/>
    <w:rsid w:val="00772DCF"/>
    <w:rsid w:val="00773E53"/>
    <w:rsid w:val="00775FB8"/>
    <w:rsid w:val="00780CC9"/>
    <w:rsid w:val="00783BAF"/>
    <w:rsid w:val="00783DF8"/>
    <w:rsid w:val="0078716D"/>
    <w:rsid w:val="0078743D"/>
    <w:rsid w:val="00792833"/>
    <w:rsid w:val="00793938"/>
    <w:rsid w:val="00794224"/>
    <w:rsid w:val="007A0A94"/>
    <w:rsid w:val="007A0FAE"/>
    <w:rsid w:val="007A10D9"/>
    <w:rsid w:val="007A23F6"/>
    <w:rsid w:val="007A5715"/>
    <w:rsid w:val="007A57CB"/>
    <w:rsid w:val="007A599D"/>
    <w:rsid w:val="007B0EBE"/>
    <w:rsid w:val="007B37CC"/>
    <w:rsid w:val="007B3999"/>
    <w:rsid w:val="007B440C"/>
    <w:rsid w:val="007B6553"/>
    <w:rsid w:val="007B657E"/>
    <w:rsid w:val="007C02F9"/>
    <w:rsid w:val="007C10F3"/>
    <w:rsid w:val="007C1A3C"/>
    <w:rsid w:val="007C314F"/>
    <w:rsid w:val="007C44A3"/>
    <w:rsid w:val="007D0E0D"/>
    <w:rsid w:val="007D1625"/>
    <w:rsid w:val="007D17BF"/>
    <w:rsid w:val="007D18C8"/>
    <w:rsid w:val="007D26AE"/>
    <w:rsid w:val="007D34D1"/>
    <w:rsid w:val="007D3F77"/>
    <w:rsid w:val="007D48FF"/>
    <w:rsid w:val="007D49FD"/>
    <w:rsid w:val="007D5AA9"/>
    <w:rsid w:val="007D7961"/>
    <w:rsid w:val="007E0B6D"/>
    <w:rsid w:val="007E6831"/>
    <w:rsid w:val="007E703C"/>
    <w:rsid w:val="007E7D0E"/>
    <w:rsid w:val="007F0912"/>
    <w:rsid w:val="007F13BF"/>
    <w:rsid w:val="007F4596"/>
    <w:rsid w:val="007F4678"/>
    <w:rsid w:val="007F4911"/>
    <w:rsid w:val="007F6E26"/>
    <w:rsid w:val="007F72BC"/>
    <w:rsid w:val="008042EE"/>
    <w:rsid w:val="00804A1A"/>
    <w:rsid w:val="00804C80"/>
    <w:rsid w:val="008062F5"/>
    <w:rsid w:val="0080675F"/>
    <w:rsid w:val="00807CA2"/>
    <w:rsid w:val="0081110A"/>
    <w:rsid w:val="00811DB4"/>
    <w:rsid w:val="008127C6"/>
    <w:rsid w:val="0081301D"/>
    <w:rsid w:val="00815F8C"/>
    <w:rsid w:val="00816182"/>
    <w:rsid w:val="00816D74"/>
    <w:rsid w:val="00817370"/>
    <w:rsid w:val="00820218"/>
    <w:rsid w:val="00820B80"/>
    <w:rsid w:val="00821E23"/>
    <w:rsid w:val="00822861"/>
    <w:rsid w:val="00823C78"/>
    <w:rsid w:val="0082589D"/>
    <w:rsid w:val="00825C76"/>
    <w:rsid w:val="008264B3"/>
    <w:rsid w:val="00826EF0"/>
    <w:rsid w:val="0082700B"/>
    <w:rsid w:val="00830BFC"/>
    <w:rsid w:val="0083280B"/>
    <w:rsid w:val="008347EE"/>
    <w:rsid w:val="008369DC"/>
    <w:rsid w:val="00841405"/>
    <w:rsid w:val="0084143F"/>
    <w:rsid w:val="00841461"/>
    <w:rsid w:val="0084218B"/>
    <w:rsid w:val="00842489"/>
    <w:rsid w:val="00842B09"/>
    <w:rsid w:val="00844A11"/>
    <w:rsid w:val="00845565"/>
    <w:rsid w:val="00846B8A"/>
    <w:rsid w:val="0085294E"/>
    <w:rsid w:val="00856421"/>
    <w:rsid w:val="00857E8A"/>
    <w:rsid w:val="008606DC"/>
    <w:rsid w:val="008607B8"/>
    <w:rsid w:val="00863FA8"/>
    <w:rsid w:val="00866956"/>
    <w:rsid w:val="008671BE"/>
    <w:rsid w:val="00877D17"/>
    <w:rsid w:val="008811C8"/>
    <w:rsid w:val="0088157F"/>
    <w:rsid w:val="00887484"/>
    <w:rsid w:val="00890620"/>
    <w:rsid w:val="00891282"/>
    <w:rsid w:val="00893F7B"/>
    <w:rsid w:val="00896C97"/>
    <w:rsid w:val="008A0AE6"/>
    <w:rsid w:val="008A0CD4"/>
    <w:rsid w:val="008A1514"/>
    <w:rsid w:val="008A1D0D"/>
    <w:rsid w:val="008A4C5C"/>
    <w:rsid w:val="008A6813"/>
    <w:rsid w:val="008B02DD"/>
    <w:rsid w:val="008B1A3D"/>
    <w:rsid w:val="008B2243"/>
    <w:rsid w:val="008B282C"/>
    <w:rsid w:val="008B29FC"/>
    <w:rsid w:val="008B347D"/>
    <w:rsid w:val="008B376B"/>
    <w:rsid w:val="008B3CBE"/>
    <w:rsid w:val="008B5C7D"/>
    <w:rsid w:val="008B697B"/>
    <w:rsid w:val="008B7FB3"/>
    <w:rsid w:val="008C0A3C"/>
    <w:rsid w:val="008C2C51"/>
    <w:rsid w:val="008C5345"/>
    <w:rsid w:val="008C59A3"/>
    <w:rsid w:val="008C5AFB"/>
    <w:rsid w:val="008C6B69"/>
    <w:rsid w:val="008C711C"/>
    <w:rsid w:val="008D00EF"/>
    <w:rsid w:val="008D0334"/>
    <w:rsid w:val="008D0740"/>
    <w:rsid w:val="008D26A0"/>
    <w:rsid w:val="008D3D1D"/>
    <w:rsid w:val="008D48E6"/>
    <w:rsid w:val="008D7D97"/>
    <w:rsid w:val="008E29BE"/>
    <w:rsid w:val="008E3B06"/>
    <w:rsid w:val="008E5FB3"/>
    <w:rsid w:val="008E75D2"/>
    <w:rsid w:val="008F1148"/>
    <w:rsid w:val="008F15F1"/>
    <w:rsid w:val="008F1D0D"/>
    <w:rsid w:val="008F260A"/>
    <w:rsid w:val="008F3075"/>
    <w:rsid w:val="008F3C57"/>
    <w:rsid w:val="008F56B4"/>
    <w:rsid w:val="008F5F37"/>
    <w:rsid w:val="008F667F"/>
    <w:rsid w:val="008F76EB"/>
    <w:rsid w:val="008F7737"/>
    <w:rsid w:val="00900332"/>
    <w:rsid w:val="00900388"/>
    <w:rsid w:val="00902EDE"/>
    <w:rsid w:val="0090366C"/>
    <w:rsid w:val="0090491D"/>
    <w:rsid w:val="00905089"/>
    <w:rsid w:val="00905544"/>
    <w:rsid w:val="00906D6C"/>
    <w:rsid w:val="00912008"/>
    <w:rsid w:val="00912BF6"/>
    <w:rsid w:val="009138BE"/>
    <w:rsid w:val="00916080"/>
    <w:rsid w:val="00920E55"/>
    <w:rsid w:val="0092315C"/>
    <w:rsid w:val="00927F5C"/>
    <w:rsid w:val="009329D6"/>
    <w:rsid w:val="009334EA"/>
    <w:rsid w:val="0093523C"/>
    <w:rsid w:val="0093649F"/>
    <w:rsid w:val="00937032"/>
    <w:rsid w:val="00937AA7"/>
    <w:rsid w:val="00941645"/>
    <w:rsid w:val="00941F1F"/>
    <w:rsid w:val="00942ED2"/>
    <w:rsid w:val="009431F0"/>
    <w:rsid w:val="009443F8"/>
    <w:rsid w:val="00944D7F"/>
    <w:rsid w:val="00945537"/>
    <w:rsid w:val="00945D3B"/>
    <w:rsid w:val="00946CCC"/>
    <w:rsid w:val="00947EA4"/>
    <w:rsid w:val="00950DCB"/>
    <w:rsid w:val="00951B77"/>
    <w:rsid w:val="009559B1"/>
    <w:rsid w:val="00955CDE"/>
    <w:rsid w:val="00956DD3"/>
    <w:rsid w:val="00957D07"/>
    <w:rsid w:val="009605F1"/>
    <w:rsid w:val="00961657"/>
    <w:rsid w:val="00962A92"/>
    <w:rsid w:val="009632C8"/>
    <w:rsid w:val="00963493"/>
    <w:rsid w:val="0096402B"/>
    <w:rsid w:val="0096531F"/>
    <w:rsid w:val="009671DB"/>
    <w:rsid w:val="00972C0F"/>
    <w:rsid w:val="009733AF"/>
    <w:rsid w:val="009740A6"/>
    <w:rsid w:val="009753B8"/>
    <w:rsid w:val="009769CB"/>
    <w:rsid w:val="0098057C"/>
    <w:rsid w:val="00982C42"/>
    <w:rsid w:val="00983C8F"/>
    <w:rsid w:val="0098419B"/>
    <w:rsid w:val="009845D2"/>
    <w:rsid w:val="00984DAF"/>
    <w:rsid w:val="00984FB4"/>
    <w:rsid w:val="0099052E"/>
    <w:rsid w:val="0099074B"/>
    <w:rsid w:val="009907F9"/>
    <w:rsid w:val="00991085"/>
    <w:rsid w:val="00991CDA"/>
    <w:rsid w:val="00992203"/>
    <w:rsid w:val="009922FF"/>
    <w:rsid w:val="00992B0A"/>
    <w:rsid w:val="00995DEE"/>
    <w:rsid w:val="009962D7"/>
    <w:rsid w:val="009A13E3"/>
    <w:rsid w:val="009A16C8"/>
    <w:rsid w:val="009A2333"/>
    <w:rsid w:val="009A2B7C"/>
    <w:rsid w:val="009A361F"/>
    <w:rsid w:val="009A480D"/>
    <w:rsid w:val="009A50B3"/>
    <w:rsid w:val="009A5F06"/>
    <w:rsid w:val="009B009C"/>
    <w:rsid w:val="009B0F07"/>
    <w:rsid w:val="009B1109"/>
    <w:rsid w:val="009B11BA"/>
    <w:rsid w:val="009B1406"/>
    <w:rsid w:val="009B2126"/>
    <w:rsid w:val="009B40A1"/>
    <w:rsid w:val="009B6247"/>
    <w:rsid w:val="009B697D"/>
    <w:rsid w:val="009C21D0"/>
    <w:rsid w:val="009C2658"/>
    <w:rsid w:val="009C28CC"/>
    <w:rsid w:val="009C2E25"/>
    <w:rsid w:val="009C2E84"/>
    <w:rsid w:val="009C374D"/>
    <w:rsid w:val="009C725E"/>
    <w:rsid w:val="009D1217"/>
    <w:rsid w:val="009D2F20"/>
    <w:rsid w:val="009D3CFC"/>
    <w:rsid w:val="009D3FEF"/>
    <w:rsid w:val="009D3FF7"/>
    <w:rsid w:val="009D5760"/>
    <w:rsid w:val="009D5B08"/>
    <w:rsid w:val="009D5E11"/>
    <w:rsid w:val="009D5F63"/>
    <w:rsid w:val="009D6013"/>
    <w:rsid w:val="009D6375"/>
    <w:rsid w:val="009D6AC2"/>
    <w:rsid w:val="009E17A0"/>
    <w:rsid w:val="009E236A"/>
    <w:rsid w:val="009E2E14"/>
    <w:rsid w:val="009F060D"/>
    <w:rsid w:val="009F066F"/>
    <w:rsid w:val="009F1566"/>
    <w:rsid w:val="009F1729"/>
    <w:rsid w:val="009F1C9E"/>
    <w:rsid w:val="009F2297"/>
    <w:rsid w:val="009F31EF"/>
    <w:rsid w:val="009F375A"/>
    <w:rsid w:val="009F4B4A"/>
    <w:rsid w:val="009F5EEB"/>
    <w:rsid w:val="009F601C"/>
    <w:rsid w:val="009F63A5"/>
    <w:rsid w:val="009F6841"/>
    <w:rsid w:val="009F6C28"/>
    <w:rsid w:val="009F6C3E"/>
    <w:rsid w:val="009F70CE"/>
    <w:rsid w:val="00A01224"/>
    <w:rsid w:val="00A013ED"/>
    <w:rsid w:val="00A0160E"/>
    <w:rsid w:val="00A04038"/>
    <w:rsid w:val="00A0485F"/>
    <w:rsid w:val="00A06DB9"/>
    <w:rsid w:val="00A07FB7"/>
    <w:rsid w:val="00A13430"/>
    <w:rsid w:val="00A13E44"/>
    <w:rsid w:val="00A141CE"/>
    <w:rsid w:val="00A15A80"/>
    <w:rsid w:val="00A1665F"/>
    <w:rsid w:val="00A17785"/>
    <w:rsid w:val="00A20BD9"/>
    <w:rsid w:val="00A213C7"/>
    <w:rsid w:val="00A21FD8"/>
    <w:rsid w:val="00A22739"/>
    <w:rsid w:val="00A232A0"/>
    <w:rsid w:val="00A233D7"/>
    <w:rsid w:val="00A239D0"/>
    <w:rsid w:val="00A247CC"/>
    <w:rsid w:val="00A257FE"/>
    <w:rsid w:val="00A26856"/>
    <w:rsid w:val="00A31EAD"/>
    <w:rsid w:val="00A322D8"/>
    <w:rsid w:val="00A32AEE"/>
    <w:rsid w:val="00A336A2"/>
    <w:rsid w:val="00A34185"/>
    <w:rsid w:val="00A34665"/>
    <w:rsid w:val="00A34C78"/>
    <w:rsid w:val="00A361AB"/>
    <w:rsid w:val="00A36A98"/>
    <w:rsid w:val="00A40677"/>
    <w:rsid w:val="00A40F31"/>
    <w:rsid w:val="00A41C76"/>
    <w:rsid w:val="00A4317E"/>
    <w:rsid w:val="00A43B3A"/>
    <w:rsid w:val="00A44C67"/>
    <w:rsid w:val="00A50169"/>
    <w:rsid w:val="00A509D3"/>
    <w:rsid w:val="00A512EE"/>
    <w:rsid w:val="00A51E85"/>
    <w:rsid w:val="00A544EE"/>
    <w:rsid w:val="00A55086"/>
    <w:rsid w:val="00A60197"/>
    <w:rsid w:val="00A60484"/>
    <w:rsid w:val="00A67A2E"/>
    <w:rsid w:val="00A7122A"/>
    <w:rsid w:val="00A7287D"/>
    <w:rsid w:val="00A730CB"/>
    <w:rsid w:val="00A731FD"/>
    <w:rsid w:val="00A73FDD"/>
    <w:rsid w:val="00A746B0"/>
    <w:rsid w:val="00A7650D"/>
    <w:rsid w:val="00A771EA"/>
    <w:rsid w:val="00A77894"/>
    <w:rsid w:val="00A800AD"/>
    <w:rsid w:val="00A80D15"/>
    <w:rsid w:val="00A81E31"/>
    <w:rsid w:val="00A8511B"/>
    <w:rsid w:val="00A86BA0"/>
    <w:rsid w:val="00A917BE"/>
    <w:rsid w:val="00A922F2"/>
    <w:rsid w:val="00A92340"/>
    <w:rsid w:val="00A92864"/>
    <w:rsid w:val="00A9441B"/>
    <w:rsid w:val="00A95279"/>
    <w:rsid w:val="00A95849"/>
    <w:rsid w:val="00A97C88"/>
    <w:rsid w:val="00A97D30"/>
    <w:rsid w:val="00AA0770"/>
    <w:rsid w:val="00AA0C34"/>
    <w:rsid w:val="00AA43D0"/>
    <w:rsid w:val="00AB0182"/>
    <w:rsid w:val="00AB028C"/>
    <w:rsid w:val="00AB036C"/>
    <w:rsid w:val="00AB09CF"/>
    <w:rsid w:val="00AB1DC6"/>
    <w:rsid w:val="00AB1EA0"/>
    <w:rsid w:val="00AB3F2A"/>
    <w:rsid w:val="00AB4E32"/>
    <w:rsid w:val="00AB5122"/>
    <w:rsid w:val="00AB573A"/>
    <w:rsid w:val="00AB5DBA"/>
    <w:rsid w:val="00AB77E7"/>
    <w:rsid w:val="00AC08D2"/>
    <w:rsid w:val="00AC1471"/>
    <w:rsid w:val="00AC16D7"/>
    <w:rsid w:val="00AC2538"/>
    <w:rsid w:val="00AC2A75"/>
    <w:rsid w:val="00AC45BA"/>
    <w:rsid w:val="00AC601C"/>
    <w:rsid w:val="00AD0D01"/>
    <w:rsid w:val="00AD1853"/>
    <w:rsid w:val="00AD2C43"/>
    <w:rsid w:val="00AD652F"/>
    <w:rsid w:val="00AD68BB"/>
    <w:rsid w:val="00AD6FB1"/>
    <w:rsid w:val="00AD73D2"/>
    <w:rsid w:val="00AD7DD6"/>
    <w:rsid w:val="00AE2271"/>
    <w:rsid w:val="00AE302E"/>
    <w:rsid w:val="00AE3E94"/>
    <w:rsid w:val="00AE531D"/>
    <w:rsid w:val="00AE5C5A"/>
    <w:rsid w:val="00AE61CA"/>
    <w:rsid w:val="00AE7A2A"/>
    <w:rsid w:val="00AF0458"/>
    <w:rsid w:val="00AF1C1F"/>
    <w:rsid w:val="00AF2CD8"/>
    <w:rsid w:val="00AF2D1B"/>
    <w:rsid w:val="00AF304B"/>
    <w:rsid w:val="00AF3626"/>
    <w:rsid w:val="00AF387B"/>
    <w:rsid w:val="00AF3A7C"/>
    <w:rsid w:val="00AF42E4"/>
    <w:rsid w:val="00AF49AE"/>
    <w:rsid w:val="00AF507E"/>
    <w:rsid w:val="00AF6985"/>
    <w:rsid w:val="00AF7051"/>
    <w:rsid w:val="00AF79CF"/>
    <w:rsid w:val="00B00457"/>
    <w:rsid w:val="00B008C8"/>
    <w:rsid w:val="00B01B46"/>
    <w:rsid w:val="00B02751"/>
    <w:rsid w:val="00B02A31"/>
    <w:rsid w:val="00B02AB8"/>
    <w:rsid w:val="00B02E26"/>
    <w:rsid w:val="00B05E06"/>
    <w:rsid w:val="00B070DB"/>
    <w:rsid w:val="00B1094C"/>
    <w:rsid w:val="00B1130A"/>
    <w:rsid w:val="00B13433"/>
    <w:rsid w:val="00B1380D"/>
    <w:rsid w:val="00B14E46"/>
    <w:rsid w:val="00B15142"/>
    <w:rsid w:val="00B16C47"/>
    <w:rsid w:val="00B207DF"/>
    <w:rsid w:val="00B22E06"/>
    <w:rsid w:val="00B30094"/>
    <w:rsid w:val="00B30432"/>
    <w:rsid w:val="00B30FBF"/>
    <w:rsid w:val="00B320BE"/>
    <w:rsid w:val="00B33195"/>
    <w:rsid w:val="00B344E4"/>
    <w:rsid w:val="00B345BC"/>
    <w:rsid w:val="00B35E73"/>
    <w:rsid w:val="00B36164"/>
    <w:rsid w:val="00B4193B"/>
    <w:rsid w:val="00B45147"/>
    <w:rsid w:val="00B46FC0"/>
    <w:rsid w:val="00B4722D"/>
    <w:rsid w:val="00B51DC0"/>
    <w:rsid w:val="00B550DB"/>
    <w:rsid w:val="00B57979"/>
    <w:rsid w:val="00B60937"/>
    <w:rsid w:val="00B60EEC"/>
    <w:rsid w:val="00B63FDE"/>
    <w:rsid w:val="00B64E47"/>
    <w:rsid w:val="00B65B0F"/>
    <w:rsid w:val="00B65D19"/>
    <w:rsid w:val="00B663CE"/>
    <w:rsid w:val="00B66D41"/>
    <w:rsid w:val="00B708FB"/>
    <w:rsid w:val="00B73EED"/>
    <w:rsid w:val="00B82C6E"/>
    <w:rsid w:val="00B83606"/>
    <w:rsid w:val="00B84E50"/>
    <w:rsid w:val="00B85B8A"/>
    <w:rsid w:val="00B905E2"/>
    <w:rsid w:val="00B9331B"/>
    <w:rsid w:val="00B95CA5"/>
    <w:rsid w:val="00B97985"/>
    <w:rsid w:val="00BA291D"/>
    <w:rsid w:val="00BA30CE"/>
    <w:rsid w:val="00BA3154"/>
    <w:rsid w:val="00BA4C94"/>
    <w:rsid w:val="00BA578D"/>
    <w:rsid w:val="00BA5ABA"/>
    <w:rsid w:val="00BB17CC"/>
    <w:rsid w:val="00BB1865"/>
    <w:rsid w:val="00BB238E"/>
    <w:rsid w:val="00BB496E"/>
    <w:rsid w:val="00BB49EE"/>
    <w:rsid w:val="00BB5360"/>
    <w:rsid w:val="00BB605A"/>
    <w:rsid w:val="00BB7AA1"/>
    <w:rsid w:val="00BB7CD1"/>
    <w:rsid w:val="00BC096F"/>
    <w:rsid w:val="00BC0E0E"/>
    <w:rsid w:val="00BC129E"/>
    <w:rsid w:val="00BC29F7"/>
    <w:rsid w:val="00BC57A5"/>
    <w:rsid w:val="00BC6060"/>
    <w:rsid w:val="00BD079A"/>
    <w:rsid w:val="00BD09B4"/>
    <w:rsid w:val="00BD200A"/>
    <w:rsid w:val="00BD52C7"/>
    <w:rsid w:val="00BD5660"/>
    <w:rsid w:val="00BD6A8D"/>
    <w:rsid w:val="00BD6BE4"/>
    <w:rsid w:val="00BD70DE"/>
    <w:rsid w:val="00BE0917"/>
    <w:rsid w:val="00BE1594"/>
    <w:rsid w:val="00BE5AD1"/>
    <w:rsid w:val="00BE5BFD"/>
    <w:rsid w:val="00BE755A"/>
    <w:rsid w:val="00BF100B"/>
    <w:rsid w:val="00BF14BD"/>
    <w:rsid w:val="00BF1F16"/>
    <w:rsid w:val="00BF51CB"/>
    <w:rsid w:val="00BF7A2C"/>
    <w:rsid w:val="00C00010"/>
    <w:rsid w:val="00C00EEF"/>
    <w:rsid w:val="00C00FD9"/>
    <w:rsid w:val="00C044D5"/>
    <w:rsid w:val="00C055DD"/>
    <w:rsid w:val="00C05DBE"/>
    <w:rsid w:val="00C06742"/>
    <w:rsid w:val="00C10026"/>
    <w:rsid w:val="00C13BA8"/>
    <w:rsid w:val="00C14518"/>
    <w:rsid w:val="00C214A8"/>
    <w:rsid w:val="00C23958"/>
    <w:rsid w:val="00C26196"/>
    <w:rsid w:val="00C26E26"/>
    <w:rsid w:val="00C27E71"/>
    <w:rsid w:val="00C30A82"/>
    <w:rsid w:val="00C31F40"/>
    <w:rsid w:val="00C33465"/>
    <w:rsid w:val="00C338ED"/>
    <w:rsid w:val="00C33A6E"/>
    <w:rsid w:val="00C33D0D"/>
    <w:rsid w:val="00C36D34"/>
    <w:rsid w:val="00C40283"/>
    <w:rsid w:val="00C403DB"/>
    <w:rsid w:val="00C40438"/>
    <w:rsid w:val="00C4167A"/>
    <w:rsid w:val="00C41CE9"/>
    <w:rsid w:val="00C42320"/>
    <w:rsid w:val="00C42FE0"/>
    <w:rsid w:val="00C44F78"/>
    <w:rsid w:val="00C47943"/>
    <w:rsid w:val="00C523FD"/>
    <w:rsid w:val="00C5242A"/>
    <w:rsid w:val="00C53E7F"/>
    <w:rsid w:val="00C542BB"/>
    <w:rsid w:val="00C55359"/>
    <w:rsid w:val="00C55F90"/>
    <w:rsid w:val="00C57059"/>
    <w:rsid w:val="00C603DE"/>
    <w:rsid w:val="00C60D49"/>
    <w:rsid w:val="00C62CA6"/>
    <w:rsid w:val="00C63011"/>
    <w:rsid w:val="00C632AE"/>
    <w:rsid w:val="00C67894"/>
    <w:rsid w:val="00C704C6"/>
    <w:rsid w:val="00C70DB3"/>
    <w:rsid w:val="00C73D3D"/>
    <w:rsid w:val="00C752F0"/>
    <w:rsid w:val="00C77150"/>
    <w:rsid w:val="00C77863"/>
    <w:rsid w:val="00C778F1"/>
    <w:rsid w:val="00C811F7"/>
    <w:rsid w:val="00C81BC1"/>
    <w:rsid w:val="00C82500"/>
    <w:rsid w:val="00C84DDB"/>
    <w:rsid w:val="00C909A3"/>
    <w:rsid w:val="00C913E7"/>
    <w:rsid w:val="00C92604"/>
    <w:rsid w:val="00C92829"/>
    <w:rsid w:val="00C954DD"/>
    <w:rsid w:val="00C964ED"/>
    <w:rsid w:val="00C96853"/>
    <w:rsid w:val="00CA0921"/>
    <w:rsid w:val="00CA227C"/>
    <w:rsid w:val="00CA267F"/>
    <w:rsid w:val="00CA2B66"/>
    <w:rsid w:val="00CA3409"/>
    <w:rsid w:val="00CA45A2"/>
    <w:rsid w:val="00CB36D7"/>
    <w:rsid w:val="00CB52DF"/>
    <w:rsid w:val="00CB6BCD"/>
    <w:rsid w:val="00CC0370"/>
    <w:rsid w:val="00CC671B"/>
    <w:rsid w:val="00CC7068"/>
    <w:rsid w:val="00CC72ED"/>
    <w:rsid w:val="00CC7450"/>
    <w:rsid w:val="00CC7D08"/>
    <w:rsid w:val="00CD1FF9"/>
    <w:rsid w:val="00CD20E6"/>
    <w:rsid w:val="00CD2897"/>
    <w:rsid w:val="00CD3D30"/>
    <w:rsid w:val="00CD46FA"/>
    <w:rsid w:val="00CD4843"/>
    <w:rsid w:val="00CD6106"/>
    <w:rsid w:val="00CD68D7"/>
    <w:rsid w:val="00CE0824"/>
    <w:rsid w:val="00CE1868"/>
    <w:rsid w:val="00CE193C"/>
    <w:rsid w:val="00CE2BC9"/>
    <w:rsid w:val="00CF1E43"/>
    <w:rsid w:val="00CF41AC"/>
    <w:rsid w:val="00CF54C2"/>
    <w:rsid w:val="00CF7694"/>
    <w:rsid w:val="00D01A16"/>
    <w:rsid w:val="00D02878"/>
    <w:rsid w:val="00D02A01"/>
    <w:rsid w:val="00D05D11"/>
    <w:rsid w:val="00D06521"/>
    <w:rsid w:val="00D065E6"/>
    <w:rsid w:val="00D0664E"/>
    <w:rsid w:val="00D06AE5"/>
    <w:rsid w:val="00D06BDA"/>
    <w:rsid w:val="00D0761B"/>
    <w:rsid w:val="00D125E8"/>
    <w:rsid w:val="00D15309"/>
    <w:rsid w:val="00D15ACE"/>
    <w:rsid w:val="00D17820"/>
    <w:rsid w:val="00D20181"/>
    <w:rsid w:val="00D20222"/>
    <w:rsid w:val="00D2052C"/>
    <w:rsid w:val="00D20FF5"/>
    <w:rsid w:val="00D223B3"/>
    <w:rsid w:val="00D22D31"/>
    <w:rsid w:val="00D23CD0"/>
    <w:rsid w:val="00D24B12"/>
    <w:rsid w:val="00D24F35"/>
    <w:rsid w:val="00D2772E"/>
    <w:rsid w:val="00D30BE6"/>
    <w:rsid w:val="00D329FD"/>
    <w:rsid w:val="00D32DE2"/>
    <w:rsid w:val="00D334CC"/>
    <w:rsid w:val="00D34FE0"/>
    <w:rsid w:val="00D42A5E"/>
    <w:rsid w:val="00D4417A"/>
    <w:rsid w:val="00D445D8"/>
    <w:rsid w:val="00D4471A"/>
    <w:rsid w:val="00D44FE7"/>
    <w:rsid w:val="00D45A87"/>
    <w:rsid w:val="00D4726B"/>
    <w:rsid w:val="00D517CF"/>
    <w:rsid w:val="00D52833"/>
    <w:rsid w:val="00D5390A"/>
    <w:rsid w:val="00D5395D"/>
    <w:rsid w:val="00D53B61"/>
    <w:rsid w:val="00D571A0"/>
    <w:rsid w:val="00D60FAA"/>
    <w:rsid w:val="00D615C0"/>
    <w:rsid w:val="00D61D31"/>
    <w:rsid w:val="00D62E8D"/>
    <w:rsid w:val="00D65906"/>
    <w:rsid w:val="00D67B03"/>
    <w:rsid w:val="00D7045E"/>
    <w:rsid w:val="00D7095C"/>
    <w:rsid w:val="00D72033"/>
    <w:rsid w:val="00D72183"/>
    <w:rsid w:val="00D7260D"/>
    <w:rsid w:val="00D729BF"/>
    <w:rsid w:val="00D72E26"/>
    <w:rsid w:val="00D752A0"/>
    <w:rsid w:val="00D753AB"/>
    <w:rsid w:val="00D75E4B"/>
    <w:rsid w:val="00D760E3"/>
    <w:rsid w:val="00D773BE"/>
    <w:rsid w:val="00D77A1B"/>
    <w:rsid w:val="00D84B61"/>
    <w:rsid w:val="00D8500E"/>
    <w:rsid w:val="00D859CE"/>
    <w:rsid w:val="00D85B27"/>
    <w:rsid w:val="00D87C8E"/>
    <w:rsid w:val="00D9171C"/>
    <w:rsid w:val="00D917F7"/>
    <w:rsid w:val="00D929CD"/>
    <w:rsid w:val="00D92FF4"/>
    <w:rsid w:val="00D9460A"/>
    <w:rsid w:val="00D94955"/>
    <w:rsid w:val="00D94D89"/>
    <w:rsid w:val="00D9632D"/>
    <w:rsid w:val="00DA0F1B"/>
    <w:rsid w:val="00DA20F7"/>
    <w:rsid w:val="00DA6E0C"/>
    <w:rsid w:val="00DA6FD5"/>
    <w:rsid w:val="00DA7095"/>
    <w:rsid w:val="00DB0439"/>
    <w:rsid w:val="00DB0906"/>
    <w:rsid w:val="00DB23AD"/>
    <w:rsid w:val="00DB4E66"/>
    <w:rsid w:val="00DB4EA1"/>
    <w:rsid w:val="00DB5073"/>
    <w:rsid w:val="00DB56F9"/>
    <w:rsid w:val="00DB6AF5"/>
    <w:rsid w:val="00DB7B82"/>
    <w:rsid w:val="00DC1465"/>
    <w:rsid w:val="00DC15AF"/>
    <w:rsid w:val="00DC260A"/>
    <w:rsid w:val="00DC626B"/>
    <w:rsid w:val="00DC6836"/>
    <w:rsid w:val="00DD0761"/>
    <w:rsid w:val="00DD2946"/>
    <w:rsid w:val="00DD7805"/>
    <w:rsid w:val="00DE167F"/>
    <w:rsid w:val="00DE4C2B"/>
    <w:rsid w:val="00DE541F"/>
    <w:rsid w:val="00DE5E8B"/>
    <w:rsid w:val="00DE63B0"/>
    <w:rsid w:val="00DE6C79"/>
    <w:rsid w:val="00DE765B"/>
    <w:rsid w:val="00DE76AB"/>
    <w:rsid w:val="00DF2525"/>
    <w:rsid w:val="00DF2E1F"/>
    <w:rsid w:val="00DF5112"/>
    <w:rsid w:val="00DF6656"/>
    <w:rsid w:val="00E014B4"/>
    <w:rsid w:val="00E03D64"/>
    <w:rsid w:val="00E04238"/>
    <w:rsid w:val="00E05EC7"/>
    <w:rsid w:val="00E12BC6"/>
    <w:rsid w:val="00E12E38"/>
    <w:rsid w:val="00E15F56"/>
    <w:rsid w:val="00E17174"/>
    <w:rsid w:val="00E17E3B"/>
    <w:rsid w:val="00E212A1"/>
    <w:rsid w:val="00E23C08"/>
    <w:rsid w:val="00E23F04"/>
    <w:rsid w:val="00E24475"/>
    <w:rsid w:val="00E2498E"/>
    <w:rsid w:val="00E31116"/>
    <w:rsid w:val="00E31311"/>
    <w:rsid w:val="00E3163A"/>
    <w:rsid w:val="00E31EE3"/>
    <w:rsid w:val="00E32845"/>
    <w:rsid w:val="00E32CC2"/>
    <w:rsid w:val="00E34018"/>
    <w:rsid w:val="00E3408A"/>
    <w:rsid w:val="00E3520D"/>
    <w:rsid w:val="00E362BE"/>
    <w:rsid w:val="00E41013"/>
    <w:rsid w:val="00E4158E"/>
    <w:rsid w:val="00E41EDF"/>
    <w:rsid w:val="00E42CF9"/>
    <w:rsid w:val="00E45C57"/>
    <w:rsid w:val="00E460EA"/>
    <w:rsid w:val="00E46345"/>
    <w:rsid w:val="00E471F4"/>
    <w:rsid w:val="00E50AD8"/>
    <w:rsid w:val="00E52984"/>
    <w:rsid w:val="00E5597A"/>
    <w:rsid w:val="00E563FB"/>
    <w:rsid w:val="00E6327B"/>
    <w:rsid w:val="00E674C5"/>
    <w:rsid w:val="00E71C9F"/>
    <w:rsid w:val="00E73A0E"/>
    <w:rsid w:val="00E748C0"/>
    <w:rsid w:val="00E758FB"/>
    <w:rsid w:val="00E7638E"/>
    <w:rsid w:val="00E76916"/>
    <w:rsid w:val="00E76F52"/>
    <w:rsid w:val="00E76FF1"/>
    <w:rsid w:val="00E80742"/>
    <w:rsid w:val="00E80971"/>
    <w:rsid w:val="00E82AB9"/>
    <w:rsid w:val="00E862F8"/>
    <w:rsid w:val="00E86CF3"/>
    <w:rsid w:val="00E95602"/>
    <w:rsid w:val="00EA1FF0"/>
    <w:rsid w:val="00EA41F6"/>
    <w:rsid w:val="00EA4653"/>
    <w:rsid w:val="00EA501C"/>
    <w:rsid w:val="00EA5C44"/>
    <w:rsid w:val="00EA7155"/>
    <w:rsid w:val="00EB0426"/>
    <w:rsid w:val="00EB1719"/>
    <w:rsid w:val="00EB4399"/>
    <w:rsid w:val="00EB4ADB"/>
    <w:rsid w:val="00EB6A3B"/>
    <w:rsid w:val="00EC0585"/>
    <w:rsid w:val="00EC0A04"/>
    <w:rsid w:val="00EC26CB"/>
    <w:rsid w:val="00EC328D"/>
    <w:rsid w:val="00EC3982"/>
    <w:rsid w:val="00EC60E3"/>
    <w:rsid w:val="00EC6366"/>
    <w:rsid w:val="00ED0C84"/>
    <w:rsid w:val="00ED1E55"/>
    <w:rsid w:val="00ED68D5"/>
    <w:rsid w:val="00ED6EFC"/>
    <w:rsid w:val="00ED73C5"/>
    <w:rsid w:val="00ED786F"/>
    <w:rsid w:val="00EE0454"/>
    <w:rsid w:val="00EE134A"/>
    <w:rsid w:val="00EE1C29"/>
    <w:rsid w:val="00EE420C"/>
    <w:rsid w:val="00EE4CDD"/>
    <w:rsid w:val="00EE7DE7"/>
    <w:rsid w:val="00EE7FE9"/>
    <w:rsid w:val="00EF1B22"/>
    <w:rsid w:val="00EF2BD6"/>
    <w:rsid w:val="00EF2C97"/>
    <w:rsid w:val="00EF2CA1"/>
    <w:rsid w:val="00EF3030"/>
    <w:rsid w:val="00EF3AEF"/>
    <w:rsid w:val="00EF3B71"/>
    <w:rsid w:val="00EF6FCE"/>
    <w:rsid w:val="00EF7979"/>
    <w:rsid w:val="00F0209D"/>
    <w:rsid w:val="00F02BDB"/>
    <w:rsid w:val="00F05E1A"/>
    <w:rsid w:val="00F07C0C"/>
    <w:rsid w:val="00F07F8B"/>
    <w:rsid w:val="00F1070A"/>
    <w:rsid w:val="00F108DA"/>
    <w:rsid w:val="00F114C7"/>
    <w:rsid w:val="00F121D5"/>
    <w:rsid w:val="00F127C3"/>
    <w:rsid w:val="00F16C01"/>
    <w:rsid w:val="00F1771C"/>
    <w:rsid w:val="00F17A94"/>
    <w:rsid w:val="00F20D27"/>
    <w:rsid w:val="00F2100F"/>
    <w:rsid w:val="00F2435F"/>
    <w:rsid w:val="00F24946"/>
    <w:rsid w:val="00F25AAD"/>
    <w:rsid w:val="00F26756"/>
    <w:rsid w:val="00F27B39"/>
    <w:rsid w:val="00F27CCB"/>
    <w:rsid w:val="00F3029F"/>
    <w:rsid w:val="00F31D0E"/>
    <w:rsid w:val="00F32A1B"/>
    <w:rsid w:val="00F35910"/>
    <w:rsid w:val="00F360B1"/>
    <w:rsid w:val="00F3761F"/>
    <w:rsid w:val="00F41937"/>
    <w:rsid w:val="00F41AAB"/>
    <w:rsid w:val="00F42004"/>
    <w:rsid w:val="00F42B59"/>
    <w:rsid w:val="00F439F5"/>
    <w:rsid w:val="00F45AAE"/>
    <w:rsid w:val="00F509F8"/>
    <w:rsid w:val="00F5103A"/>
    <w:rsid w:val="00F5164B"/>
    <w:rsid w:val="00F52ABF"/>
    <w:rsid w:val="00F52BF1"/>
    <w:rsid w:val="00F52FD5"/>
    <w:rsid w:val="00F54346"/>
    <w:rsid w:val="00F54AFD"/>
    <w:rsid w:val="00F54E33"/>
    <w:rsid w:val="00F55C79"/>
    <w:rsid w:val="00F57648"/>
    <w:rsid w:val="00F60B4E"/>
    <w:rsid w:val="00F60F63"/>
    <w:rsid w:val="00F626C5"/>
    <w:rsid w:val="00F631AC"/>
    <w:rsid w:val="00F6320D"/>
    <w:rsid w:val="00F64253"/>
    <w:rsid w:val="00F678C7"/>
    <w:rsid w:val="00F67FE4"/>
    <w:rsid w:val="00F71365"/>
    <w:rsid w:val="00F73374"/>
    <w:rsid w:val="00F740AE"/>
    <w:rsid w:val="00F8105A"/>
    <w:rsid w:val="00F81B5D"/>
    <w:rsid w:val="00F83B98"/>
    <w:rsid w:val="00F85141"/>
    <w:rsid w:val="00F8562E"/>
    <w:rsid w:val="00F872E2"/>
    <w:rsid w:val="00F87EB4"/>
    <w:rsid w:val="00F87FD6"/>
    <w:rsid w:val="00F93DE7"/>
    <w:rsid w:val="00F95ED4"/>
    <w:rsid w:val="00F968CE"/>
    <w:rsid w:val="00F96A36"/>
    <w:rsid w:val="00F973CB"/>
    <w:rsid w:val="00FA0CD4"/>
    <w:rsid w:val="00FA0F63"/>
    <w:rsid w:val="00FA2A54"/>
    <w:rsid w:val="00FA3C89"/>
    <w:rsid w:val="00FA3EF2"/>
    <w:rsid w:val="00FA52A0"/>
    <w:rsid w:val="00FA58B5"/>
    <w:rsid w:val="00FA6438"/>
    <w:rsid w:val="00FA761C"/>
    <w:rsid w:val="00FA7968"/>
    <w:rsid w:val="00FB05C8"/>
    <w:rsid w:val="00FB3D81"/>
    <w:rsid w:val="00FB478B"/>
    <w:rsid w:val="00FB667F"/>
    <w:rsid w:val="00FB6A9B"/>
    <w:rsid w:val="00FC2D03"/>
    <w:rsid w:val="00FC4518"/>
    <w:rsid w:val="00FC4F8D"/>
    <w:rsid w:val="00FC5987"/>
    <w:rsid w:val="00FC73ED"/>
    <w:rsid w:val="00FD132F"/>
    <w:rsid w:val="00FD4332"/>
    <w:rsid w:val="00FD644E"/>
    <w:rsid w:val="00FD71BD"/>
    <w:rsid w:val="00FE0EC8"/>
    <w:rsid w:val="00FE1A70"/>
    <w:rsid w:val="00FE45EF"/>
    <w:rsid w:val="00FE49ED"/>
    <w:rsid w:val="00FE73CA"/>
    <w:rsid w:val="00FF3A3F"/>
    <w:rsid w:val="00FF73CF"/>
    <w:rsid w:val="00FF7870"/>
    <w:rsid w:val="518E1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semiHidden="0" w:name="Body Text Indent 2"/>
    <w:lsdException w:uiPriority="99" w:name="Body Text Indent 3"/>
    <w:lsdException w:unhideWhenUsed="0"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0" w:line="240" w:lineRule="auto"/>
    </w:pPr>
    <w:rPr>
      <w:rFonts w:ascii="Times New Roman" w:hAnsi="Times New Roman" w:eastAsia="Times New Roman" w:cs="Times New Roman"/>
      <w:sz w:val="24"/>
      <w:szCs w:val="24"/>
      <w:lang w:val="en-US" w:eastAsia="ar-SA" w:bidi="ar-SA"/>
    </w:rPr>
  </w:style>
  <w:style w:type="paragraph" w:styleId="2">
    <w:name w:val="heading 1"/>
    <w:basedOn w:val="1"/>
    <w:next w:val="1"/>
    <w:link w:val="26"/>
    <w:qFormat/>
    <w:uiPriority w:val="0"/>
    <w:pPr>
      <w:keepNext/>
      <w:bidi w:val="0"/>
      <w:spacing w:after="60"/>
      <w:outlineLvl w:val="0"/>
    </w:pPr>
    <w:rPr>
      <w:rFonts w:ascii="Arial" w:hAnsi="Arial" w:cs="Simplified Arabic"/>
      <w:b/>
      <w:bCs/>
      <w:snapToGrid w:val="0"/>
      <w:kern w:val="28"/>
      <w:sz w:val="32"/>
      <w:szCs w:val="33"/>
      <w:lang w:val="en-GB" w:eastAsia="en-US" w:bidi="ar-JO"/>
    </w:rPr>
  </w:style>
  <w:style w:type="paragraph" w:styleId="3">
    <w:name w:val="heading 2"/>
    <w:basedOn w:val="1"/>
    <w:next w:val="1"/>
    <w:link w:val="27"/>
    <w:qFormat/>
    <w:uiPriority w:val="0"/>
    <w:pPr>
      <w:keepNext/>
      <w:bidi w:val="0"/>
      <w:spacing w:after="60"/>
      <w:outlineLvl w:val="1"/>
    </w:pPr>
    <w:rPr>
      <w:rFonts w:ascii="Arial" w:hAnsi="Arial" w:cs="Simplified Arabic"/>
      <w:b/>
      <w:bCs/>
      <w:i/>
      <w:iCs/>
      <w:sz w:val="28"/>
      <w:szCs w:val="28"/>
      <w:lang w:val="en-GB" w:eastAsia="en-US" w:bidi="ar-JO"/>
    </w:rPr>
  </w:style>
  <w:style w:type="paragraph" w:styleId="4">
    <w:name w:val="heading 3"/>
    <w:basedOn w:val="1"/>
    <w:next w:val="1"/>
    <w:link w:val="28"/>
    <w:qFormat/>
    <w:uiPriority w:val="0"/>
    <w:pPr>
      <w:keepNext/>
      <w:overflowPunct w:val="0"/>
      <w:autoSpaceDE w:val="0"/>
      <w:autoSpaceDN w:val="0"/>
      <w:adjustRightInd w:val="0"/>
      <w:textAlignment w:val="baseline"/>
      <w:outlineLvl w:val="2"/>
    </w:pPr>
    <w:rPr>
      <w:rFonts w:cs="Traditional Arabic"/>
      <w:b/>
      <w:bCs/>
      <w:sz w:val="28"/>
      <w:szCs w:val="33"/>
      <w:u w:val="single"/>
      <w:lang w:val="en-GB" w:eastAsia="en-US" w:bidi="ar-JO"/>
    </w:rPr>
  </w:style>
  <w:style w:type="paragraph" w:styleId="5">
    <w:name w:val="heading 6"/>
    <w:basedOn w:val="1"/>
    <w:next w:val="1"/>
    <w:link w:val="29"/>
    <w:qFormat/>
    <w:uiPriority w:val="0"/>
    <w:pPr>
      <w:keepNext/>
      <w:spacing w:after="240"/>
      <w:ind w:left="288"/>
      <w:jc w:val="center"/>
      <w:outlineLvl w:val="5"/>
    </w:pPr>
    <w:rPr>
      <w:rFonts w:cs="Simplified Arabic"/>
      <w:b/>
      <w:bCs/>
      <w:szCs w:val="20"/>
      <w:lang w:eastAsia="en-US" w:bidi="ar-JO"/>
    </w:rPr>
  </w:style>
  <w:style w:type="paragraph" w:styleId="6">
    <w:name w:val="heading 7"/>
    <w:basedOn w:val="1"/>
    <w:next w:val="1"/>
    <w:link w:val="30"/>
    <w:qFormat/>
    <w:uiPriority w:val="0"/>
    <w:pPr>
      <w:keepNext/>
      <w:jc w:val="lowKashida"/>
      <w:outlineLvl w:val="6"/>
    </w:pPr>
    <w:rPr>
      <w:rFonts w:cs="Simplified Arabic"/>
      <w:b/>
      <w:bCs/>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8"/>
    <w:semiHidden/>
    <w:unhideWhenUsed/>
    <w:uiPriority w:val="99"/>
    <w:rPr>
      <w:rFonts w:ascii="Tahoma" w:hAnsi="Tahoma" w:cs="Tahoma"/>
      <w:sz w:val="16"/>
      <w:szCs w:val="16"/>
    </w:rPr>
  </w:style>
  <w:style w:type="paragraph" w:styleId="10">
    <w:name w:val="Block Text"/>
    <w:basedOn w:val="1"/>
    <w:semiHidden/>
    <w:uiPriority w:val="0"/>
    <w:pPr>
      <w:tabs>
        <w:tab w:val="left" w:pos="4395"/>
      </w:tabs>
      <w:bidi w:val="0"/>
      <w:ind w:left="-90" w:right="27"/>
      <w:jc w:val="lowKashida"/>
    </w:pPr>
    <w:rPr>
      <w:b/>
      <w:bCs/>
      <w:lang w:eastAsia="en-US"/>
    </w:rPr>
  </w:style>
  <w:style w:type="paragraph" w:styleId="11">
    <w:name w:val="Body Text"/>
    <w:basedOn w:val="1"/>
    <w:link w:val="31"/>
    <w:uiPriority w:val="0"/>
    <w:pPr>
      <w:jc w:val="lowKashida"/>
    </w:pPr>
    <w:rPr>
      <w:rFonts w:cs="Simplified Arabic"/>
      <w:szCs w:val="23"/>
    </w:rPr>
  </w:style>
  <w:style w:type="paragraph" w:styleId="12">
    <w:name w:val="Body Text 2"/>
    <w:basedOn w:val="1"/>
    <w:link w:val="33"/>
    <w:uiPriority w:val="0"/>
    <w:pPr>
      <w:jc w:val="center"/>
    </w:pPr>
    <w:rPr>
      <w:rFonts w:cs="Simplified Arabic"/>
      <w:b/>
      <w:bCs/>
      <w:sz w:val="44"/>
      <w:szCs w:val="44"/>
    </w:rPr>
  </w:style>
  <w:style w:type="paragraph" w:styleId="13">
    <w:name w:val="Body Text 3"/>
    <w:basedOn w:val="1"/>
    <w:link w:val="35"/>
    <w:uiPriority w:val="0"/>
    <w:pPr>
      <w:bidi w:val="0"/>
      <w:jc w:val="lowKashida"/>
    </w:pPr>
    <w:rPr>
      <w:rFonts w:ascii="Verdana" w:hAnsi="Verdana" w:cs="Traditional Arabic"/>
      <w:sz w:val="18"/>
      <w:szCs w:val="21"/>
    </w:rPr>
  </w:style>
  <w:style w:type="paragraph" w:styleId="14">
    <w:name w:val="Body Text Indent 2"/>
    <w:basedOn w:val="1"/>
    <w:link w:val="39"/>
    <w:unhideWhenUsed/>
    <w:uiPriority w:val="99"/>
    <w:pPr>
      <w:spacing w:after="120" w:line="480" w:lineRule="auto"/>
      <w:ind w:left="283"/>
    </w:pPr>
  </w:style>
  <w:style w:type="character" w:styleId="15">
    <w:name w:val="Emphasis"/>
    <w:basedOn w:val="7"/>
    <w:qFormat/>
    <w:uiPriority w:val="20"/>
    <w:rPr>
      <w:i/>
      <w:iCs/>
    </w:rPr>
  </w:style>
  <w:style w:type="character" w:styleId="16">
    <w:name w:val="endnote reference"/>
    <w:basedOn w:val="7"/>
    <w:semiHidden/>
    <w:unhideWhenUsed/>
    <w:uiPriority w:val="99"/>
    <w:rPr>
      <w:vertAlign w:val="superscript"/>
    </w:rPr>
  </w:style>
  <w:style w:type="paragraph" w:styleId="17">
    <w:name w:val="endnote text"/>
    <w:basedOn w:val="1"/>
    <w:link w:val="41"/>
    <w:semiHidden/>
    <w:unhideWhenUsed/>
    <w:uiPriority w:val="99"/>
    <w:rPr>
      <w:sz w:val="20"/>
      <w:szCs w:val="20"/>
    </w:rPr>
  </w:style>
  <w:style w:type="paragraph" w:styleId="18">
    <w:name w:val="footer"/>
    <w:basedOn w:val="1"/>
    <w:link w:val="34"/>
    <w:uiPriority w:val="99"/>
    <w:pPr>
      <w:tabs>
        <w:tab w:val="center" w:pos="4153"/>
        <w:tab w:val="right" w:pos="8306"/>
      </w:tabs>
    </w:pPr>
    <w:rPr>
      <w:rFonts w:cs="Traditional Arabic"/>
      <w:sz w:val="20"/>
      <w:szCs w:val="20"/>
      <w:lang w:eastAsia="en-US"/>
    </w:rPr>
  </w:style>
  <w:style w:type="character" w:styleId="19">
    <w:name w:val="footnote reference"/>
    <w:basedOn w:val="7"/>
    <w:semiHidden/>
    <w:uiPriority w:val="0"/>
    <w:rPr>
      <w:vertAlign w:val="superscript"/>
    </w:rPr>
  </w:style>
  <w:style w:type="paragraph" w:styleId="20">
    <w:name w:val="footnote text"/>
    <w:basedOn w:val="1"/>
    <w:link w:val="36"/>
    <w:semiHidden/>
    <w:uiPriority w:val="0"/>
    <w:pPr>
      <w:bidi w:val="0"/>
    </w:pPr>
    <w:rPr>
      <w:rFonts w:cs="Traditional Arabic"/>
      <w:sz w:val="20"/>
    </w:rPr>
  </w:style>
  <w:style w:type="paragraph" w:styleId="21">
    <w:name w:val="header"/>
    <w:basedOn w:val="1"/>
    <w:link w:val="40"/>
    <w:unhideWhenUsed/>
    <w:uiPriority w:val="99"/>
    <w:pPr>
      <w:tabs>
        <w:tab w:val="center" w:pos="4153"/>
        <w:tab w:val="right" w:pos="8306"/>
      </w:tabs>
    </w:pPr>
  </w:style>
  <w:style w:type="paragraph" w:styleId="22">
    <w:name w:val="HTML Preformatted"/>
    <w:basedOn w:val="1"/>
    <w:link w:val="43"/>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styleId="23">
    <w:name w:val="page number"/>
    <w:basedOn w:val="7"/>
    <w:uiPriority w:val="0"/>
  </w:style>
  <w:style w:type="table" w:styleId="24">
    <w:name w:val="Table Grid"/>
    <w:basedOn w:val="8"/>
    <w:uiPriority w:val="59"/>
    <w:pPr>
      <w:spacing w:after="0" w:line="240" w:lineRule="auto"/>
    </w:pPr>
    <w:rPr>
      <w:rFonts w:ascii="Times New Roman" w:hAnsi="Times New Roman" w:eastAsia="Times New Roman" w:cs="Traditional Arabic"/>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5">
    <w:name w:val="Title"/>
    <w:basedOn w:val="1"/>
    <w:next w:val="1"/>
    <w:link w:val="32"/>
    <w:qFormat/>
    <w:uiPriority w:val="0"/>
    <w:pPr>
      <w:bidi w:val="0"/>
      <w:spacing w:after="60"/>
      <w:jc w:val="center"/>
      <w:outlineLvl w:val="0"/>
    </w:pPr>
    <w:rPr>
      <w:rFonts w:ascii="Arial" w:cs="Simplified Arabic"/>
      <w:b/>
      <w:bCs/>
      <w:kern w:val="28"/>
      <w:sz w:val="32"/>
      <w:szCs w:val="38"/>
      <w:lang w:val="en-GB" w:eastAsia="en-US" w:bidi="ar-JO"/>
    </w:rPr>
  </w:style>
  <w:style w:type="character" w:customStyle="1" w:styleId="26">
    <w:name w:val="Heading 1 Char"/>
    <w:basedOn w:val="7"/>
    <w:link w:val="2"/>
    <w:uiPriority w:val="0"/>
    <w:rPr>
      <w:rFonts w:ascii="Arial" w:hAnsi="Arial" w:eastAsia="Times New Roman" w:cs="Simplified Arabic"/>
      <w:b/>
      <w:bCs/>
      <w:snapToGrid w:val="0"/>
      <w:kern w:val="28"/>
      <w:sz w:val="32"/>
      <w:szCs w:val="33"/>
      <w:lang w:val="en-GB" w:bidi="ar-JO"/>
    </w:rPr>
  </w:style>
  <w:style w:type="character" w:customStyle="1" w:styleId="27">
    <w:name w:val="Heading 2 Char"/>
    <w:basedOn w:val="7"/>
    <w:link w:val="3"/>
    <w:uiPriority w:val="0"/>
    <w:rPr>
      <w:rFonts w:ascii="Arial" w:hAnsi="Arial" w:eastAsia="Times New Roman" w:cs="Simplified Arabic"/>
      <w:b/>
      <w:bCs/>
      <w:i/>
      <w:iCs/>
      <w:sz w:val="28"/>
      <w:szCs w:val="28"/>
      <w:lang w:val="en-GB" w:bidi="ar-JO"/>
    </w:rPr>
  </w:style>
  <w:style w:type="character" w:customStyle="1" w:styleId="28">
    <w:name w:val="Heading 3 Char"/>
    <w:basedOn w:val="7"/>
    <w:link w:val="4"/>
    <w:uiPriority w:val="0"/>
    <w:rPr>
      <w:rFonts w:ascii="Times New Roman" w:hAnsi="Times New Roman" w:eastAsia="Times New Roman" w:cs="Traditional Arabic"/>
      <w:b/>
      <w:bCs/>
      <w:sz w:val="28"/>
      <w:szCs w:val="33"/>
      <w:u w:val="single"/>
      <w:lang w:val="en-GB" w:bidi="ar-JO"/>
    </w:rPr>
  </w:style>
  <w:style w:type="character" w:customStyle="1" w:styleId="29">
    <w:name w:val="Heading 6 Char"/>
    <w:basedOn w:val="7"/>
    <w:link w:val="5"/>
    <w:uiPriority w:val="0"/>
    <w:rPr>
      <w:rFonts w:ascii="Times New Roman" w:hAnsi="Times New Roman" w:eastAsia="Times New Roman" w:cs="Simplified Arabic"/>
      <w:b/>
      <w:bCs/>
      <w:sz w:val="24"/>
      <w:szCs w:val="20"/>
      <w:lang w:bidi="ar-JO"/>
    </w:rPr>
  </w:style>
  <w:style w:type="character" w:customStyle="1" w:styleId="30">
    <w:name w:val="Heading 7 Char"/>
    <w:basedOn w:val="7"/>
    <w:link w:val="6"/>
    <w:uiPriority w:val="0"/>
    <w:rPr>
      <w:rFonts w:ascii="Times New Roman" w:hAnsi="Times New Roman" w:eastAsia="Times New Roman" w:cs="Simplified Arabic"/>
      <w:b/>
      <w:bCs/>
      <w:sz w:val="24"/>
      <w:szCs w:val="24"/>
      <w:lang w:eastAsia="ar-SA"/>
    </w:rPr>
  </w:style>
  <w:style w:type="character" w:customStyle="1" w:styleId="31">
    <w:name w:val="Body Text Char"/>
    <w:basedOn w:val="7"/>
    <w:link w:val="11"/>
    <w:uiPriority w:val="0"/>
    <w:rPr>
      <w:rFonts w:ascii="Times New Roman" w:hAnsi="Times New Roman" w:eastAsia="Times New Roman" w:cs="Simplified Arabic"/>
      <w:sz w:val="24"/>
      <w:szCs w:val="23"/>
      <w:lang w:eastAsia="ar-SA"/>
    </w:rPr>
  </w:style>
  <w:style w:type="character" w:customStyle="1" w:styleId="32">
    <w:name w:val="Title Char"/>
    <w:basedOn w:val="7"/>
    <w:link w:val="25"/>
    <w:uiPriority w:val="0"/>
    <w:rPr>
      <w:rFonts w:ascii="Arial" w:hAnsi="Times New Roman" w:eastAsia="Times New Roman" w:cs="Simplified Arabic"/>
      <w:b/>
      <w:bCs/>
      <w:kern w:val="28"/>
      <w:sz w:val="32"/>
      <w:szCs w:val="38"/>
      <w:lang w:val="en-GB" w:bidi="ar-JO"/>
    </w:rPr>
  </w:style>
  <w:style w:type="character" w:customStyle="1" w:styleId="33">
    <w:name w:val="Body Text 2 Char"/>
    <w:basedOn w:val="7"/>
    <w:link w:val="12"/>
    <w:uiPriority w:val="0"/>
    <w:rPr>
      <w:rFonts w:ascii="Times New Roman" w:hAnsi="Times New Roman" w:eastAsia="Times New Roman" w:cs="Simplified Arabic"/>
      <w:b/>
      <w:bCs/>
      <w:sz w:val="44"/>
      <w:szCs w:val="44"/>
      <w:lang w:eastAsia="ar-SA"/>
    </w:rPr>
  </w:style>
  <w:style w:type="character" w:customStyle="1" w:styleId="34">
    <w:name w:val="Footer Char"/>
    <w:basedOn w:val="7"/>
    <w:link w:val="18"/>
    <w:uiPriority w:val="99"/>
    <w:rPr>
      <w:rFonts w:ascii="Times New Roman" w:hAnsi="Times New Roman" w:eastAsia="Times New Roman" w:cs="Traditional Arabic"/>
      <w:sz w:val="20"/>
      <w:szCs w:val="20"/>
    </w:rPr>
  </w:style>
  <w:style w:type="character" w:customStyle="1" w:styleId="35">
    <w:name w:val="Body Text 3 Char"/>
    <w:basedOn w:val="7"/>
    <w:link w:val="13"/>
    <w:uiPriority w:val="0"/>
    <w:rPr>
      <w:rFonts w:ascii="Verdana" w:hAnsi="Verdana" w:eastAsia="Times New Roman" w:cs="Traditional Arabic"/>
      <w:sz w:val="18"/>
      <w:szCs w:val="21"/>
      <w:lang w:eastAsia="ar-SA"/>
    </w:rPr>
  </w:style>
  <w:style w:type="character" w:customStyle="1" w:styleId="36">
    <w:name w:val="Footnote Text Char"/>
    <w:basedOn w:val="7"/>
    <w:link w:val="20"/>
    <w:semiHidden/>
    <w:uiPriority w:val="0"/>
    <w:rPr>
      <w:rFonts w:ascii="Times New Roman" w:hAnsi="Times New Roman" w:eastAsia="Times New Roman" w:cs="Traditional Arabic"/>
      <w:sz w:val="20"/>
      <w:szCs w:val="24"/>
      <w:lang w:eastAsia="ar-SA"/>
    </w:rPr>
  </w:style>
  <w:style w:type="paragraph" w:styleId="37">
    <w:name w:val="List Paragraph"/>
    <w:basedOn w:val="1"/>
    <w:qFormat/>
    <w:uiPriority w:val="34"/>
    <w:pPr>
      <w:ind w:left="720"/>
    </w:pPr>
  </w:style>
  <w:style w:type="character" w:customStyle="1" w:styleId="38">
    <w:name w:val="Balloon Text Char"/>
    <w:basedOn w:val="7"/>
    <w:link w:val="9"/>
    <w:semiHidden/>
    <w:uiPriority w:val="99"/>
    <w:rPr>
      <w:rFonts w:ascii="Tahoma" w:hAnsi="Tahoma" w:eastAsia="Times New Roman" w:cs="Tahoma"/>
      <w:sz w:val="16"/>
      <w:szCs w:val="16"/>
      <w:lang w:eastAsia="ar-SA"/>
    </w:rPr>
  </w:style>
  <w:style w:type="character" w:customStyle="1" w:styleId="39">
    <w:name w:val="Body Text Indent 2 Char"/>
    <w:basedOn w:val="7"/>
    <w:link w:val="14"/>
    <w:uiPriority w:val="99"/>
    <w:rPr>
      <w:rFonts w:ascii="Times New Roman" w:hAnsi="Times New Roman" w:eastAsia="Times New Roman" w:cs="Times New Roman"/>
      <w:sz w:val="24"/>
      <w:szCs w:val="24"/>
      <w:lang w:eastAsia="ar-SA"/>
    </w:rPr>
  </w:style>
  <w:style w:type="character" w:customStyle="1" w:styleId="40">
    <w:name w:val="Header Char"/>
    <w:basedOn w:val="7"/>
    <w:link w:val="21"/>
    <w:uiPriority w:val="99"/>
    <w:rPr>
      <w:rFonts w:ascii="Times New Roman" w:hAnsi="Times New Roman" w:eastAsia="Times New Roman" w:cs="Times New Roman"/>
      <w:sz w:val="24"/>
      <w:szCs w:val="24"/>
      <w:lang w:eastAsia="ar-SA"/>
    </w:rPr>
  </w:style>
  <w:style w:type="character" w:customStyle="1" w:styleId="41">
    <w:name w:val="Endnote Text Char"/>
    <w:basedOn w:val="7"/>
    <w:link w:val="17"/>
    <w:semiHidden/>
    <w:uiPriority w:val="99"/>
    <w:rPr>
      <w:rFonts w:ascii="Times New Roman" w:hAnsi="Times New Roman" w:eastAsia="Times New Roman" w:cs="Times New Roman"/>
      <w:sz w:val="20"/>
      <w:szCs w:val="20"/>
      <w:lang w:eastAsia="ar-SA"/>
    </w:rPr>
  </w:style>
  <w:style w:type="character" w:customStyle="1" w:styleId="42">
    <w:name w:val="jlqj4b"/>
    <w:basedOn w:val="7"/>
    <w:uiPriority w:val="0"/>
  </w:style>
  <w:style w:type="character" w:customStyle="1" w:styleId="43">
    <w:name w:val="HTML Preformatted Char"/>
    <w:basedOn w:val="7"/>
    <w:link w:val="22"/>
    <w:semiHidden/>
    <w:uiPriority w:val="99"/>
    <w:rPr>
      <w:rFonts w:ascii="Courier New" w:hAnsi="Courier New" w:eastAsia="Times New Roman" w:cs="Courier New"/>
      <w:sz w:val="20"/>
      <w:szCs w:val="20"/>
    </w:rPr>
  </w:style>
  <w:style w:type="character" w:customStyle="1" w:styleId="44">
    <w:name w:val="y2iqfc"/>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222072582376"/>
          <c:y val="0.0412784683294867"/>
          <c:w val="0.809874923459361"/>
          <c:h val="0.679555284462682"/>
        </c:manualLayout>
      </c:layout>
      <c:lineChart>
        <c:grouping val="stacked"/>
        <c:varyColors val="0"/>
        <c:ser>
          <c:idx val="1"/>
          <c:order val="0"/>
          <c:tx>
            <c:strRef>
              <c:f>Sheet1!$C$2</c:f>
              <c:strCache>
                <c:ptCount val="1"/>
                <c:pt idx="0">
                  <c:v>Column2</c:v>
                </c:pt>
              </c:strCache>
            </c:strRef>
          </c:tx>
          <c:dLbls>
            <c:dLbl>
              <c:idx val="0"/>
              <c:layout>
                <c:manualLayout>
                  <c:x val="-0.0345719090263354"/>
                  <c:y val="-0.08771929824561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0138287636105341"/>
                  <c:y val="-0.1052631578947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Sheet1!$A$3:$B$15</c:f>
              <c:multiLvlStrCache>
                <c:ptCount val="13"/>
                <c:lvl>
                  <c:pt idx="0">
                    <c:v>Q1</c:v>
                  </c:pt>
                  <c:pt idx="1">
                    <c:v>Q2</c:v>
                  </c:pt>
                  <c:pt idx="2">
                    <c:v>Q3</c:v>
                  </c:pt>
                  <c:pt idx="3">
                    <c:v>Q4</c:v>
                  </c:pt>
                  <c:pt idx="4">
                    <c:v>Q1</c:v>
                  </c:pt>
                  <c:pt idx="5">
                    <c:v>Q2</c:v>
                  </c:pt>
                  <c:pt idx="6">
                    <c:v>Q3</c:v>
                  </c:pt>
                  <c:pt idx="7">
                    <c:v>Q4</c:v>
                  </c:pt>
                  <c:pt idx="8">
                    <c:v>Q1</c:v>
                  </c:pt>
                  <c:pt idx="9">
                    <c:v>Q2</c:v>
                  </c:pt>
                  <c:pt idx="10">
                    <c:v>Q3</c:v>
                  </c:pt>
                  <c:pt idx="11">
                    <c:v>Q4</c:v>
                  </c:pt>
                  <c:pt idx="12">
                    <c:v>Q1</c:v>
                  </c:pt>
                </c:lvl>
                <c:lvl>
                  <c:pt idx="0">
                    <c:v>2021</c:v>
                  </c:pt>
                  <c:pt idx="4">
                    <c:v>2022</c:v>
                  </c:pt>
                  <c:pt idx="8">
                    <c:v>2023</c:v>
                  </c:pt>
                  <c:pt idx="12">
                    <c:v>2024</c:v>
                  </c:pt>
                </c:lvl>
              </c:multiLvlStrCache>
            </c:multiLvlStrRef>
          </c:cat>
          <c:val>
            <c:numRef>
              <c:f>Sheet1!$C$3:$C$15</c:f>
              <c:numCache>
                <c:formatCode>#,##0</c:formatCode>
                <c:ptCount val="13"/>
                <c:pt idx="0">
                  <c:v>3611.4</c:v>
                </c:pt>
                <c:pt idx="1">
                  <c:v>3735.8</c:v>
                </c:pt>
                <c:pt idx="2">
                  <c:v>3739.2</c:v>
                </c:pt>
                <c:pt idx="3">
                  <c:v>3935.3</c:v>
                </c:pt>
                <c:pt idx="4">
                  <c:v>3823.2</c:v>
                </c:pt>
                <c:pt idx="5">
                  <c:v>3867.6</c:v>
                </c:pt>
                <c:pt idx="6">
                  <c:v>3916</c:v>
                </c:pt>
                <c:pt idx="7">
                  <c:v>4028.2</c:v>
                </c:pt>
                <c:pt idx="8">
                  <c:v>3941.3</c:v>
                </c:pt>
                <c:pt idx="9">
                  <c:v>3974.3</c:v>
                </c:pt>
                <c:pt idx="10">
                  <c:v>4017.7</c:v>
                </c:pt>
                <c:pt idx="11">
                  <c:v>2855.68754631759</c:v>
                </c:pt>
                <c:pt idx="12">
                  <c:v>2565.8</c:v>
                </c:pt>
              </c:numCache>
            </c:numRef>
          </c:val>
          <c:smooth val="0"/>
        </c:ser>
        <c:dLbls>
          <c:showLegendKey val="0"/>
          <c:showVal val="0"/>
          <c:showCatName val="0"/>
          <c:showSerName val="0"/>
          <c:showPercent val="0"/>
          <c:showBubbleSize val="0"/>
        </c:dLbls>
        <c:marker val="1"/>
        <c:smooth val="0"/>
        <c:axId val="113996928"/>
        <c:axId val="113998464"/>
      </c:lineChart>
      <c:catAx>
        <c:axId val="113996928"/>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ar-SA" sz="900" b="0" i="0" u="none" strike="noStrike" kern="1200" baseline="0">
                <a:solidFill>
                  <a:schemeClr val="tx1"/>
                </a:solidFill>
                <a:latin typeface="Arial" panose="020B0604020202020204" pitchFamily="2" charset="0"/>
                <a:ea typeface="+mn-ea"/>
                <a:cs typeface="Arial" panose="020B0604020202020204" pitchFamily="2" charset="0"/>
              </a:defRPr>
            </a:pPr>
          </a:p>
        </c:txPr>
        <c:crossAx val="113998464"/>
        <c:crosses val="autoZero"/>
        <c:auto val="1"/>
        <c:lblAlgn val="ctr"/>
        <c:lblOffset val="100"/>
        <c:noMultiLvlLbl val="0"/>
      </c:catAx>
      <c:valAx>
        <c:axId val="113998464"/>
        <c:scaling>
          <c:orientation val="minMax"/>
          <c:max val="7000"/>
          <c:min val="0"/>
        </c:scaling>
        <c:delete val="0"/>
        <c:axPos val="l"/>
        <c:title>
          <c:tx>
            <c:rich>
              <a:bodyPr rot="-5400000" spcFirstLastPara="0" vertOverflow="ellipsis" vert="horz" wrap="square" anchor="ctr" anchorCtr="1"/>
              <a:lstStyle/>
              <a:p>
                <a:pPr>
                  <a:defRPr lang="ar-SA" sz="900" b="1" i="0" u="none" strike="noStrike" kern="1200" baseline="0">
                    <a:solidFill>
                      <a:schemeClr val="tx1"/>
                    </a:solidFill>
                    <a:latin typeface="Arial" panose="020B0604020202020204" pitchFamily="2" charset="0"/>
                    <a:ea typeface="+mn-ea"/>
                    <a:cs typeface="Arial" panose="020B0604020202020204" pitchFamily="2" charset="0"/>
                  </a:defRPr>
                </a:pPr>
                <a:r>
                  <a:rPr lang="en-US" sz="900" baseline="0">
                    <a:latin typeface="Arial" panose="020B0604020202020204" pitchFamily="2" charset="0"/>
                    <a:cs typeface="Arial" panose="020B0604020202020204" pitchFamily="2" charset="0"/>
                  </a:rPr>
                  <a:t>Million USD</a:t>
                </a:r>
                <a:endParaRPr lang="en-US" sz="900">
                  <a:latin typeface="Arial" panose="020B0604020202020204" pitchFamily="2" charset="0"/>
                  <a:cs typeface="Arial" panose="020B0604020202020204" pitchFamily="2" charset="0"/>
                </a:endParaRPr>
              </a:p>
            </c:rich>
          </c:tx>
          <c:layout/>
          <c:overlay val="0"/>
        </c:title>
        <c:numFmt formatCode="#,##0" sourceLinked="0"/>
        <c:majorTickMark val="out"/>
        <c:minorTickMark val="none"/>
        <c:tickLblPos val="nextTo"/>
        <c:txPr>
          <a:bodyPr rot="-60000000" spcFirstLastPara="0" vertOverflow="ellipsis" vert="horz" wrap="square" anchor="ctr" anchorCtr="1"/>
          <a:lstStyle/>
          <a:p>
            <a:pPr>
              <a:defRPr lang="ar-SA" sz="1000" b="0" i="0" u="none" strike="noStrike" kern="1200" baseline="0">
                <a:solidFill>
                  <a:schemeClr val="tx1"/>
                </a:solidFill>
                <a:latin typeface="+mn-lt"/>
                <a:ea typeface="+mn-ea"/>
                <a:cs typeface="+mn-cs"/>
              </a:defRPr>
            </a:pPr>
          </a:p>
        </c:txPr>
        <c:crossAx val="113996928"/>
        <c:crossesAt val="1"/>
        <c:crossBetween val="between"/>
        <c:majorUnit val="1000"/>
      </c:valAx>
    </c:plotArea>
    <c:plotVisOnly val="1"/>
    <c:dispBlanksAs val="zero"/>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4CE24-520D-49DF-AF34-0C504CF6BBB1}">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248</Words>
  <Characters>1416</Characters>
  <Lines>11</Lines>
  <Paragraphs>3</Paragraphs>
  <TotalTime>3</TotalTime>
  <ScaleCrop>false</ScaleCrop>
  <LinksUpToDate>false</LinksUpToDate>
  <CharactersWithSpaces>1661</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2024-03-27T09:59:00Z</dcterms:created>
  <dc:creator>aomar</dc:creator>
  <cp:lastModifiedBy>pcbs</cp:lastModifiedBy>
  <cp:lastPrinted>2023-03-28T11:43:00Z</cp:lastPrinted>
  <dcterms:modified xsi:type="dcterms:W3CDTF">2024-06-25T09:41:36Z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4a994338458359b54aeed5c76c31df96a1636a9c2a1747ec81ad0d5bd64ec209</vt:lpwstr>
  </property>
  <property fmtid="{D5CDD505-2E9C-101B-9397-08002B2CF9AE}" pid="3" name="KSOProductBuildVer">
    <vt:lpwstr>1033-12.2.0.17119</vt:lpwstr>
  </property>
  <property fmtid="{D5CDD505-2E9C-101B-9397-08002B2CF9AE}" pid="4" name="ICV">
    <vt:lpwstr>846CEE8CFA39486595CDE4324A157CEB_13</vt:lpwstr>
  </property>
</Properties>
</file>