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42" w:rsidRPr="008A4B42" w:rsidRDefault="008A4B42" w:rsidP="008A4B42">
      <w:pPr>
        <w:keepNext/>
        <w:bidi w:val="0"/>
        <w:jc w:val="center"/>
        <w:outlineLvl w:val="2"/>
        <w:rPr>
          <w:b/>
          <w:bCs/>
          <w:sz w:val="32"/>
          <w:szCs w:val="32"/>
          <w:lang w:eastAsia="en-US"/>
        </w:rPr>
      </w:pPr>
      <w:r w:rsidRPr="008A4B42">
        <w:rPr>
          <w:b/>
          <w:bCs/>
          <w:sz w:val="32"/>
          <w:szCs w:val="32"/>
          <w:lang w:eastAsia="en-US"/>
        </w:rPr>
        <w:t>Palestinian Central Bureau of Statistics (PCBS)</w:t>
      </w:r>
    </w:p>
    <w:p w:rsidR="008A4B42" w:rsidRPr="008A4B42" w:rsidRDefault="008A4B42" w:rsidP="008A4B42">
      <w:pPr>
        <w:keepNext/>
        <w:bidi w:val="0"/>
        <w:jc w:val="center"/>
        <w:outlineLvl w:val="2"/>
        <w:rPr>
          <w:b/>
          <w:bCs/>
          <w:sz w:val="16"/>
          <w:szCs w:val="16"/>
          <w:lang w:eastAsia="en-US"/>
        </w:rPr>
      </w:pPr>
    </w:p>
    <w:p w:rsidR="008A4B42" w:rsidRDefault="008A4B42" w:rsidP="008A4B42">
      <w:pPr>
        <w:bidi w:val="0"/>
        <w:jc w:val="center"/>
        <w:rPr>
          <w:b/>
          <w:bCs/>
          <w:color w:val="000000" w:themeColor="text1"/>
          <w:sz w:val="30"/>
          <w:szCs w:val="30"/>
          <w:rtl/>
        </w:rPr>
      </w:pPr>
      <w:r w:rsidRPr="008A4B42">
        <w:rPr>
          <w:b/>
          <w:bCs/>
          <w:color w:val="000000" w:themeColor="text1"/>
          <w:sz w:val="30"/>
          <w:szCs w:val="30"/>
        </w:rPr>
        <w:t xml:space="preserve">The Preliminary Estimates of Quarterly National Accounts, </w:t>
      </w:r>
    </w:p>
    <w:p w:rsidR="008A4B42" w:rsidRPr="008A4B42" w:rsidRDefault="008A4B42" w:rsidP="008A4B42">
      <w:pPr>
        <w:bidi w:val="0"/>
        <w:jc w:val="center"/>
        <w:rPr>
          <w:b/>
          <w:bCs/>
          <w:color w:val="000000" w:themeColor="text1"/>
          <w:sz w:val="30"/>
          <w:szCs w:val="30"/>
        </w:rPr>
      </w:pPr>
      <w:r w:rsidRPr="008A4B42">
        <w:rPr>
          <w:rFonts w:asciiTheme="majorBidi" w:hAnsiTheme="majorBidi" w:cstheme="majorBidi"/>
          <w:b/>
          <w:bCs/>
          <w:sz w:val="30"/>
          <w:szCs w:val="30"/>
        </w:rPr>
        <w:t>Third</w:t>
      </w:r>
      <w:r w:rsidRPr="008A4B42">
        <w:rPr>
          <w:rFonts w:asciiTheme="majorBidi" w:hAnsiTheme="majorBidi" w:cstheme="majorBidi"/>
          <w:b/>
          <w:bCs/>
          <w:sz w:val="30"/>
          <w:szCs w:val="30"/>
        </w:rPr>
        <w:t xml:space="preserve"> </w:t>
      </w:r>
      <w:r w:rsidRPr="008A4B42">
        <w:rPr>
          <w:b/>
          <w:bCs/>
          <w:color w:val="000000" w:themeColor="text1"/>
          <w:sz w:val="30"/>
          <w:szCs w:val="30"/>
        </w:rPr>
        <w:t>Quarter, 2025</w:t>
      </w:r>
    </w:p>
    <w:p w:rsidR="008A4B42" w:rsidRPr="008A4B42" w:rsidRDefault="008A4B42" w:rsidP="008A4B42">
      <w:pPr>
        <w:pStyle w:val="Heading7"/>
        <w:tabs>
          <w:tab w:val="left" w:pos="4075"/>
        </w:tabs>
        <w:bidi w:val="0"/>
        <w:ind w:right="-110"/>
        <w:jc w:val="center"/>
        <w:rPr>
          <w:sz w:val="16"/>
          <w:szCs w:val="16"/>
          <w:rtl/>
        </w:rPr>
      </w:pPr>
    </w:p>
    <w:p w:rsidR="008A4B42" w:rsidRPr="00844149" w:rsidRDefault="008A4B42" w:rsidP="008A4B42">
      <w:pPr>
        <w:pStyle w:val="Heading7"/>
        <w:bidi w:val="0"/>
        <w:ind w:right="-110"/>
        <w:jc w:val="center"/>
        <w:rPr>
          <w:sz w:val="28"/>
          <w:szCs w:val="28"/>
          <w:vertAlign w:val="superscript"/>
        </w:rPr>
      </w:pPr>
      <w:r w:rsidRPr="00844149">
        <w:rPr>
          <w:sz w:val="28"/>
          <w:szCs w:val="28"/>
        </w:rPr>
        <w:t>Main Results</w:t>
      </w:r>
      <w:r w:rsidRPr="00844149">
        <w:rPr>
          <w:rStyle w:val="FootnoteReference"/>
          <w:sz w:val="28"/>
          <w:szCs w:val="28"/>
        </w:rPr>
        <w:footnoteReference w:id="1"/>
      </w:r>
      <w:r w:rsidRPr="00844149">
        <w:rPr>
          <w:sz w:val="28"/>
          <w:szCs w:val="28"/>
          <w:vertAlign w:val="superscript"/>
        </w:rPr>
        <w:t xml:space="preserve"> </w:t>
      </w:r>
    </w:p>
    <w:p w:rsidR="008A4B42" w:rsidRPr="008A4B42" w:rsidRDefault="008A4B42" w:rsidP="008A4B42">
      <w:pPr>
        <w:pStyle w:val="Heading7"/>
        <w:bidi w:val="0"/>
        <w:ind w:right="-110"/>
        <w:jc w:val="center"/>
        <w:rPr>
          <w:sz w:val="16"/>
          <w:szCs w:val="16"/>
        </w:rPr>
      </w:pPr>
    </w:p>
    <w:p w:rsidR="008A4B42" w:rsidRPr="008A4B42" w:rsidRDefault="008A4B42" w:rsidP="008A4B42">
      <w:pPr>
        <w:bidi w:val="0"/>
        <w:jc w:val="center"/>
        <w:rPr>
          <w:rFonts w:asciiTheme="majorBidi" w:hAnsiTheme="majorBidi" w:cstheme="majorBidi"/>
          <w:b/>
          <w:bCs/>
          <w:sz w:val="28"/>
          <w:szCs w:val="28"/>
        </w:rPr>
      </w:pPr>
      <w:r w:rsidRPr="008A4B42">
        <w:rPr>
          <w:rFonts w:asciiTheme="majorBidi" w:hAnsiTheme="majorBidi" w:cstheme="majorBidi"/>
          <w:b/>
          <w:bCs/>
          <w:sz w:val="28"/>
          <w:szCs w:val="28"/>
        </w:rPr>
        <w:t>A sharp contraction in the Palestinian economy continued during the third quarter of 2025 compared to the parallel quarter of 2023, prior to the ongoing Israeli occupation aggression against Palestine.  During this period, the GDP in Palestine recorded a sharp decline of 26%, despite showing a slightly increase compared to the same quarter of 2024.</w:t>
      </w:r>
    </w:p>
    <w:p w:rsidR="008A4B42" w:rsidRPr="008A4B42" w:rsidRDefault="008A4B42" w:rsidP="008A4B42">
      <w:pPr>
        <w:bidi w:val="0"/>
        <w:jc w:val="center"/>
        <w:rPr>
          <w:rFonts w:asciiTheme="majorBidi" w:hAnsiTheme="majorBidi" w:cstheme="majorBidi"/>
          <w:b/>
          <w:bCs/>
          <w:sz w:val="16"/>
          <w:szCs w:val="16"/>
        </w:rPr>
      </w:pPr>
    </w:p>
    <w:p w:rsidR="008A4B42" w:rsidRPr="008A4B42" w:rsidRDefault="008A4B42" w:rsidP="008A4B42">
      <w:pPr>
        <w:bidi w:val="0"/>
        <w:jc w:val="both"/>
        <w:rPr>
          <w:sz w:val="26"/>
          <w:szCs w:val="26"/>
          <w:rtl/>
          <w:lang w:eastAsia="en-US"/>
        </w:rPr>
      </w:pPr>
      <w:r w:rsidRPr="008A4B42">
        <w:rPr>
          <w:sz w:val="26"/>
          <w:szCs w:val="26"/>
          <w:lang w:eastAsia="en-US"/>
        </w:rPr>
        <w:t>Primary estimates of GDP showed a sharp decline in the GDP of Palestine during the 3</w:t>
      </w:r>
      <w:r w:rsidRPr="008A4B42">
        <w:rPr>
          <w:sz w:val="26"/>
          <w:szCs w:val="26"/>
          <w:vertAlign w:val="superscript"/>
          <w:lang w:eastAsia="en-US"/>
        </w:rPr>
        <w:t>rd</w:t>
      </w:r>
      <w:r w:rsidRPr="008A4B42">
        <w:rPr>
          <w:sz w:val="26"/>
          <w:szCs w:val="26"/>
          <w:lang w:eastAsia="en-US"/>
        </w:rPr>
        <w:t xml:space="preserve"> quarter of 2025 compared to the 3</w:t>
      </w:r>
      <w:r w:rsidRPr="008A4B42">
        <w:rPr>
          <w:sz w:val="26"/>
          <w:szCs w:val="26"/>
          <w:vertAlign w:val="superscript"/>
          <w:lang w:eastAsia="en-US"/>
        </w:rPr>
        <w:t>rd</w:t>
      </w:r>
      <w:r w:rsidRPr="008A4B42">
        <w:rPr>
          <w:sz w:val="26"/>
          <w:szCs w:val="26"/>
          <w:lang w:eastAsia="en-US"/>
        </w:rPr>
        <w:t xml:space="preserve"> quarter of 2023, where most of economic activities recorded a sharp decline in value-added in Palestine, as construction activity declined by 27% (13% in the West Bank and 99% in Gaza Strip), agriculture, forestry and fishing activity declined by 16% (93% in Gaza Strip), wholesale and retail trade declined by 26% (16% in the West Bank and 90% in Gaza Strip).  On the other hand, some of economic activities witnessed an increase in Palestine during the 3</w:t>
      </w:r>
      <w:r w:rsidRPr="008A4B42">
        <w:rPr>
          <w:sz w:val="26"/>
          <w:szCs w:val="26"/>
          <w:vertAlign w:val="superscript"/>
          <w:lang w:eastAsia="en-US"/>
        </w:rPr>
        <w:t>rd</w:t>
      </w:r>
      <w:r w:rsidRPr="008A4B42">
        <w:rPr>
          <w:sz w:val="26"/>
          <w:szCs w:val="26"/>
          <w:lang w:eastAsia="en-US"/>
        </w:rPr>
        <w:t xml:space="preserve"> quarter of 2025 compared to the same quarter of 2024. Whereas the GDP for the 3</w:t>
      </w:r>
      <w:r w:rsidRPr="008A4B42">
        <w:rPr>
          <w:sz w:val="26"/>
          <w:szCs w:val="26"/>
          <w:vertAlign w:val="superscript"/>
          <w:lang w:eastAsia="en-US"/>
        </w:rPr>
        <w:t>rd</w:t>
      </w:r>
      <w:r w:rsidRPr="008A4B42">
        <w:rPr>
          <w:sz w:val="26"/>
          <w:szCs w:val="26"/>
          <w:lang w:eastAsia="en-US"/>
        </w:rPr>
        <w:t xml:space="preserve"> quarter of 2025 was USD 3,026 million in the West Bank and USD 75 million in Gaza Strip.</w:t>
      </w:r>
    </w:p>
    <w:p w:rsidR="008A4B42" w:rsidRPr="008A4B42" w:rsidRDefault="008A4B42" w:rsidP="008A4B42">
      <w:pPr>
        <w:bidi w:val="0"/>
        <w:jc w:val="both"/>
        <w:rPr>
          <w:sz w:val="16"/>
          <w:szCs w:val="16"/>
          <w:lang w:eastAsia="en-US"/>
        </w:rPr>
      </w:pPr>
    </w:p>
    <w:p w:rsidR="008A4B42" w:rsidRDefault="008A4B42" w:rsidP="008A4B42">
      <w:pPr>
        <w:bidi w:val="0"/>
        <w:jc w:val="both"/>
        <w:rPr>
          <w:b/>
          <w:bCs/>
          <w:snapToGrid w:val="0"/>
          <w:sz w:val="28"/>
          <w:szCs w:val="28"/>
          <w:rtl/>
        </w:rPr>
      </w:pPr>
      <w:r w:rsidRPr="008A4B42">
        <w:rPr>
          <w:b/>
          <w:bCs/>
          <w:snapToGrid w:val="0"/>
          <w:sz w:val="28"/>
          <w:szCs w:val="28"/>
        </w:rPr>
        <w:t xml:space="preserve">The sharp decline in GDP per Capita for Palestine continued in the third quarter of 2025 compared to the same quarter of 2023. </w:t>
      </w:r>
    </w:p>
    <w:p w:rsidR="008A4B42" w:rsidRPr="008A4B42" w:rsidRDefault="008A4B42" w:rsidP="008A4B42">
      <w:pPr>
        <w:bidi w:val="0"/>
        <w:jc w:val="both"/>
        <w:rPr>
          <w:b/>
          <w:bCs/>
          <w:snapToGrid w:val="0"/>
          <w:sz w:val="10"/>
          <w:szCs w:val="10"/>
        </w:rPr>
      </w:pPr>
      <w:r w:rsidRPr="008A4B42">
        <w:rPr>
          <w:b/>
          <w:bCs/>
          <w:snapToGrid w:val="0"/>
          <w:sz w:val="28"/>
          <w:szCs w:val="28"/>
        </w:rPr>
        <w:t xml:space="preserve"> </w:t>
      </w:r>
    </w:p>
    <w:p w:rsidR="008A4B42" w:rsidRPr="008A4B42" w:rsidRDefault="008A4B42" w:rsidP="008A4B42">
      <w:pPr>
        <w:bidi w:val="0"/>
        <w:jc w:val="both"/>
        <w:rPr>
          <w:snapToGrid w:val="0"/>
          <w:sz w:val="26"/>
          <w:szCs w:val="26"/>
        </w:rPr>
      </w:pPr>
      <w:r w:rsidRPr="008A4B42">
        <w:rPr>
          <w:snapToGrid w:val="0"/>
          <w:sz w:val="26"/>
          <w:szCs w:val="26"/>
        </w:rPr>
        <w:t>The GDP per Capita in Palestine, at constant prices, reached USD 578 in the third quarter of 2025. This represents a 29% decrease compared to the third quarter of 2023 (18% in the West Bank and 89% in Gaza Strip). The GDP per Capita in Pa</w:t>
      </w:r>
      <w:bookmarkStart w:id="0" w:name="_GoBack"/>
      <w:bookmarkEnd w:id="0"/>
      <w:r w:rsidRPr="008A4B42">
        <w:rPr>
          <w:snapToGrid w:val="0"/>
          <w:sz w:val="26"/>
          <w:szCs w:val="26"/>
        </w:rPr>
        <w:t>lestine showed a slightly decrease in the third quarter of 2025 compared to the same quarter of 2024.</w:t>
      </w:r>
    </w:p>
    <w:p w:rsidR="008A4B42" w:rsidRPr="008A4B42" w:rsidRDefault="008A4B42" w:rsidP="008A4B42">
      <w:pPr>
        <w:bidi w:val="0"/>
        <w:jc w:val="both"/>
        <w:rPr>
          <w:snapToGrid w:val="0"/>
          <w:sz w:val="16"/>
          <w:szCs w:val="16"/>
        </w:rPr>
      </w:pPr>
    </w:p>
    <w:p w:rsidR="008A4B42" w:rsidRDefault="008A4B42" w:rsidP="008A4B42">
      <w:pPr>
        <w:pStyle w:val="BodyTextIndent2"/>
        <w:bidi w:val="0"/>
        <w:spacing w:after="0" w:line="240" w:lineRule="atLeast"/>
        <w:ind w:left="0"/>
        <w:jc w:val="center"/>
        <w:rPr>
          <w:b/>
          <w:bCs/>
          <w:sz w:val="28"/>
          <w:szCs w:val="28"/>
          <w:rtl/>
        </w:rPr>
      </w:pPr>
      <w:r w:rsidRPr="008A4B42">
        <w:rPr>
          <w:b/>
          <w:bCs/>
          <w:sz w:val="28"/>
          <w:szCs w:val="28"/>
        </w:rPr>
        <w:t>GDP by Quarter in Palestine at Constant Prices, 2021-2025</w:t>
      </w:r>
    </w:p>
    <w:p w:rsidR="008A4B42" w:rsidRPr="008A4B42" w:rsidRDefault="008A4B42" w:rsidP="008A4B42">
      <w:pPr>
        <w:pStyle w:val="BodyTextIndent2"/>
        <w:bidi w:val="0"/>
        <w:spacing w:after="0" w:line="240" w:lineRule="atLeast"/>
        <w:ind w:left="0"/>
        <w:jc w:val="center"/>
        <w:rPr>
          <w:b/>
          <w:bCs/>
          <w:sz w:val="16"/>
          <w:szCs w:val="16"/>
        </w:rPr>
      </w:pPr>
    </w:p>
    <w:p w:rsidR="009A49DC" w:rsidRPr="008A4B42" w:rsidRDefault="008A4B42" w:rsidP="008A4B42">
      <w:pPr>
        <w:pStyle w:val="BodyTextIndent2"/>
        <w:jc w:val="center"/>
        <w:rPr>
          <w:b/>
          <w:bCs/>
        </w:rPr>
      </w:pPr>
      <w:r w:rsidRPr="00CB72F8">
        <w:rPr>
          <w:rFonts w:hint="cs"/>
          <w:b/>
          <w:bCs/>
          <w:noProof/>
          <w:rtl/>
          <w:lang w:eastAsia="en-US"/>
        </w:rPr>
        <w:drawing>
          <wp:inline distT="0" distB="0" distL="0" distR="0" wp14:anchorId="407FBE29" wp14:editId="7FAEF6F1">
            <wp:extent cx="5372735" cy="2305455"/>
            <wp:effectExtent l="0" t="0" r="18415"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sectPr w:rsidR="009A49DC" w:rsidRPr="008A4B42" w:rsidSect="008A4B42">
      <w:pgSz w:w="12240" w:h="15840"/>
      <w:pgMar w:top="1080" w:right="1080" w:bottom="108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D20" w:rsidRDefault="00775D20" w:rsidP="008A4B42">
      <w:r>
        <w:separator/>
      </w:r>
    </w:p>
  </w:endnote>
  <w:endnote w:type="continuationSeparator" w:id="0">
    <w:p w:rsidR="00775D20" w:rsidRDefault="00775D20" w:rsidP="008A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D20" w:rsidRDefault="00775D20" w:rsidP="008A4B42">
      <w:r>
        <w:separator/>
      </w:r>
    </w:p>
  </w:footnote>
  <w:footnote w:type="continuationSeparator" w:id="0">
    <w:p w:rsidR="00775D20" w:rsidRDefault="00775D20" w:rsidP="008A4B42">
      <w:r>
        <w:continuationSeparator/>
      </w:r>
    </w:p>
  </w:footnote>
  <w:footnote w:id="1">
    <w:p w:rsidR="008A4B42" w:rsidRDefault="008A4B42" w:rsidP="008A4B42">
      <w:pPr>
        <w:pStyle w:val="FootnoteText"/>
      </w:pPr>
      <w:r>
        <w:rPr>
          <w:rStyle w:val="FootnoteReference"/>
        </w:rPr>
        <w:footnoteRef/>
      </w:r>
      <w:r>
        <w:t xml:space="preserve"> </w:t>
      </w:r>
      <w:r>
        <w:rPr>
          <w:rFonts w:cs="Times New Roman"/>
          <w:snapToGrid w:val="0"/>
          <w:szCs w:val="20"/>
        </w:rPr>
        <w:t>D</w:t>
      </w:r>
      <w:r w:rsidRPr="00E13A50">
        <w:rPr>
          <w:rFonts w:cs="Times New Roman"/>
          <w:snapToGrid w:val="0"/>
          <w:szCs w:val="20"/>
        </w:rPr>
        <w:t xml:space="preserve">ata exclude those parts of Jerusalem which were annexed </w:t>
      </w:r>
      <w:r w:rsidRPr="00E13A50">
        <w:rPr>
          <w:rFonts w:cs="Times New Roman"/>
          <w:szCs w:val="20"/>
          <w:lang w:eastAsia="en-US"/>
        </w:rPr>
        <w:t>by</w:t>
      </w:r>
      <w:r w:rsidRPr="00E13A50">
        <w:rPr>
          <w:rFonts w:cs="Times New Roman"/>
          <w:snapToGrid w:val="0"/>
          <w:szCs w:val="20"/>
        </w:rPr>
        <w:t xml:space="preserve"> Israeli Occupation </w:t>
      </w:r>
      <w:r w:rsidRPr="00E13A50">
        <w:rPr>
          <w:rFonts w:cs="Times New Roman"/>
          <w:szCs w:val="20"/>
          <w:lang w:eastAsia="en-US"/>
        </w:rPr>
        <w:t>in 1967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42"/>
    <w:rsid w:val="00775D20"/>
    <w:rsid w:val="008A4B42"/>
    <w:rsid w:val="009A49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10FAE"/>
  <w15:chartTrackingRefBased/>
  <w15:docId w15:val="{553C2B1C-EC2F-4B4B-9E49-88C7C1216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B42"/>
    <w:pPr>
      <w:bidi/>
      <w:spacing w:after="0" w:line="240" w:lineRule="auto"/>
    </w:pPr>
    <w:rPr>
      <w:rFonts w:ascii="Times New Roman" w:eastAsia="Times New Roman" w:hAnsi="Times New Roman" w:cs="Times New Roman"/>
      <w:sz w:val="24"/>
      <w:szCs w:val="24"/>
      <w:lang w:eastAsia="ar-SA"/>
    </w:rPr>
  </w:style>
  <w:style w:type="paragraph" w:styleId="Heading7">
    <w:name w:val="heading 7"/>
    <w:basedOn w:val="Normal"/>
    <w:next w:val="Normal"/>
    <w:link w:val="Heading7Char"/>
    <w:qFormat/>
    <w:rsid w:val="008A4B42"/>
    <w:pPr>
      <w:keepNext/>
      <w:jc w:val="lowKashida"/>
      <w:outlineLvl w:val="6"/>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8A4B42"/>
    <w:rPr>
      <w:rFonts w:ascii="Times New Roman" w:eastAsia="Times New Roman" w:hAnsi="Times New Roman" w:cs="Simplified Arabic"/>
      <w:b/>
      <w:bCs/>
      <w:sz w:val="24"/>
      <w:szCs w:val="24"/>
      <w:lang w:eastAsia="ar-SA"/>
    </w:rPr>
  </w:style>
  <w:style w:type="paragraph" w:styleId="BodyText3">
    <w:name w:val="Body Text 3"/>
    <w:basedOn w:val="Normal"/>
    <w:link w:val="BodyText3Char"/>
    <w:rsid w:val="008A4B42"/>
    <w:pPr>
      <w:bidi w:val="0"/>
      <w:jc w:val="lowKashida"/>
    </w:pPr>
    <w:rPr>
      <w:rFonts w:ascii="Verdana" w:hAnsi="Verdana" w:cs="Traditional Arabic"/>
      <w:noProof/>
      <w:sz w:val="18"/>
      <w:szCs w:val="21"/>
    </w:rPr>
  </w:style>
  <w:style w:type="character" w:customStyle="1" w:styleId="BodyText3Char">
    <w:name w:val="Body Text 3 Char"/>
    <w:basedOn w:val="DefaultParagraphFont"/>
    <w:link w:val="BodyText3"/>
    <w:rsid w:val="008A4B42"/>
    <w:rPr>
      <w:rFonts w:ascii="Verdana" w:eastAsia="Times New Roman" w:hAnsi="Verdana" w:cs="Traditional Arabic"/>
      <w:noProof/>
      <w:sz w:val="18"/>
      <w:szCs w:val="21"/>
      <w:lang w:eastAsia="ar-SA"/>
    </w:rPr>
  </w:style>
  <w:style w:type="paragraph" w:styleId="FootnoteText">
    <w:name w:val="footnote text"/>
    <w:basedOn w:val="Normal"/>
    <w:link w:val="FootnoteTextChar"/>
    <w:semiHidden/>
    <w:rsid w:val="008A4B42"/>
    <w:pPr>
      <w:bidi w:val="0"/>
    </w:pPr>
    <w:rPr>
      <w:rFonts w:cs="Traditional Arabic"/>
      <w:noProof/>
      <w:sz w:val="20"/>
    </w:rPr>
  </w:style>
  <w:style w:type="character" w:customStyle="1" w:styleId="FootnoteTextChar">
    <w:name w:val="Footnote Text Char"/>
    <w:basedOn w:val="DefaultParagraphFont"/>
    <w:link w:val="FootnoteText"/>
    <w:semiHidden/>
    <w:rsid w:val="008A4B42"/>
    <w:rPr>
      <w:rFonts w:ascii="Times New Roman" w:eastAsia="Times New Roman" w:hAnsi="Times New Roman" w:cs="Traditional Arabic"/>
      <w:noProof/>
      <w:sz w:val="20"/>
      <w:szCs w:val="24"/>
      <w:lang w:eastAsia="ar-SA"/>
    </w:rPr>
  </w:style>
  <w:style w:type="character" w:styleId="FootnoteReference">
    <w:name w:val="footnote reference"/>
    <w:basedOn w:val="DefaultParagraphFont"/>
    <w:semiHidden/>
    <w:rsid w:val="008A4B42"/>
    <w:rPr>
      <w:vertAlign w:val="superscript"/>
    </w:rPr>
  </w:style>
  <w:style w:type="paragraph" w:styleId="BodyTextIndent2">
    <w:name w:val="Body Text Indent 2"/>
    <w:basedOn w:val="Normal"/>
    <w:link w:val="BodyTextIndent2Char"/>
    <w:uiPriority w:val="99"/>
    <w:unhideWhenUsed/>
    <w:rsid w:val="008A4B42"/>
    <w:pPr>
      <w:spacing w:after="120" w:line="480" w:lineRule="auto"/>
      <w:ind w:left="283"/>
    </w:pPr>
  </w:style>
  <w:style w:type="character" w:customStyle="1" w:styleId="BodyTextIndent2Char">
    <w:name w:val="Body Text Indent 2 Char"/>
    <w:basedOn w:val="DefaultParagraphFont"/>
    <w:link w:val="BodyTextIndent2"/>
    <w:uiPriority w:val="99"/>
    <w:rsid w:val="008A4B42"/>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8A4B42"/>
    <w:pPr>
      <w:tabs>
        <w:tab w:val="center" w:pos="4680"/>
        <w:tab w:val="right" w:pos="9360"/>
      </w:tabs>
    </w:pPr>
  </w:style>
  <w:style w:type="character" w:customStyle="1" w:styleId="HeaderChar">
    <w:name w:val="Header Char"/>
    <w:basedOn w:val="DefaultParagraphFont"/>
    <w:link w:val="Header"/>
    <w:uiPriority w:val="99"/>
    <w:rsid w:val="008A4B42"/>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8A4B42"/>
    <w:pPr>
      <w:tabs>
        <w:tab w:val="center" w:pos="4680"/>
        <w:tab w:val="right" w:pos="9360"/>
      </w:tabs>
    </w:pPr>
  </w:style>
  <w:style w:type="character" w:customStyle="1" w:styleId="FooterChar">
    <w:name w:val="Footer Char"/>
    <w:basedOn w:val="DefaultParagraphFont"/>
    <w:link w:val="Footer"/>
    <w:uiPriority w:val="99"/>
    <w:rsid w:val="008A4B4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8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22207258237581"/>
          <c:y val="4.1278468329486687E-2"/>
          <c:w val="0.80987492345936063"/>
          <c:h val="0.67955528446268165"/>
        </c:manualLayout>
      </c:layout>
      <c:lineChart>
        <c:grouping val="stacked"/>
        <c:varyColors val="0"/>
        <c:ser>
          <c:idx val="1"/>
          <c:order val="0"/>
          <c:tx>
            <c:strRef>
              <c:f>Sheet1!$C$2</c:f>
              <c:strCache>
                <c:ptCount val="1"/>
                <c:pt idx="0">
                  <c:v>Column2</c:v>
                </c:pt>
              </c:strCache>
            </c:strRef>
          </c:tx>
          <c:dLbls>
            <c:dLbl>
              <c:idx val="0"/>
              <c:layout>
                <c:manualLayout>
                  <c:x val="-3.4571909026335376E-2"/>
                  <c:y val="-8.7719298245614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4C-44D4-AD24-0077A41D95FB}"/>
                </c:ext>
              </c:extLst>
            </c:dLbl>
            <c:dLbl>
              <c:idx val="18"/>
              <c:layout>
                <c:manualLayout>
                  <c:x val="-3.2268491504829036E-2"/>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4C-44D4-AD24-0077A41D95F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Sheet1!$A$3:$B$21</c:f>
              <c:multiLvlStrCache>
                <c:ptCount val="19"/>
                <c:lvl>
                  <c:pt idx="0">
                    <c:v>Q1</c:v>
                  </c:pt>
                  <c:pt idx="1">
                    <c:v>Q2</c:v>
                  </c:pt>
                  <c:pt idx="2">
                    <c:v>Q3</c:v>
                  </c:pt>
                  <c:pt idx="3">
                    <c:v>Q4</c:v>
                  </c:pt>
                  <c:pt idx="4">
                    <c:v>Q1</c:v>
                  </c:pt>
                  <c:pt idx="5">
                    <c:v>Q2</c:v>
                  </c:pt>
                  <c:pt idx="6">
                    <c:v>Q3</c:v>
                  </c:pt>
                  <c:pt idx="7">
                    <c:v>Q4</c:v>
                  </c:pt>
                  <c:pt idx="8">
                    <c:v>Q1</c:v>
                  </c:pt>
                  <c:pt idx="9">
                    <c:v>Q2</c:v>
                  </c:pt>
                  <c:pt idx="10">
                    <c:v>Q3</c:v>
                  </c:pt>
                  <c:pt idx="11">
                    <c:v>Q4</c:v>
                  </c:pt>
                  <c:pt idx="12">
                    <c:v>Q1</c:v>
                  </c:pt>
                  <c:pt idx="13">
                    <c:v>Q2</c:v>
                  </c:pt>
                  <c:pt idx="14">
                    <c:v>Q3</c:v>
                  </c:pt>
                  <c:pt idx="15">
                    <c:v>Q4</c:v>
                  </c:pt>
                  <c:pt idx="16">
                    <c:v>Q1</c:v>
                  </c:pt>
                  <c:pt idx="17">
                    <c:v>Q2</c:v>
                  </c:pt>
                  <c:pt idx="18">
                    <c:v>Q3</c:v>
                  </c:pt>
                </c:lvl>
                <c:lvl>
                  <c:pt idx="0">
                    <c:v>2021</c:v>
                  </c:pt>
                  <c:pt idx="4">
                    <c:v>2022</c:v>
                  </c:pt>
                  <c:pt idx="8">
                    <c:v>2023</c:v>
                  </c:pt>
                  <c:pt idx="12">
                    <c:v>2024</c:v>
                  </c:pt>
                  <c:pt idx="16">
                    <c:v>2025</c:v>
                  </c:pt>
                </c:lvl>
              </c:multiLvlStrCache>
            </c:multiLvlStrRef>
          </c:cat>
          <c:val>
            <c:numRef>
              <c:f>Sheet1!$C$3:$C$21</c:f>
              <c:numCache>
                <c:formatCode>#,##0.0</c:formatCode>
                <c:ptCount val="19"/>
                <c:pt idx="0">
                  <c:v>3611.4</c:v>
                </c:pt>
                <c:pt idx="1">
                  <c:v>3735.7999999999997</c:v>
                </c:pt>
                <c:pt idx="2">
                  <c:v>3739.2</c:v>
                </c:pt>
                <c:pt idx="3">
                  <c:v>3935.3</c:v>
                </c:pt>
                <c:pt idx="4">
                  <c:v>3823.2</c:v>
                </c:pt>
                <c:pt idx="5">
                  <c:v>3867.6</c:v>
                </c:pt>
                <c:pt idx="6">
                  <c:v>3916</c:v>
                </c:pt>
                <c:pt idx="7">
                  <c:v>4028.2000000000003</c:v>
                </c:pt>
                <c:pt idx="8">
                  <c:v>4133.4000000000005</c:v>
                </c:pt>
                <c:pt idx="9">
                  <c:v>4151.3999999999996</c:v>
                </c:pt>
                <c:pt idx="10">
                  <c:v>4216</c:v>
                </c:pt>
                <c:pt idx="11">
                  <c:v>2982.2</c:v>
                </c:pt>
                <c:pt idx="12">
                  <c:v>2823.7</c:v>
                </c:pt>
                <c:pt idx="13">
                  <c:v>2947.7000000000003</c:v>
                </c:pt>
                <c:pt idx="14">
                  <c:v>3058.0000000000005</c:v>
                </c:pt>
                <c:pt idx="15">
                  <c:v>3114.6</c:v>
                </c:pt>
                <c:pt idx="16">
                  <c:v>3103.3999999999996</c:v>
                </c:pt>
                <c:pt idx="17">
                  <c:v>3043</c:v>
                </c:pt>
                <c:pt idx="18">
                  <c:v>3101.4</c:v>
                </c:pt>
              </c:numCache>
            </c:numRef>
          </c:val>
          <c:smooth val="0"/>
          <c:extLst>
            <c:ext xmlns:c16="http://schemas.microsoft.com/office/drawing/2014/chart" uri="{C3380CC4-5D6E-409C-BE32-E72D297353CC}">
              <c16:uniqueId val="{00000002-E44C-44D4-AD24-0077A41D95FB}"/>
            </c:ext>
          </c:extLst>
        </c:ser>
        <c:dLbls>
          <c:showLegendKey val="0"/>
          <c:showVal val="0"/>
          <c:showCatName val="0"/>
          <c:showSerName val="0"/>
          <c:showPercent val="0"/>
          <c:showBubbleSize val="0"/>
        </c:dLbls>
        <c:marker val="1"/>
        <c:smooth val="0"/>
        <c:axId val="90859776"/>
        <c:axId val="90864640"/>
      </c:lineChart>
      <c:catAx>
        <c:axId val="90859776"/>
        <c:scaling>
          <c:orientation val="minMax"/>
        </c:scaling>
        <c:delete val="0"/>
        <c:axPos val="b"/>
        <c:numFmt formatCode="General" sourceLinked="1"/>
        <c:majorTickMark val="out"/>
        <c:minorTickMark val="none"/>
        <c:tickLblPos val="nextTo"/>
        <c:txPr>
          <a:bodyPr rot="0" vert="horz"/>
          <a:lstStyle/>
          <a:p>
            <a:pPr rtl="0">
              <a:defRPr lang="ar-SA" sz="900">
                <a:latin typeface="Arial" pitchFamily="34" charset="0"/>
                <a:cs typeface="Arial" pitchFamily="34" charset="0"/>
              </a:defRPr>
            </a:pPr>
            <a:endParaRPr lang="en-US"/>
          </a:p>
        </c:txPr>
        <c:crossAx val="90864640"/>
        <c:crosses val="autoZero"/>
        <c:auto val="1"/>
        <c:lblAlgn val="ctr"/>
        <c:lblOffset val="100"/>
        <c:noMultiLvlLbl val="0"/>
      </c:catAx>
      <c:valAx>
        <c:axId val="90864640"/>
        <c:scaling>
          <c:orientation val="minMax"/>
          <c:max val="7000"/>
          <c:min val="0"/>
        </c:scaling>
        <c:delete val="0"/>
        <c:axPos val="l"/>
        <c:title>
          <c:tx>
            <c:rich>
              <a:bodyPr/>
              <a:lstStyle/>
              <a:p>
                <a:pPr>
                  <a:defRPr lang="ar-SA" sz="900">
                    <a:latin typeface="Arial" pitchFamily="34" charset="0"/>
                    <a:cs typeface="Arial" pitchFamily="34" charset="0"/>
                  </a:defRPr>
                </a:pPr>
                <a:r>
                  <a:rPr lang="en-US" sz="900" baseline="0">
                    <a:latin typeface="Arial" pitchFamily="34" charset="0"/>
                    <a:cs typeface="Arial" pitchFamily="34" charset="0"/>
                  </a:rPr>
                  <a:t>Million USD</a:t>
                </a:r>
                <a:endParaRPr lang="en-US" sz="900">
                  <a:latin typeface="Arial" pitchFamily="34" charset="0"/>
                  <a:cs typeface="Arial" pitchFamily="34" charset="0"/>
                </a:endParaRPr>
              </a:p>
            </c:rich>
          </c:tx>
          <c:overlay val="0"/>
        </c:title>
        <c:numFmt formatCode="#,##0" sourceLinked="0"/>
        <c:majorTickMark val="out"/>
        <c:minorTickMark val="none"/>
        <c:tickLblPos val="nextTo"/>
        <c:txPr>
          <a:bodyPr/>
          <a:lstStyle/>
          <a:p>
            <a:pPr>
              <a:defRPr lang="ar-SA"/>
            </a:pPr>
            <a:endParaRPr lang="en-US"/>
          </a:p>
        </c:txPr>
        <c:crossAx val="90859776"/>
        <c:crossesAt val="1"/>
        <c:crossBetween val="between"/>
        <c:majorUnit val="1000"/>
      </c:valAx>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Badran</dc:creator>
  <cp:keywords/>
  <dc:description/>
  <cp:lastModifiedBy>Hadeel Badran</cp:lastModifiedBy>
  <cp:revision>1</cp:revision>
  <dcterms:created xsi:type="dcterms:W3CDTF">2026-01-13T12:17:00Z</dcterms:created>
  <dcterms:modified xsi:type="dcterms:W3CDTF">2026-01-13T12:22:00Z</dcterms:modified>
</cp:coreProperties>
</file>