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6A2A" w:rsidRDefault="006C6A2A" w:rsidP="006C6A2A">
      <w:pPr>
        <w:pStyle w:val="xmsonormal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212121"/>
          <w:sz w:val="22"/>
          <w:szCs w:val="22"/>
        </w:rPr>
      </w:pPr>
      <w:r>
        <w:rPr>
          <w:rFonts w:ascii="Calibri" w:hAnsi="Calibri" w:cs="Calibri"/>
          <w:b/>
          <w:bCs/>
          <w:color w:val="212121"/>
          <w:sz w:val="32"/>
          <w:szCs w:val="32"/>
        </w:rPr>
        <w:t>Palestinian Central Bureau of Statistics (PCBS)</w:t>
      </w:r>
    </w:p>
    <w:p w:rsidR="006C6A2A" w:rsidRDefault="006C6A2A" w:rsidP="006C6A2A">
      <w:pPr>
        <w:pStyle w:val="xmsonormal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212121"/>
          <w:sz w:val="22"/>
          <w:szCs w:val="22"/>
        </w:rPr>
      </w:pPr>
      <w:r>
        <w:rPr>
          <w:rFonts w:ascii="Calibri" w:hAnsi="Calibri" w:cs="Calibri"/>
          <w:b/>
          <w:bCs/>
          <w:color w:val="212121"/>
          <w:sz w:val="16"/>
          <w:szCs w:val="16"/>
        </w:rPr>
        <w:t> </w:t>
      </w:r>
    </w:p>
    <w:p w:rsidR="00406BD5" w:rsidRDefault="006C6A2A" w:rsidP="006C6A2A">
      <w:pPr>
        <w:pStyle w:val="xmsonormal"/>
        <w:shd w:val="clear" w:color="auto" w:fill="FFFFFF"/>
        <w:bidi/>
        <w:spacing w:before="0" w:beforeAutospacing="0" w:after="0" w:afterAutospacing="0"/>
        <w:jc w:val="center"/>
        <w:rPr>
          <w:rFonts w:ascii="Calibri" w:hAnsi="Calibri" w:cs="Calibri"/>
          <w:b/>
          <w:bCs/>
          <w:color w:val="000000"/>
          <w:sz w:val="32"/>
          <w:szCs w:val="32"/>
          <w:rtl/>
        </w:rPr>
      </w:pPr>
      <w:r w:rsidRPr="00406BD5">
        <w:rPr>
          <w:rFonts w:ascii="Calibri" w:hAnsi="Calibri" w:cs="Calibri"/>
          <w:b/>
          <w:bCs/>
          <w:color w:val="000000"/>
          <w:sz w:val="32"/>
          <w:szCs w:val="32"/>
        </w:rPr>
        <w:t>The Preliminary Estimates of Quarterly National Accounts,</w:t>
      </w:r>
    </w:p>
    <w:p w:rsidR="006C6A2A" w:rsidRPr="00406BD5" w:rsidRDefault="006C6A2A" w:rsidP="00406BD5">
      <w:pPr>
        <w:pStyle w:val="xmsonormal"/>
        <w:shd w:val="clear" w:color="auto" w:fill="FFFFFF"/>
        <w:bidi/>
        <w:spacing w:before="0" w:beforeAutospacing="0" w:after="0" w:afterAutospacing="0"/>
        <w:jc w:val="center"/>
        <w:rPr>
          <w:rFonts w:ascii="Calibri" w:hAnsi="Calibri" w:cs="Calibri"/>
          <w:color w:val="212121"/>
          <w:sz w:val="32"/>
          <w:szCs w:val="32"/>
        </w:rPr>
      </w:pPr>
      <w:r w:rsidRPr="00406BD5">
        <w:rPr>
          <w:rFonts w:ascii="Calibri" w:hAnsi="Calibri" w:cs="Calibri"/>
          <w:b/>
          <w:bCs/>
          <w:color w:val="000000"/>
          <w:sz w:val="32"/>
          <w:szCs w:val="32"/>
        </w:rPr>
        <w:t xml:space="preserve">  Fourth Quarter, 2025</w:t>
      </w:r>
    </w:p>
    <w:p w:rsidR="006C6A2A" w:rsidRDefault="006C6A2A" w:rsidP="00F740AE">
      <w:pPr>
        <w:pStyle w:val="Heading7"/>
        <w:bidi w:val="0"/>
        <w:ind w:right="-110"/>
        <w:jc w:val="center"/>
        <w:rPr>
          <w:sz w:val="28"/>
          <w:szCs w:val="28"/>
          <w:rtl/>
        </w:rPr>
      </w:pPr>
    </w:p>
    <w:p w:rsidR="00F740AE" w:rsidRPr="00F61AB0" w:rsidRDefault="00F740AE" w:rsidP="006C6A2A">
      <w:pPr>
        <w:pStyle w:val="Heading7"/>
        <w:bidi w:val="0"/>
        <w:ind w:right="-110"/>
        <w:jc w:val="center"/>
        <w:rPr>
          <w:sz w:val="28"/>
          <w:szCs w:val="28"/>
          <w:vertAlign w:val="superscript"/>
        </w:rPr>
      </w:pPr>
      <w:r w:rsidRPr="00F61AB0">
        <w:rPr>
          <w:sz w:val="28"/>
          <w:szCs w:val="28"/>
        </w:rPr>
        <w:t>Main Results</w:t>
      </w:r>
      <w:r w:rsidRPr="00F61AB0">
        <w:rPr>
          <w:rStyle w:val="FootnoteReference"/>
          <w:sz w:val="28"/>
          <w:szCs w:val="28"/>
        </w:rPr>
        <w:footnoteReference w:id="1"/>
      </w:r>
      <w:r w:rsidRPr="00F61AB0">
        <w:rPr>
          <w:sz w:val="28"/>
          <w:szCs w:val="28"/>
          <w:vertAlign w:val="superscript"/>
        </w:rPr>
        <w:t xml:space="preserve"> </w:t>
      </w:r>
    </w:p>
    <w:p w:rsidR="00F740AE" w:rsidRPr="00F61AB0" w:rsidRDefault="00F740AE" w:rsidP="00F740AE">
      <w:pPr>
        <w:pStyle w:val="Heading7"/>
        <w:bidi w:val="0"/>
        <w:ind w:right="-110"/>
        <w:jc w:val="both"/>
      </w:pPr>
    </w:p>
    <w:p w:rsidR="00847085" w:rsidRPr="00406BD5" w:rsidRDefault="00847085" w:rsidP="00C81484">
      <w:pPr>
        <w:bidi w:val="0"/>
        <w:jc w:val="center"/>
        <w:rPr>
          <w:rFonts w:asciiTheme="majorBidi" w:hAnsiTheme="majorBidi" w:cstheme="majorBidi"/>
          <w:b/>
          <w:bCs/>
          <w:sz w:val="26"/>
          <w:szCs w:val="26"/>
        </w:rPr>
      </w:pPr>
      <w:r w:rsidRPr="00406BD5">
        <w:rPr>
          <w:rFonts w:asciiTheme="majorBidi" w:hAnsiTheme="majorBidi" w:cstheme="majorBidi"/>
          <w:b/>
          <w:bCs/>
          <w:sz w:val="26"/>
          <w:szCs w:val="26"/>
        </w:rPr>
        <w:t>The Palestinian economy continued to record a recession of 20% at constant prices during 2025</w:t>
      </w:r>
      <w:r w:rsidR="008A0DD3" w:rsidRPr="00406BD5">
        <w:rPr>
          <w:rFonts w:asciiTheme="majorBidi" w:hAnsiTheme="majorBidi" w:cstheme="majorBidi"/>
          <w:b/>
          <w:bCs/>
          <w:sz w:val="26"/>
          <w:szCs w:val="26"/>
        </w:rPr>
        <w:t>,</w:t>
      </w:r>
      <w:r w:rsidRPr="00406BD5">
        <w:rPr>
          <w:rFonts w:asciiTheme="majorBidi" w:hAnsiTheme="majorBidi" w:cstheme="majorBidi"/>
          <w:b/>
          <w:bCs/>
          <w:sz w:val="26"/>
          <w:szCs w:val="26"/>
        </w:rPr>
        <w:t xml:space="preserve"> compared to 2023, despite the increase it recorded during 2025 by 4% compared to 2024. The Gross Domestic Product also increased by 3% during the fourth quarter of 2025 compared to the </w:t>
      </w:r>
      <w:r w:rsidR="00C81484" w:rsidRPr="00406BD5">
        <w:rPr>
          <w:rFonts w:asciiTheme="majorBidi" w:hAnsiTheme="majorBidi" w:cstheme="majorBidi"/>
          <w:b/>
          <w:bCs/>
          <w:sz w:val="26"/>
          <w:szCs w:val="26"/>
        </w:rPr>
        <w:t xml:space="preserve">same </w:t>
      </w:r>
      <w:r w:rsidRPr="00406BD5">
        <w:rPr>
          <w:rFonts w:asciiTheme="majorBidi" w:hAnsiTheme="majorBidi" w:cstheme="majorBidi"/>
          <w:b/>
          <w:bCs/>
          <w:sz w:val="26"/>
          <w:szCs w:val="26"/>
        </w:rPr>
        <w:t>quarter of 2024.</w:t>
      </w:r>
    </w:p>
    <w:p w:rsidR="002946C3" w:rsidRPr="00F61AB0" w:rsidRDefault="002946C3" w:rsidP="002946C3">
      <w:pPr>
        <w:bidi w:val="0"/>
        <w:jc w:val="center"/>
        <w:rPr>
          <w:rFonts w:asciiTheme="majorBidi" w:hAnsiTheme="majorBidi" w:cstheme="majorBidi"/>
          <w:b/>
          <w:bCs/>
        </w:rPr>
      </w:pPr>
    </w:p>
    <w:p w:rsidR="003A4237" w:rsidRDefault="00661108">
      <w:pPr>
        <w:bidi w:val="0"/>
        <w:jc w:val="both"/>
        <w:rPr>
          <w:sz w:val="26"/>
          <w:szCs w:val="26"/>
          <w:rtl/>
          <w:lang w:eastAsia="en-US"/>
        </w:rPr>
      </w:pPr>
      <w:r w:rsidRPr="00406BD5">
        <w:rPr>
          <w:sz w:val="26"/>
          <w:szCs w:val="26"/>
          <w:lang w:eastAsia="en-US"/>
        </w:rPr>
        <w:t xml:space="preserve">Primary estimates of GDP showed </w:t>
      </w:r>
      <w:r w:rsidR="004B495E" w:rsidRPr="00406BD5">
        <w:rPr>
          <w:sz w:val="26"/>
          <w:szCs w:val="26"/>
          <w:lang w:eastAsia="en-US"/>
        </w:rPr>
        <w:t>an increase</w:t>
      </w:r>
      <w:r w:rsidRPr="00406BD5">
        <w:rPr>
          <w:sz w:val="26"/>
          <w:szCs w:val="26"/>
          <w:lang w:eastAsia="en-US"/>
        </w:rPr>
        <w:t xml:space="preserve"> in the GDP of Palestine during the </w:t>
      </w:r>
      <w:r w:rsidR="004B495E" w:rsidRPr="00406BD5">
        <w:rPr>
          <w:sz w:val="26"/>
          <w:szCs w:val="26"/>
          <w:lang w:eastAsia="en-US"/>
        </w:rPr>
        <w:t>4</w:t>
      </w:r>
      <w:r w:rsidR="004B495E" w:rsidRPr="00406BD5">
        <w:rPr>
          <w:sz w:val="26"/>
          <w:szCs w:val="26"/>
          <w:vertAlign w:val="superscript"/>
          <w:lang w:eastAsia="en-US"/>
        </w:rPr>
        <w:t>th</w:t>
      </w:r>
      <w:r w:rsidRPr="00406BD5">
        <w:rPr>
          <w:sz w:val="26"/>
          <w:szCs w:val="26"/>
          <w:lang w:eastAsia="en-US"/>
        </w:rPr>
        <w:t xml:space="preserve"> quarter of 2025 compared to the </w:t>
      </w:r>
      <w:r w:rsidR="004B495E" w:rsidRPr="00406BD5">
        <w:rPr>
          <w:sz w:val="26"/>
          <w:szCs w:val="26"/>
          <w:lang w:eastAsia="en-US"/>
        </w:rPr>
        <w:t>4</w:t>
      </w:r>
      <w:r w:rsidR="004B495E" w:rsidRPr="00406BD5">
        <w:rPr>
          <w:sz w:val="26"/>
          <w:szCs w:val="26"/>
          <w:vertAlign w:val="superscript"/>
          <w:lang w:eastAsia="en-US"/>
        </w:rPr>
        <w:t>th</w:t>
      </w:r>
      <w:r w:rsidRPr="00406BD5">
        <w:rPr>
          <w:sz w:val="26"/>
          <w:szCs w:val="26"/>
          <w:lang w:eastAsia="en-US"/>
        </w:rPr>
        <w:t xml:space="preserve"> quarter of </w:t>
      </w:r>
      <w:r w:rsidR="0089671A" w:rsidRPr="00406BD5">
        <w:rPr>
          <w:sz w:val="26"/>
          <w:szCs w:val="26"/>
          <w:lang w:eastAsia="en-US"/>
        </w:rPr>
        <w:t>2024</w:t>
      </w:r>
      <w:r w:rsidRPr="00406BD5">
        <w:rPr>
          <w:sz w:val="26"/>
          <w:szCs w:val="26"/>
          <w:lang w:eastAsia="en-US"/>
        </w:rPr>
        <w:t xml:space="preserve">, </w:t>
      </w:r>
      <w:r w:rsidR="00847085" w:rsidRPr="00406BD5">
        <w:rPr>
          <w:sz w:val="26"/>
          <w:szCs w:val="26"/>
          <w:lang w:eastAsia="en-US"/>
        </w:rPr>
        <w:t xml:space="preserve">the services activity recorded an increase by 11%, </w:t>
      </w:r>
      <w:r w:rsidR="00281A9F" w:rsidRPr="00406BD5">
        <w:rPr>
          <w:sz w:val="26"/>
          <w:szCs w:val="26"/>
          <w:lang w:eastAsia="en-US"/>
        </w:rPr>
        <w:t xml:space="preserve">information and communication </w:t>
      </w:r>
      <w:r w:rsidR="00847085" w:rsidRPr="00406BD5">
        <w:rPr>
          <w:sz w:val="26"/>
          <w:szCs w:val="26"/>
          <w:lang w:eastAsia="en-US"/>
        </w:rPr>
        <w:t xml:space="preserve">activity by </w:t>
      </w:r>
      <w:r w:rsidR="00281A9F" w:rsidRPr="00406BD5">
        <w:rPr>
          <w:sz w:val="26"/>
          <w:szCs w:val="26"/>
          <w:lang w:eastAsia="en-US"/>
        </w:rPr>
        <w:t>12</w:t>
      </w:r>
      <w:r w:rsidR="00847085" w:rsidRPr="00406BD5">
        <w:rPr>
          <w:sz w:val="26"/>
          <w:szCs w:val="26"/>
          <w:lang w:eastAsia="en-US"/>
        </w:rPr>
        <w:t>%,</w:t>
      </w:r>
      <w:r w:rsidR="00281A9F" w:rsidRPr="00406BD5">
        <w:rPr>
          <w:sz w:val="26"/>
          <w:szCs w:val="26"/>
          <w:lang w:eastAsia="en-US"/>
        </w:rPr>
        <w:t xml:space="preserve"> industry activity by 6%, w</w:t>
      </w:r>
      <w:r w:rsidR="00F61AB0" w:rsidRPr="00406BD5">
        <w:rPr>
          <w:sz w:val="26"/>
          <w:szCs w:val="26"/>
          <w:lang w:eastAsia="en-US"/>
        </w:rPr>
        <w:t xml:space="preserve">hile </w:t>
      </w:r>
      <w:r w:rsidR="00281A9F" w:rsidRPr="00406BD5">
        <w:rPr>
          <w:sz w:val="26"/>
          <w:szCs w:val="26"/>
          <w:lang w:eastAsia="en-US"/>
        </w:rPr>
        <w:t>t</w:t>
      </w:r>
      <w:r w:rsidR="00F61AB0" w:rsidRPr="00406BD5">
        <w:rPr>
          <w:sz w:val="26"/>
          <w:szCs w:val="26"/>
          <w:lang w:eastAsia="en-US"/>
        </w:rPr>
        <w:t xml:space="preserve">ransportation and </w:t>
      </w:r>
      <w:r w:rsidR="00281A9F" w:rsidRPr="00406BD5">
        <w:rPr>
          <w:sz w:val="26"/>
          <w:szCs w:val="26"/>
          <w:lang w:eastAsia="en-US"/>
        </w:rPr>
        <w:t>s</w:t>
      </w:r>
      <w:r w:rsidR="00F61AB0" w:rsidRPr="00406BD5">
        <w:rPr>
          <w:sz w:val="26"/>
          <w:szCs w:val="26"/>
          <w:lang w:eastAsia="en-US"/>
        </w:rPr>
        <w:t xml:space="preserve">torage </w:t>
      </w:r>
      <w:r w:rsidR="00C81484" w:rsidRPr="00406BD5">
        <w:rPr>
          <w:sz w:val="26"/>
          <w:szCs w:val="26"/>
          <w:lang w:eastAsia="en-US"/>
        </w:rPr>
        <w:t xml:space="preserve">activities </w:t>
      </w:r>
      <w:r w:rsidR="00F61AB0" w:rsidRPr="00406BD5">
        <w:rPr>
          <w:sz w:val="26"/>
          <w:szCs w:val="26"/>
          <w:lang w:eastAsia="en-US"/>
        </w:rPr>
        <w:t>decreased</w:t>
      </w:r>
      <w:r w:rsidRPr="00406BD5">
        <w:rPr>
          <w:sz w:val="26"/>
          <w:szCs w:val="26"/>
          <w:lang w:eastAsia="en-US"/>
        </w:rPr>
        <w:t xml:space="preserve"> by </w:t>
      </w:r>
      <w:r w:rsidR="00F61AB0" w:rsidRPr="00406BD5">
        <w:rPr>
          <w:sz w:val="26"/>
          <w:szCs w:val="26"/>
          <w:lang w:eastAsia="en-US"/>
        </w:rPr>
        <w:t>11</w:t>
      </w:r>
      <w:r w:rsidRPr="00406BD5">
        <w:rPr>
          <w:sz w:val="26"/>
          <w:szCs w:val="26"/>
          <w:lang w:eastAsia="en-US"/>
        </w:rPr>
        <w:t xml:space="preserve">%, </w:t>
      </w:r>
      <w:r w:rsidR="00F61AB0" w:rsidRPr="00406BD5">
        <w:rPr>
          <w:sz w:val="26"/>
          <w:szCs w:val="26"/>
          <w:lang w:eastAsia="en-US"/>
        </w:rPr>
        <w:t>construction</w:t>
      </w:r>
      <w:r w:rsidRPr="00406BD5">
        <w:rPr>
          <w:sz w:val="26"/>
          <w:szCs w:val="26"/>
          <w:lang w:eastAsia="en-US"/>
        </w:rPr>
        <w:t xml:space="preserve"> </w:t>
      </w:r>
      <w:r w:rsidR="00C81484" w:rsidRPr="00406BD5">
        <w:rPr>
          <w:sz w:val="26"/>
          <w:szCs w:val="26"/>
          <w:lang w:eastAsia="en-US"/>
        </w:rPr>
        <w:t xml:space="preserve">activity </w:t>
      </w:r>
      <w:r w:rsidRPr="00406BD5">
        <w:rPr>
          <w:sz w:val="26"/>
          <w:szCs w:val="26"/>
          <w:lang w:eastAsia="en-US"/>
        </w:rPr>
        <w:t xml:space="preserve">by </w:t>
      </w:r>
      <w:r w:rsidR="00F61AB0" w:rsidRPr="00406BD5">
        <w:rPr>
          <w:sz w:val="26"/>
          <w:szCs w:val="26"/>
          <w:lang w:eastAsia="en-US"/>
        </w:rPr>
        <w:t>10</w:t>
      </w:r>
      <w:r w:rsidRPr="00406BD5">
        <w:rPr>
          <w:sz w:val="26"/>
          <w:szCs w:val="26"/>
          <w:lang w:eastAsia="en-US"/>
        </w:rPr>
        <w:t xml:space="preserve">%, </w:t>
      </w:r>
      <w:r w:rsidR="00281A9F" w:rsidRPr="00406BD5">
        <w:rPr>
          <w:sz w:val="26"/>
          <w:szCs w:val="26"/>
          <w:lang w:eastAsia="en-US"/>
        </w:rPr>
        <w:t>f</w:t>
      </w:r>
      <w:r w:rsidR="00F61AB0" w:rsidRPr="00406BD5">
        <w:rPr>
          <w:sz w:val="26"/>
          <w:szCs w:val="26"/>
          <w:lang w:eastAsia="en-US"/>
        </w:rPr>
        <w:t xml:space="preserve">inancial and </w:t>
      </w:r>
      <w:r w:rsidR="00281A9F" w:rsidRPr="00406BD5">
        <w:rPr>
          <w:sz w:val="26"/>
          <w:szCs w:val="26"/>
          <w:lang w:eastAsia="en-US"/>
        </w:rPr>
        <w:t>i</w:t>
      </w:r>
      <w:r w:rsidR="00F61AB0" w:rsidRPr="00406BD5">
        <w:rPr>
          <w:sz w:val="26"/>
          <w:szCs w:val="26"/>
          <w:lang w:eastAsia="en-US"/>
        </w:rPr>
        <w:t xml:space="preserve">nsurance </w:t>
      </w:r>
      <w:r w:rsidR="00281A9F" w:rsidRPr="00406BD5">
        <w:rPr>
          <w:sz w:val="26"/>
          <w:szCs w:val="26"/>
          <w:lang w:eastAsia="en-US"/>
        </w:rPr>
        <w:t>a</w:t>
      </w:r>
      <w:r w:rsidR="00F61AB0" w:rsidRPr="00406BD5">
        <w:rPr>
          <w:sz w:val="26"/>
          <w:szCs w:val="26"/>
          <w:lang w:eastAsia="en-US"/>
        </w:rPr>
        <w:t>ctivities by 5%</w:t>
      </w:r>
      <w:r w:rsidR="00581F37" w:rsidRPr="00406BD5">
        <w:rPr>
          <w:sz w:val="26"/>
          <w:szCs w:val="26"/>
          <w:lang w:eastAsia="en-US"/>
        </w:rPr>
        <w:t xml:space="preserve">, </w:t>
      </w:r>
      <w:r w:rsidR="00281A9F" w:rsidRPr="00406BD5">
        <w:rPr>
          <w:sz w:val="26"/>
          <w:szCs w:val="26"/>
          <w:lang w:eastAsia="en-US"/>
        </w:rPr>
        <w:t>a</w:t>
      </w:r>
      <w:r w:rsidR="00F61AB0" w:rsidRPr="00406BD5">
        <w:rPr>
          <w:sz w:val="26"/>
          <w:szCs w:val="26"/>
          <w:lang w:eastAsia="en-US"/>
        </w:rPr>
        <w:t xml:space="preserve">griculture, </w:t>
      </w:r>
      <w:r w:rsidR="00281A9F" w:rsidRPr="00406BD5">
        <w:rPr>
          <w:sz w:val="26"/>
          <w:szCs w:val="26"/>
          <w:lang w:eastAsia="en-US"/>
        </w:rPr>
        <w:t>f</w:t>
      </w:r>
      <w:r w:rsidR="00F61AB0" w:rsidRPr="00406BD5">
        <w:rPr>
          <w:sz w:val="26"/>
          <w:szCs w:val="26"/>
          <w:lang w:eastAsia="en-US"/>
        </w:rPr>
        <w:t xml:space="preserve">orestry and </w:t>
      </w:r>
      <w:r w:rsidR="00281A9F" w:rsidRPr="00406BD5">
        <w:rPr>
          <w:sz w:val="26"/>
          <w:szCs w:val="26"/>
          <w:lang w:eastAsia="en-US"/>
        </w:rPr>
        <w:t>f</w:t>
      </w:r>
      <w:r w:rsidR="00F61AB0" w:rsidRPr="00406BD5">
        <w:rPr>
          <w:sz w:val="26"/>
          <w:szCs w:val="26"/>
          <w:lang w:eastAsia="en-US"/>
        </w:rPr>
        <w:t>ishing</w:t>
      </w:r>
      <w:r w:rsidR="00C81484" w:rsidRPr="00406BD5">
        <w:rPr>
          <w:sz w:val="26"/>
          <w:szCs w:val="26"/>
          <w:lang w:eastAsia="en-US"/>
        </w:rPr>
        <w:t xml:space="preserve"> activities</w:t>
      </w:r>
      <w:r w:rsidR="00281A9F" w:rsidRPr="00406BD5">
        <w:rPr>
          <w:sz w:val="26"/>
          <w:szCs w:val="26"/>
          <w:lang w:eastAsia="en-US"/>
        </w:rPr>
        <w:t xml:space="preserve"> declined</w:t>
      </w:r>
      <w:r w:rsidR="00F61AB0" w:rsidRPr="00406BD5">
        <w:rPr>
          <w:sz w:val="26"/>
          <w:szCs w:val="26"/>
          <w:lang w:eastAsia="en-US"/>
        </w:rPr>
        <w:t xml:space="preserve"> </w:t>
      </w:r>
      <w:r w:rsidRPr="00406BD5">
        <w:rPr>
          <w:sz w:val="26"/>
          <w:szCs w:val="26"/>
          <w:lang w:eastAsia="en-US"/>
        </w:rPr>
        <w:t xml:space="preserve">by </w:t>
      </w:r>
      <w:r w:rsidR="00F61AB0" w:rsidRPr="00406BD5">
        <w:rPr>
          <w:sz w:val="26"/>
          <w:szCs w:val="26"/>
          <w:lang w:eastAsia="en-US"/>
        </w:rPr>
        <w:t>4</w:t>
      </w:r>
      <w:r w:rsidRPr="00406BD5">
        <w:rPr>
          <w:sz w:val="26"/>
          <w:szCs w:val="26"/>
          <w:lang w:eastAsia="en-US"/>
        </w:rPr>
        <w:t xml:space="preserve">%.  Whereas the GDP for the </w:t>
      </w:r>
      <w:r w:rsidR="00581F37" w:rsidRPr="00406BD5">
        <w:rPr>
          <w:sz w:val="26"/>
          <w:szCs w:val="26"/>
          <w:lang w:eastAsia="en-US"/>
        </w:rPr>
        <w:t>4</w:t>
      </w:r>
      <w:r w:rsidR="00581F37" w:rsidRPr="00406BD5">
        <w:rPr>
          <w:sz w:val="26"/>
          <w:szCs w:val="26"/>
          <w:vertAlign w:val="superscript"/>
          <w:lang w:eastAsia="en-US"/>
        </w:rPr>
        <w:t>th</w:t>
      </w:r>
      <w:r w:rsidRPr="00406BD5">
        <w:rPr>
          <w:sz w:val="26"/>
          <w:szCs w:val="26"/>
          <w:lang w:eastAsia="en-US"/>
        </w:rPr>
        <w:t xml:space="preserve"> quarter of 2025 was USD </w:t>
      </w:r>
      <w:r w:rsidR="00052383" w:rsidRPr="00406BD5">
        <w:rPr>
          <w:sz w:val="26"/>
          <w:szCs w:val="26"/>
          <w:lang w:eastAsia="en-US"/>
        </w:rPr>
        <w:t>3</w:t>
      </w:r>
      <w:r w:rsidRPr="00406BD5">
        <w:rPr>
          <w:sz w:val="26"/>
          <w:szCs w:val="26"/>
          <w:lang w:eastAsia="en-US"/>
        </w:rPr>
        <w:t>,</w:t>
      </w:r>
      <w:r w:rsidR="00581F37" w:rsidRPr="00406BD5">
        <w:rPr>
          <w:sz w:val="26"/>
          <w:szCs w:val="26"/>
          <w:lang w:eastAsia="en-US"/>
        </w:rPr>
        <w:t>039</w:t>
      </w:r>
      <w:r w:rsidRPr="00406BD5">
        <w:rPr>
          <w:sz w:val="26"/>
          <w:szCs w:val="26"/>
          <w:lang w:eastAsia="en-US"/>
        </w:rPr>
        <w:t xml:space="preserve"> million in the West Bank and USD </w:t>
      </w:r>
      <w:r w:rsidR="00581F37" w:rsidRPr="00406BD5">
        <w:rPr>
          <w:sz w:val="26"/>
          <w:szCs w:val="26"/>
          <w:lang w:eastAsia="en-US"/>
        </w:rPr>
        <w:t>176</w:t>
      </w:r>
      <w:r w:rsidRPr="00406BD5">
        <w:rPr>
          <w:sz w:val="26"/>
          <w:szCs w:val="26"/>
          <w:lang w:eastAsia="en-US"/>
        </w:rPr>
        <w:t xml:space="preserve"> million in Gaza Strip.</w:t>
      </w:r>
    </w:p>
    <w:p w:rsidR="00406BD5" w:rsidRPr="00406BD5" w:rsidRDefault="00406BD5" w:rsidP="00406BD5">
      <w:pPr>
        <w:bidi w:val="0"/>
        <w:jc w:val="both"/>
        <w:rPr>
          <w:sz w:val="26"/>
          <w:szCs w:val="26"/>
          <w:rtl/>
          <w:lang w:eastAsia="en-US"/>
        </w:rPr>
      </w:pPr>
    </w:p>
    <w:p w:rsidR="003A4237" w:rsidRPr="00F61AB0" w:rsidRDefault="003A4237" w:rsidP="003A4237">
      <w:pPr>
        <w:bidi w:val="0"/>
        <w:jc w:val="both"/>
        <w:rPr>
          <w:lang w:eastAsia="en-US"/>
        </w:rPr>
      </w:pPr>
    </w:p>
    <w:p w:rsidR="005D29AB" w:rsidRPr="00406BD5" w:rsidRDefault="00C81484" w:rsidP="00F61AB0">
      <w:pPr>
        <w:bidi w:val="0"/>
        <w:jc w:val="both"/>
        <w:rPr>
          <w:b/>
          <w:bCs/>
          <w:snapToGrid w:val="0"/>
          <w:sz w:val="26"/>
          <w:szCs w:val="26"/>
        </w:rPr>
      </w:pPr>
      <w:r w:rsidRPr="00406BD5">
        <w:rPr>
          <w:b/>
          <w:bCs/>
          <w:snapToGrid w:val="0"/>
          <w:sz w:val="26"/>
          <w:szCs w:val="26"/>
        </w:rPr>
        <w:t xml:space="preserve">An </w:t>
      </w:r>
      <w:r w:rsidR="00581F37" w:rsidRPr="00406BD5">
        <w:rPr>
          <w:b/>
          <w:bCs/>
          <w:snapToGrid w:val="0"/>
          <w:sz w:val="26"/>
          <w:szCs w:val="26"/>
        </w:rPr>
        <w:t>Increase</w:t>
      </w:r>
      <w:r w:rsidR="00C51C9B" w:rsidRPr="00406BD5">
        <w:rPr>
          <w:b/>
          <w:bCs/>
          <w:snapToGrid w:val="0"/>
          <w:sz w:val="26"/>
          <w:szCs w:val="26"/>
        </w:rPr>
        <w:t xml:space="preserve"> in GDP per Capita for Palestine in the </w:t>
      </w:r>
      <w:r w:rsidR="00581F37" w:rsidRPr="00406BD5">
        <w:rPr>
          <w:b/>
          <w:bCs/>
          <w:snapToGrid w:val="0"/>
          <w:sz w:val="26"/>
          <w:szCs w:val="26"/>
        </w:rPr>
        <w:t>fourth</w:t>
      </w:r>
      <w:r w:rsidR="00C51C9B" w:rsidRPr="00406BD5">
        <w:rPr>
          <w:b/>
          <w:bCs/>
          <w:snapToGrid w:val="0"/>
          <w:sz w:val="26"/>
          <w:szCs w:val="26"/>
        </w:rPr>
        <w:t xml:space="preserve"> quarter of 2025 compared to the same quarter of </w:t>
      </w:r>
      <w:r w:rsidR="00F61AB0" w:rsidRPr="00406BD5">
        <w:rPr>
          <w:b/>
          <w:bCs/>
          <w:snapToGrid w:val="0"/>
          <w:sz w:val="26"/>
          <w:szCs w:val="26"/>
        </w:rPr>
        <w:t>2024</w:t>
      </w:r>
      <w:r w:rsidR="005D29AB" w:rsidRPr="00406BD5">
        <w:rPr>
          <w:b/>
          <w:bCs/>
          <w:snapToGrid w:val="0"/>
          <w:sz w:val="26"/>
          <w:szCs w:val="26"/>
        </w:rPr>
        <w:t xml:space="preserve">.  </w:t>
      </w:r>
    </w:p>
    <w:p w:rsidR="007A7707" w:rsidRPr="00406BD5" w:rsidRDefault="00C51C9B" w:rsidP="006B6F02">
      <w:pPr>
        <w:bidi w:val="0"/>
        <w:jc w:val="both"/>
        <w:rPr>
          <w:snapToGrid w:val="0"/>
          <w:sz w:val="26"/>
          <w:szCs w:val="26"/>
        </w:rPr>
      </w:pPr>
      <w:r w:rsidRPr="00406BD5">
        <w:rPr>
          <w:snapToGrid w:val="0"/>
          <w:sz w:val="26"/>
          <w:szCs w:val="26"/>
        </w:rPr>
        <w:t xml:space="preserve">The GDP per </w:t>
      </w:r>
      <w:r w:rsidR="00C81484" w:rsidRPr="00406BD5">
        <w:rPr>
          <w:snapToGrid w:val="0"/>
          <w:sz w:val="26"/>
          <w:szCs w:val="26"/>
        </w:rPr>
        <w:t xml:space="preserve">capita </w:t>
      </w:r>
      <w:r w:rsidRPr="00406BD5">
        <w:rPr>
          <w:snapToGrid w:val="0"/>
          <w:sz w:val="26"/>
          <w:szCs w:val="26"/>
        </w:rPr>
        <w:t xml:space="preserve">in Palestine, at constant prices, reached USD </w:t>
      </w:r>
      <w:r w:rsidR="00834BE8" w:rsidRPr="00406BD5">
        <w:rPr>
          <w:snapToGrid w:val="0"/>
          <w:sz w:val="26"/>
          <w:szCs w:val="26"/>
        </w:rPr>
        <w:t>596</w:t>
      </w:r>
      <w:r w:rsidRPr="00406BD5">
        <w:rPr>
          <w:snapToGrid w:val="0"/>
          <w:sz w:val="26"/>
          <w:szCs w:val="26"/>
        </w:rPr>
        <w:t xml:space="preserve"> in the </w:t>
      </w:r>
      <w:r w:rsidR="006B6F02" w:rsidRPr="00406BD5">
        <w:rPr>
          <w:snapToGrid w:val="0"/>
          <w:sz w:val="26"/>
          <w:szCs w:val="26"/>
        </w:rPr>
        <w:t>4</w:t>
      </w:r>
      <w:r w:rsidR="006B6F02" w:rsidRPr="00406BD5">
        <w:rPr>
          <w:snapToGrid w:val="0"/>
          <w:sz w:val="26"/>
          <w:szCs w:val="26"/>
          <w:vertAlign w:val="superscript"/>
        </w:rPr>
        <w:t>th</w:t>
      </w:r>
      <w:r w:rsidR="006B6F02" w:rsidRPr="00406BD5">
        <w:rPr>
          <w:snapToGrid w:val="0"/>
          <w:sz w:val="26"/>
          <w:szCs w:val="26"/>
        </w:rPr>
        <w:t xml:space="preserve"> </w:t>
      </w:r>
      <w:r w:rsidRPr="00406BD5">
        <w:rPr>
          <w:snapToGrid w:val="0"/>
          <w:sz w:val="26"/>
          <w:szCs w:val="26"/>
        </w:rPr>
        <w:t xml:space="preserve">quarter of 2025. </w:t>
      </w:r>
      <w:r w:rsidR="007A7707" w:rsidRPr="00406BD5">
        <w:rPr>
          <w:snapToGrid w:val="0"/>
          <w:sz w:val="26"/>
          <w:szCs w:val="26"/>
        </w:rPr>
        <w:t xml:space="preserve">Whereas GDP per capita for Palestine recorded an increase </w:t>
      </w:r>
      <w:r w:rsidR="00C81484" w:rsidRPr="00406BD5">
        <w:rPr>
          <w:snapToGrid w:val="0"/>
          <w:sz w:val="26"/>
          <w:szCs w:val="26"/>
        </w:rPr>
        <w:t xml:space="preserve">of </w:t>
      </w:r>
      <w:r w:rsidR="007A7707" w:rsidRPr="00406BD5">
        <w:rPr>
          <w:snapToGrid w:val="0"/>
          <w:sz w:val="26"/>
          <w:szCs w:val="26"/>
        </w:rPr>
        <w:t xml:space="preserve">1% during the </w:t>
      </w:r>
      <w:r w:rsidR="007A7707" w:rsidRPr="00406BD5">
        <w:rPr>
          <w:sz w:val="26"/>
          <w:szCs w:val="26"/>
          <w:lang w:eastAsia="en-US"/>
        </w:rPr>
        <w:t>4</w:t>
      </w:r>
      <w:r w:rsidR="007A7707" w:rsidRPr="00406BD5">
        <w:rPr>
          <w:sz w:val="26"/>
          <w:szCs w:val="26"/>
          <w:vertAlign w:val="superscript"/>
          <w:lang w:eastAsia="en-US"/>
        </w:rPr>
        <w:t>th</w:t>
      </w:r>
      <w:r w:rsidR="007A7707" w:rsidRPr="00406BD5">
        <w:rPr>
          <w:sz w:val="26"/>
          <w:szCs w:val="26"/>
          <w:lang w:eastAsia="en-US"/>
        </w:rPr>
        <w:t xml:space="preserve"> quarter of 2025 compared to the 4</w:t>
      </w:r>
      <w:r w:rsidR="007A7707" w:rsidRPr="00406BD5">
        <w:rPr>
          <w:sz w:val="26"/>
          <w:szCs w:val="26"/>
          <w:vertAlign w:val="superscript"/>
          <w:lang w:eastAsia="en-US"/>
        </w:rPr>
        <w:t>th</w:t>
      </w:r>
      <w:r w:rsidR="007A7707" w:rsidRPr="00406BD5">
        <w:rPr>
          <w:sz w:val="26"/>
          <w:szCs w:val="26"/>
          <w:lang w:eastAsia="en-US"/>
        </w:rPr>
        <w:t xml:space="preserve"> quarter of 2024.</w:t>
      </w:r>
    </w:p>
    <w:p w:rsidR="00794368" w:rsidRPr="00F61AB0" w:rsidRDefault="00794368" w:rsidP="00794368">
      <w:pPr>
        <w:bidi w:val="0"/>
        <w:jc w:val="both"/>
        <w:rPr>
          <w:snapToGrid w:val="0"/>
        </w:rPr>
      </w:pPr>
    </w:p>
    <w:p w:rsidR="00794368" w:rsidRPr="00F61AB0" w:rsidRDefault="00794368" w:rsidP="00794368">
      <w:pPr>
        <w:bidi w:val="0"/>
        <w:jc w:val="both"/>
        <w:rPr>
          <w:snapToGrid w:val="0"/>
        </w:rPr>
      </w:pPr>
    </w:p>
    <w:p w:rsidR="00AF0458" w:rsidRPr="00406BD5" w:rsidRDefault="00F740AE" w:rsidP="00C51C9B">
      <w:pPr>
        <w:pStyle w:val="BodyTextIndent2"/>
        <w:bidi w:val="0"/>
        <w:spacing w:after="0" w:line="240" w:lineRule="atLeast"/>
        <w:ind w:left="0"/>
        <w:jc w:val="center"/>
        <w:rPr>
          <w:b/>
          <w:bCs/>
          <w:sz w:val="26"/>
          <w:szCs w:val="26"/>
        </w:rPr>
      </w:pPr>
      <w:r w:rsidRPr="00406BD5">
        <w:rPr>
          <w:b/>
          <w:bCs/>
          <w:sz w:val="26"/>
          <w:szCs w:val="26"/>
        </w:rPr>
        <w:t xml:space="preserve">GDP by </w:t>
      </w:r>
      <w:r w:rsidR="00C51C9B" w:rsidRPr="00406BD5">
        <w:rPr>
          <w:b/>
          <w:bCs/>
          <w:sz w:val="26"/>
          <w:szCs w:val="26"/>
        </w:rPr>
        <w:t>Q</w:t>
      </w:r>
      <w:r w:rsidRPr="00406BD5">
        <w:rPr>
          <w:b/>
          <w:bCs/>
          <w:sz w:val="26"/>
          <w:szCs w:val="26"/>
        </w:rPr>
        <w:t>uarter in Palesti</w:t>
      </w:r>
      <w:r w:rsidR="00BA5ABA" w:rsidRPr="00406BD5">
        <w:rPr>
          <w:b/>
          <w:bCs/>
          <w:sz w:val="26"/>
          <w:szCs w:val="26"/>
        </w:rPr>
        <w:t xml:space="preserve">ne at Constant Prices, </w:t>
      </w:r>
      <w:r w:rsidR="004469E8" w:rsidRPr="00406BD5">
        <w:rPr>
          <w:b/>
          <w:bCs/>
          <w:sz w:val="26"/>
          <w:szCs w:val="26"/>
        </w:rPr>
        <w:t>202</w:t>
      </w:r>
      <w:r w:rsidR="00D7460E" w:rsidRPr="00406BD5">
        <w:rPr>
          <w:b/>
          <w:bCs/>
          <w:sz w:val="26"/>
          <w:szCs w:val="26"/>
        </w:rPr>
        <w:t>1</w:t>
      </w:r>
      <w:r w:rsidR="00BA5ABA" w:rsidRPr="00406BD5">
        <w:rPr>
          <w:b/>
          <w:bCs/>
          <w:sz w:val="26"/>
          <w:szCs w:val="26"/>
        </w:rPr>
        <w:t>-</w:t>
      </w:r>
      <w:r w:rsidR="00794368" w:rsidRPr="00406BD5">
        <w:rPr>
          <w:b/>
          <w:bCs/>
          <w:sz w:val="26"/>
          <w:szCs w:val="26"/>
        </w:rPr>
        <w:t>2025</w:t>
      </w:r>
    </w:p>
    <w:p w:rsidR="00F740AE" w:rsidRPr="00F61AB0" w:rsidRDefault="00F740AE" w:rsidP="006F435D">
      <w:pPr>
        <w:pStyle w:val="BodyTextIndent2"/>
        <w:rPr>
          <w:b/>
          <w:bCs/>
        </w:rPr>
      </w:pPr>
      <w:r w:rsidRPr="00F61AB0">
        <w:rPr>
          <w:rFonts w:hint="cs"/>
          <w:b/>
          <w:bCs/>
          <w:noProof/>
          <w:rtl/>
          <w:lang w:eastAsia="en-US"/>
        </w:rPr>
        <w:drawing>
          <wp:inline distT="0" distB="0" distL="0" distR="0">
            <wp:extent cx="5510254" cy="2171700"/>
            <wp:effectExtent l="0" t="0" r="14605" b="0"/>
            <wp:docPr id="7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F740AE" w:rsidRPr="00F61AB0" w:rsidRDefault="00F740AE" w:rsidP="00F740AE">
      <w:pPr>
        <w:pStyle w:val="BodyText3"/>
        <w:ind w:right="358"/>
        <w:rPr>
          <w:rFonts w:ascii="Times New Roman" w:cs="Times New Roman"/>
          <w:sz w:val="16"/>
          <w:szCs w:val="16"/>
        </w:rPr>
      </w:pPr>
    </w:p>
    <w:p w:rsidR="004B6C58" w:rsidRPr="00F61AB0" w:rsidRDefault="004B6C58" w:rsidP="004B6C58">
      <w:pPr>
        <w:pStyle w:val="BodyText3"/>
        <w:ind w:left="358" w:right="358"/>
        <w:rPr>
          <w:rFonts w:ascii="Times New Roman" w:cs="Times New Roman"/>
          <w:sz w:val="24"/>
          <w:szCs w:val="24"/>
        </w:rPr>
      </w:pPr>
    </w:p>
    <w:p w:rsidR="00212081" w:rsidRPr="00F61AB0" w:rsidRDefault="00212081" w:rsidP="00212081">
      <w:pPr>
        <w:pStyle w:val="BodyText3"/>
        <w:ind w:right="358"/>
        <w:rPr>
          <w:rFonts w:ascii="Times New Roman" w:cs="Times New Roman"/>
          <w:sz w:val="16"/>
          <w:szCs w:val="16"/>
        </w:rPr>
      </w:pPr>
    </w:p>
    <w:p w:rsidR="00BD3575" w:rsidRPr="00F61AB0" w:rsidRDefault="00BD3575" w:rsidP="00A64BAB">
      <w:pPr>
        <w:bidi w:val="0"/>
        <w:spacing w:after="200" w:line="276" w:lineRule="auto"/>
        <w:rPr>
          <w:rFonts w:hAnsi="Verdana"/>
          <w:noProof/>
        </w:rPr>
      </w:pPr>
      <w:bookmarkStart w:id="0" w:name="_GoBack"/>
      <w:bookmarkEnd w:id="0"/>
    </w:p>
    <w:sectPr w:rsidR="00BD3575" w:rsidRPr="00F61AB0" w:rsidSect="00D929CD">
      <w:headerReference w:type="even" r:id="rId9"/>
      <w:footerReference w:type="default" r:id="rId10"/>
      <w:pgSz w:w="11906" w:h="16838" w:code="9"/>
      <w:pgMar w:top="1418" w:right="1418" w:bottom="993" w:left="1418" w:header="709" w:footer="709" w:gutter="0"/>
      <w:pgNumType w:start="7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6597" w:rsidRDefault="00556597" w:rsidP="00212081">
      <w:r>
        <w:separator/>
      </w:r>
    </w:p>
  </w:endnote>
  <w:endnote w:type="continuationSeparator" w:id="0">
    <w:p w:rsidR="00556597" w:rsidRDefault="00556597" w:rsidP="00212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6509" w:rsidRDefault="0066506E" w:rsidP="00DD0252">
    <w:pPr>
      <w:pStyle w:val="Footer"/>
      <w:framePr w:wrap="around" w:vAnchor="text" w:hAnchor="text" w:xAlign="center" w:y="1"/>
      <w:bidi w:val="0"/>
    </w:pPr>
    <w:r w:rsidRPr="0066506E">
      <w:rPr>
        <w:rStyle w:val="PageNumber"/>
      </w:rPr>
      <w:t xml:space="preserve"> </w:t>
    </w:r>
    <w:r w:rsidR="00B15142">
      <w:rPr>
        <w:rStyle w:val="PageNumber"/>
      </w:rPr>
      <w:t>[</w:t>
    </w:r>
    <w:r w:rsidR="00CE7962">
      <w:rPr>
        <w:rStyle w:val="PageNumber"/>
        <w:rtl/>
      </w:rPr>
      <w:fldChar w:fldCharType="begin"/>
    </w:r>
    <w:r w:rsidR="00B15142">
      <w:rPr>
        <w:rStyle w:val="PageNumber"/>
      </w:rPr>
      <w:instrText xml:space="preserve">PAGE  </w:instrText>
    </w:r>
    <w:r w:rsidR="00CE7962">
      <w:rPr>
        <w:rStyle w:val="PageNumber"/>
        <w:rtl/>
      </w:rPr>
      <w:fldChar w:fldCharType="separate"/>
    </w:r>
    <w:r w:rsidR="00406BD5">
      <w:rPr>
        <w:rStyle w:val="PageNumber"/>
      </w:rPr>
      <w:t>7</w:t>
    </w:r>
    <w:r w:rsidR="00CE7962">
      <w:rPr>
        <w:rStyle w:val="PageNumber"/>
        <w:rtl/>
      </w:rPr>
      <w:fldChar w:fldCharType="end"/>
    </w:r>
    <w:r w:rsidR="00B15142">
      <w:rPr>
        <w:rStyle w:val="PageNumber"/>
      </w:rPr>
      <w:t>]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6597" w:rsidRDefault="00556597" w:rsidP="00212081">
      <w:r>
        <w:separator/>
      </w:r>
    </w:p>
  </w:footnote>
  <w:footnote w:type="continuationSeparator" w:id="0">
    <w:p w:rsidR="00556597" w:rsidRDefault="00556597" w:rsidP="00212081">
      <w:r>
        <w:continuationSeparator/>
      </w:r>
    </w:p>
  </w:footnote>
  <w:footnote w:id="1">
    <w:p w:rsidR="00F740AE" w:rsidRDefault="00F740AE" w:rsidP="00B91FE4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B91FE4">
        <w:rPr>
          <w:rFonts w:cs="Times New Roman"/>
          <w:snapToGrid w:val="0"/>
          <w:szCs w:val="20"/>
        </w:rPr>
        <w:t>D</w:t>
      </w:r>
      <w:r w:rsidRPr="00E13A50">
        <w:rPr>
          <w:rFonts w:cs="Times New Roman"/>
          <w:snapToGrid w:val="0"/>
          <w:szCs w:val="20"/>
        </w:rPr>
        <w:t xml:space="preserve">ata exclude those parts of Jerusalem which were annexed </w:t>
      </w:r>
      <w:r w:rsidRPr="00E13A50">
        <w:rPr>
          <w:rFonts w:cs="Times New Roman"/>
          <w:szCs w:val="20"/>
          <w:lang w:eastAsia="en-US"/>
        </w:rPr>
        <w:t>by</w:t>
      </w:r>
      <w:r w:rsidRPr="00E13A50">
        <w:rPr>
          <w:rFonts w:cs="Times New Roman"/>
          <w:snapToGrid w:val="0"/>
          <w:szCs w:val="20"/>
        </w:rPr>
        <w:t xml:space="preserve"> Israeli Occupation </w:t>
      </w:r>
      <w:r w:rsidRPr="00E13A50">
        <w:rPr>
          <w:rFonts w:cs="Times New Roman"/>
          <w:szCs w:val="20"/>
          <w:lang w:eastAsia="en-US"/>
        </w:rPr>
        <w:t>in 1967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6509" w:rsidRDefault="00556597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140755"/>
    <w:multiLevelType w:val="hybridMultilevel"/>
    <w:tmpl w:val="BA725DA2"/>
    <w:lvl w:ilvl="0" w:tplc="91BC71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C867B2"/>
    <w:multiLevelType w:val="hybridMultilevel"/>
    <w:tmpl w:val="1E5C0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CD74F3"/>
    <w:multiLevelType w:val="hybridMultilevel"/>
    <w:tmpl w:val="E75C535E"/>
    <w:lvl w:ilvl="0" w:tplc="B2D4E8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275D36"/>
    <w:multiLevelType w:val="hybridMultilevel"/>
    <w:tmpl w:val="6DC0FD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1C64EB"/>
    <w:multiLevelType w:val="hybridMultilevel"/>
    <w:tmpl w:val="D338BDAE"/>
    <w:lvl w:ilvl="0" w:tplc="D74C23E6">
      <w:start w:val="4"/>
      <w:numFmt w:val="bullet"/>
      <w:lvlText w:val="-"/>
      <w:lvlJc w:val="left"/>
      <w:pPr>
        <w:tabs>
          <w:tab w:val="num" w:pos="358"/>
        </w:tabs>
        <w:ind w:left="358" w:right="358" w:hanging="360"/>
      </w:pPr>
      <w:rPr>
        <w:rFonts w:ascii="Times New Roman" w:eastAsia="Times New Roman" w:hAnsi="Times New Roman" w:cs="Simplified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2081"/>
    <w:rsid w:val="00001867"/>
    <w:rsid w:val="00004729"/>
    <w:rsid w:val="00004E10"/>
    <w:rsid w:val="000053F7"/>
    <w:rsid w:val="000064BA"/>
    <w:rsid w:val="00006590"/>
    <w:rsid w:val="00007A6D"/>
    <w:rsid w:val="00010E1A"/>
    <w:rsid w:val="00010F30"/>
    <w:rsid w:val="00012024"/>
    <w:rsid w:val="00012D79"/>
    <w:rsid w:val="00014250"/>
    <w:rsid w:val="00014AD2"/>
    <w:rsid w:val="00015818"/>
    <w:rsid w:val="000159BA"/>
    <w:rsid w:val="0001767C"/>
    <w:rsid w:val="0002057C"/>
    <w:rsid w:val="00020C1C"/>
    <w:rsid w:val="0002273D"/>
    <w:rsid w:val="000232A6"/>
    <w:rsid w:val="000250E7"/>
    <w:rsid w:val="00026272"/>
    <w:rsid w:val="00030FED"/>
    <w:rsid w:val="00032239"/>
    <w:rsid w:val="000332C5"/>
    <w:rsid w:val="000337B1"/>
    <w:rsid w:val="0003594B"/>
    <w:rsid w:val="00036896"/>
    <w:rsid w:val="00036EC6"/>
    <w:rsid w:val="00037915"/>
    <w:rsid w:val="000406FA"/>
    <w:rsid w:val="000438D1"/>
    <w:rsid w:val="0004429E"/>
    <w:rsid w:val="00044396"/>
    <w:rsid w:val="00044436"/>
    <w:rsid w:val="00044579"/>
    <w:rsid w:val="000451BA"/>
    <w:rsid w:val="00046002"/>
    <w:rsid w:val="00052168"/>
    <w:rsid w:val="00052383"/>
    <w:rsid w:val="00052826"/>
    <w:rsid w:val="00052A00"/>
    <w:rsid w:val="00052D60"/>
    <w:rsid w:val="0005306E"/>
    <w:rsid w:val="00054746"/>
    <w:rsid w:val="00054BE8"/>
    <w:rsid w:val="00056A49"/>
    <w:rsid w:val="00057E4E"/>
    <w:rsid w:val="00061B8F"/>
    <w:rsid w:val="00061C91"/>
    <w:rsid w:val="0006660F"/>
    <w:rsid w:val="00066C0D"/>
    <w:rsid w:val="000711DC"/>
    <w:rsid w:val="00071EE4"/>
    <w:rsid w:val="000734F6"/>
    <w:rsid w:val="000739A5"/>
    <w:rsid w:val="00074CD1"/>
    <w:rsid w:val="00074E17"/>
    <w:rsid w:val="0007646D"/>
    <w:rsid w:val="00076A0E"/>
    <w:rsid w:val="000774C7"/>
    <w:rsid w:val="00080C7B"/>
    <w:rsid w:val="00081357"/>
    <w:rsid w:val="00081BFE"/>
    <w:rsid w:val="00082590"/>
    <w:rsid w:val="00083D10"/>
    <w:rsid w:val="000920A6"/>
    <w:rsid w:val="00093AE7"/>
    <w:rsid w:val="00093B77"/>
    <w:rsid w:val="0009640F"/>
    <w:rsid w:val="00097D60"/>
    <w:rsid w:val="000A1F74"/>
    <w:rsid w:val="000A27D4"/>
    <w:rsid w:val="000A358E"/>
    <w:rsid w:val="000A46B4"/>
    <w:rsid w:val="000A6CB0"/>
    <w:rsid w:val="000A7637"/>
    <w:rsid w:val="000A78D3"/>
    <w:rsid w:val="000B336B"/>
    <w:rsid w:val="000B35D1"/>
    <w:rsid w:val="000B5C72"/>
    <w:rsid w:val="000B6CBA"/>
    <w:rsid w:val="000C0838"/>
    <w:rsid w:val="000C1108"/>
    <w:rsid w:val="000C1C05"/>
    <w:rsid w:val="000C2A54"/>
    <w:rsid w:val="000C39C7"/>
    <w:rsid w:val="000C4243"/>
    <w:rsid w:val="000C5808"/>
    <w:rsid w:val="000C5B00"/>
    <w:rsid w:val="000C7BC2"/>
    <w:rsid w:val="000D023D"/>
    <w:rsid w:val="000D6997"/>
    <w:rsid w:val="000E0723"/>
    <w:rsid w:val="000E0CED"/>
    <w:rsid w:val="000E125A"/>
    <w:rsid w:val="000E233B"/>
    <w:rsid w:val="000E41C8"/>
    <w:rsid w:val="000E41DC"/>
    <w:rsid w:val="000E7DBB"/>
    <w:rsid w:val="000F0131"/>
    <w:rsid w:val="000F1803"/>
    <w:rsid w:val="000F1B8E"/>
    <w:rsid w:val="000F210C"/>
    <w:rsid w:val="000F2A6E"/>
    <w:rsid w:val="000F35D0"/>
    <w:rsid w:val="000F3770"/>
    <w:rsid w:val="000F4D70"/>
    <w:rsid w:val="000F5794"/>
    <w:rsid w:val="000F63A2"/>
    <w:rsid w:val="000F72AE"/>
    <w:rsid w:val="00101D28"/>
    <w:rsid w:val="00102933"/>
    <w:rsid w:val="00102FB8"/>
    <w:rsid w:val="00103668"/>
    <w:rsid w:val="00103B15"/>
    <w:rsid w:val="001046D7"/>
    <w:rsid w:val="00105C22"/>
    <w:rsid w:val="001065F4"/>
    <w:rsid w:val="0011005C"/>
    <w:rsid w:val="00112607"/>
    <w:rsid w:val="00113CA0"/>
    <w:rsid w:val="001149C3"/>
    <w:rsid w:val="00114BE9"/>
    <w:rsid w:val="00114DE9"/>
    <w:rsid w:val="00114EE2"/>
    <w:rsid w:val="001164E1"/>
    <w:rsid w:val="0011758A"/>
    <w:rsid w:val="00117CBA"/>
    <w:rsid w:val="00122146"/>
    <w:rsid w:val="00122C68"/>
    <w:rsid w:val="00123A69"/>
    <w:rsid w:val="0012502D"/>
    <w:rsid w:val="0012717A"/>
    <w:rsid w:val="001277B1"/>
    <w:rsid w:val="001302BA"/>
    <w:rsid w:val="00131F39"/>
    <w:rsid w:val="00131FC0"/>
    <w:rsid w:val="0013326A"/>
    <w:rsid w:val="0013360D"/>
    <w:rsid w:val="00133A50"/>
    <w:rsid w:val="00133E08"/>
    <w:rsid w:val="001345D6"/>
    <w:rsid w:val="00134DF4"/>
    <w:rsid w:val="001356BC"/>
    <w:rsid w:val="0013739C"/>
    <w:rsid w:val="00137BD4"/>
    <w:rsid w:val="00140082"/>
    <w:rsid w:val="00140996"/>
    <w:rsid w:val="00141780"/>
    <w:rsid w:val="001417A5"/>
    <w:rsid w:val="0014239E"/>
    <w:rsid w:val="00143DBF"/>
    <w:rsid w:val="00145387"/>
    <w:rsid w:val="00145B90"/>
    <w:rsid w:val="0015196D"/>
    <w:rsid w:val="001519A4"/>
    <w:rsid w:val="001524E2"/>
    <w:rsid w:val="00152D3A"/>
    <w:rsid w:val="00154A69"/>
    <w:rsid w:val="001552D9"/>
    <w:rsid w:val="00163488"/>
    <w:rsid w:val="00163EF0"/>
    <w:rsid w:val="00164390"/>
    <w:rsid w:val="001647CF"/>
    <w:rsid w:val="00167F9C"/>
    <w:rsid w:val="00172592"/>
    <w:rsid w:val="00174C52"/>
    <w:rsid w:val="0017555A"/>
    <w:rsid w:val="00175AEB"/>
    <w:rsid w:val="001767CC"/>
    <w:rsid w:val="0018008D"/>
    <w:rsid w:val="00181820"/>
    <w:rsid w:val="001829AF"/>
    <w:rsid w:val="00184122"/>
    <w:rsid w:val="00184422"/>
    <w:rsid w:val="001869E0"/>
    <w:rsid w:val="00186E78"/>
    <w:rsid w:val="00191964"/>
    <w:rsid w:val="00192D5D"/>
    <w:rsid w:val="00195B58"/>
    <w:rsid w:val="00196D33"/>
    <w:rsid w:val="001A0B0C"/>
    <w:rsid w:val="001A1153"/>
    <w:rsid w:val="001A1187"/>
    <w:rsid w:val="001A2A32"/>
    <w:rsid w:val="001A7928"/>
    <w:rsid w:val="001B2B15"/>
    <w:rsid w:val="001B30E7"/>
    <w:rsid w:val="001B5387"/>
    <w:rsid w:val="001B7E8D"/>
    <w:rsid w:val="001C1B4B"/>
    <w:rsid w:val="001C477B"/>
    <w:rsid w:val="001C55C7"/>
    <w:rsid w:val="001C631A"/>
    <w:rsid w:val="001C68C7"/>
    <w:rsid w:val="001D000E"/>
    <w:rsid w:val="001D0427"/>
    <w:rsid w:val="001D0C5A"/>
    <w:rsid w:val="001D2019"/>
    <w:rsid w:val="001D4139"/>
    <w:rsid w:val="001D4E08"/>
    <w:rsid w:val="001D4F49"/>
    <w:rsid w:val="001D63E6"/>
    <w:rsid w:val="001D71F5"/>
    <w:rsid w:val="001D7CE5"/>
    <w:rsid w:val="001E127C"/>
    <w:rsid w:val="001E3E59"/>
    <w:rsid w:val="001E71C3"/>
    <w:rsid w:val="001E76B7"/>
    <w:rsid w:val="001F026D"/>
    <w:rsid w:val="001F22B4"/>
    <w:rsid w:val="001F4B56"/>
    <w:rsid w:val="001F4D47"/>
    <w:rsid w:val="001F4F1D"/>
    <w:rsid w:val="001F5478"/>
    <w:rsid w:val="001F5E31"/>
    <w:rsid w:val="001F6FA8"/>
    <w:rsid w:val="001F6FF1"/>
    <w:rsid w:val="002004F2"/>
    <w:rsid w:val="00200A2C"/>
    <w:rsid w:val="002011E2"/>
    <w:rsid w:val="002052E4"/>
    <w:rsid w:val="00205B60"/>
    <w:rsid w:val="00206903"/>
    <w:rsid w:val="00207467"/>
    <w:rsid w:val="002074E9"/>
    <w:rsid w:val="00207CB5"/>
    <w:rsid w:val="00210D54"/>
    <w:rsid w:val="00210ED2"/>
    <w:rsid w:val="00211A76"/>
    <w:rsid w:val="00212081"/>
    <w:rsid w:val="0021349B"/>
    <w:rsid w:val="00213C78"/>
    <w:rsid w:val="0021433F"/>
    <w:rsid w:val="00214F38"/>
    <w:rsid w:val="002164EC"/>
    <w:rsid w:val="00223824"/>
    <w:rsid w:val="00224944"/>
    <w:rsid w:val="00225C3D"/>
    <w:rsid w:val="002302EF"/>
    <w:rsid w:val="00230E8C"/>
    <w:rsid w:val="00230EA5"/>
    <w:rsid w:val="0023342E"/>
    <w:rsid w:val="002341E7"/>
    <w:rsid w:val="00234A09"/>
    <w:rsid w:val="0024048B"/>
    <w:rsid w:val="00240F16"/>
    <w:rsid w:val="00242473"/>
    <w:rsid w:val="00242BA3"/>
    <w:rsid w:val="00243996"/>
    <w:rsid w:val="0024458B"/>
    <w:rsid w:val="00247487"/>
    <w:rsid w:val="00252F80"/>
    <w:rsid w:val="00253CB3"/>
    <w:rsid w:val="00257518"/>
    <w:rsid w:val="00257AD4"/>
    <w:rsid w:val="00257BFA"/>
    <w:rsid w:val="0026011E"/>
    <w:rsid w:val="00260FE4"/>
    <w:rsid w:val="0026154C"/>
    <w:rsid w:val="002661BA"/>
    <w:rsid w:val="00266298"/>
    <w:rsid w:val="0026663C"/>
    <w:rsid w:val="00267446"/>
    <w:rsid w:val="00272045"/>
    <w:rsid w:val="00274848"/>
    <w:rsid w:val="0027558F"/>
    <w:rsid w:val="00276893"/>
    <w:rsid w:val="00276970"/>
    <w:rsid w:val="00280939"/>
    <w:rsid w:val="00281A9F"/>
    <w:rsid w:val="00281C60"/>
    <w:rsid w:val="00281E6A"/>
    <w:rsid w:val="0028735F"/>
    <w:rsid w:val="00287536"/>
    <w:rsid w:val="00287734"/>
    <w:rsid w:val="00291076"/>
    <w:rsid w:val="00291231"/>
    <w:rsid w:val="0029292A"/>
    <w:rsid w:val="0029304A"/>
    <w:rsid w:val="002946C3"/>
    <w:rsid w:val="0029597F"/>
    <w:rsid w:val="002959A3"/>
    <w:rsid w:val="00297A8D"/>
    <w:rsid w:val="002A3C77"/>
    <w:rsid w:val="002A3CD8"/>
    <w:rsid w:val="002A4133"/>
    <w:rsid w:val="002A4974"/>
    <w:rsid w:val="002A5114"/>
    <w:rsid w:val="002A6211"/>
    <w:rsid w:val="002A7DD9"/>
    <w:rsid w:val="002B0BA9"/>
    <w:rsid w:val="002B0CF0"/>
    <w:rsid w:val="002B312D"/>
    <w:rsid w:val="002B50A6"/>
    <w:rsid w:val="002B6292"/>
    <w:rsid w:val="002B658A"/>
    <w:rsid w:val="002B7F3C"/>
    <w:rsid w:val="002C4B3B"/>
    <w:rsid w:val="002C5A81"/>
    <w:rsid w:val="002C5F1F"/>
    <w:rsid w:val="002D1353"/>
    <w:rsid w:val="002D1965"/>
    <w:rsid w:val="002D2776"/>
    <w:rsid w:val="002D27EF"/>
    <w:rsid w:val="002D7B98"/>
    <w:rsid w:val="002E2B34"/>
    <w:rsid w:val="002E34B0"/>
    <w:rsid w:val="002E6204"/>
    <w:rsid w:val="002E77FB"/>
    <w:rsid w:val="002F2544"/>
    <w:rsid w:val="002F3D83"/>
    <w:rsid w:val="002F4AE5"/>
    <w:rsid w:val="002F5DF0"/>
    <w:rsid w:val="002F6959"/>
    <w:rsid w:val="002F747B"/>
    <w:rsid w:val="00304298"/>
    <w:rsid w:val="00305A5C"/>
    <w:rsid w:val="00307EBD"/>
    <w:rsid w:val="003105B1"/>
    <w:rsid w:val="00312120"/>
    <w:rsid w:val="00312B25"/>
    <w:rsid w:val="00312FB4"/>
    <w:rsid w:val="0031373F"/>
    <w:rsid w:val="003143EA"/>
    <w:rsid w:val="00316988"/>
    <w:rsid w:val="003178C2"/>
    <w:rsid w:val="0031796B"/>
    <w:rsid w:val="00317C13"/>
    <w:rsid w:val="003207F5"/>
    <w:rsid w:val="00322B77"/>
    <w:rsid w:val="00324223"/>
    <w:rsid w:val="00324EAD"/>
    <w:rsid w:val="00325F41"/>
    <w:rsid w:val="00326007"/>
    <w:rsid w:val="00326E9B"/>
    <w:rsid w:val="003277EA"/>
    <w:rsid w:val="0033206D"/>
    <w:rsid w:val="003331AE"/>
    <w:rsid w:val="003341C4"/>
    <w:rsid w:val="00336BD1"/>
    <w:rsid w:val="0034154C"/>
    <w:rsid w:val="0034248C"/>
    <w:rsid w:val="0034288D"/>
    <w:rsid w:val="00342FBA"/>
    <w:rsid w:val="00343F45"/>
    <w:rsid w:val="00344039"/>
    <w:rsid w:val="00344B3B"/>
    <w:rsid w:val="0034693D"/>
    <w:rsid w:val="00347E54"/>
    <w:rsid w:val="00350E2D"/>
    <w:rsid w:val="0035141F"/>
    <w:rsid w:val="00353338"/>
    <w:rsid w:val="00354515"/>
    <w:rsid w:val="0035567D"/>
    <w:rsid w:val="0035600E"/>
    <w:rsid w:val="00357551"/>
    <w:rsid w:val="00357AFA"/>
    <w:rsid w:val="00360DF0"/>
    <w:rsid w:val="00360DF8"/>
    <w:rsid w:val="00360F35"/>
    <w:rsid w:val="00361C41"/>
    <w:rsid w:val="00363DAE"/>
    <w:rsid w:val="00364650"/>
    <w:rsid w:val="00366438"/>
    <w:rsid w:val="003671C3"/>
    <w:rsid w:val="003672C5"/>
    <w:rsid w:val="003714A8"/>
    <w:rsid w:val="00372A2C"/>
    <w:rsid w:val="00381FB5"/>
    <w:rsid w:val="0038349E"/>
    <w:rsid w:val="00383E5F"/>
    <w:rsid w:val="003852E0"/>
    <w:rsid w:val="003865E1"/>
    <w:rsid w:val="00391D2F"/>
    <w:rsid w:val="00392E24"/>
    <w:rsid w:val="0039494A"/>
    <w:rsid w:val="00394F68"/>
    <w:rsid w:val="00395B3D"/>
    <w:rsid w:val="003A0385"/>
    <w:rsid w:val="003A0C87"/>
    <w:rsid w:val="003A173B"/>
    <w:rsid w:val="003A4237"/>
    <w:rsid w:val="003A7640"/>
    <w:rsid w:val="003B0CE7"/>
    <w:rsid w:val="003B1965"/>
    <w:rsid w:val="003B60AE"/>
    <w:rsid w:val="003B65F9"/>
    <w:rsid w:val="003B693C"/>
    <w:rsid w:val="003B7ACC"/>
    <w:rsid w:val="003C2E8D"/>
    <w:rsid w:val="003C4045"/>
    <w:rsid w:val="003C6BF7"/>
    <w:rsid w:val="003C6D63"/>
    <w:rsid w:val="003C6FEC"/>
    <w:rsid w:val="003C7F85"/>
    <w:rsid w:val="003D3046"/>
    <w:rsid w:val="003D34FF"/>
    <w:rsid w:val="003D4196"/>
    <w:rsid w:val="003D4277"/>
    <w:rsid w:val="003D42FA"/>
    <w:rsid w:val="003D46C9"/>
    <w:rsid w:val="003D582B"/>
    <w:rsid w:val="003D5BDE"/>
    <w:rsid w:val="003D6E51"/>
    <w:rsid w:val="003D7B72"/>
    <w:rsid w:val="003E339A"/>
    <w:rsid w:val="003F18B2"/>
    <w:rsid w:val="003F402C"/>
    <w:rsid w:val="003F4E1A"/>
    <w:rsid w:val="003F5314"/>
    <w:rsid w:val="003F597D"/>
    <w:rsid w:val="003F6016"/>
    <w:rsid w:val="00400208"/>
    <w:rsid w:val="00401BC6"/>
    <w:rsid w:val="00401C82"/>
    <w:rsid w:val="00402C3F"/>
    <w:rsid w:val="004035A4"/>
    <w:rsid w:val="004049BF"/>
    <w:rsid w:val="00404C65"/>
    <w:rsid w:val="00405081"/>
    <w:rsid w:val="0040627E"/>
    <w:rsid w:val="0040650A"/>
    <w:rsid w:val="00406BD5"/>
    <w:rsid w:val="004110BC"/>
    <w:rsid w:val="004116C8"/>
    <w:rsid w:val="0041209C"/>
    <w:rsid w:val="00412D51"/>
    <w:rsid w:val="00414BAF"/>
    <w:rsid w:val="00415920"/>
    <w:rsid w:val="00416258"/>
    <w:rsid w:val="004175C7"/>
    <w:rsid w:val="0042006C"/>
    <w:rsid w:val="00420BD3"/>
    <w:rsid w:val="00420CB4"/>
    <w:rsid w:val="00422047"/>
    <w:rsid w:val="0042297D"/>
    <w:rsid w:val="00422E59"/>
    <w:rsid w:val="00425403"/>
    <w:rsid w:val="004256DC"/>
    <w:rsid w:val="00425C0A"/>
    <w:rsid w:val="0042654C"/>
    <w:rsid w:val="00427BC1"/>
    <w:rsid w:val="00430DBA"/>
    <w:rsid w:val="00431384"/>
    <w:rsid w:val="00434114"/>
    <w:rsid w:val="004343D2"/>
    <w:rsid w:val="00435550"/>
    <w:rsid w:val="00435F3D"/>
    <w:rsid w:val="00437854"/>
    <w:rsid w:val="00442A7E"/>
    <w:rsid w:val="0044325F"/>
    <w:rsid w:val="00443C3D"/>
    <w:rsid w:val="00443E01"/>
    <w:rsid w:val="00445EC7"/>
    <w:rsid w:val="004462D4"/>
    <w:rsid w:val="004469E8"/>
    <w:rsid w:val="00446F80"/>
    <w:rsid w:val="004502F0"/>
    <w:rsid w:val="004511AB"/>
    <w:rsid w:val="00453162"/>
    <w:rsid w:val="00453A6F"/>
    <w:rsid w:val="00454240"/>
    <w:rsid w:val="00455168"/>
    <w:rsid w:val="004551D2"/>
    <w:rsid w:val="004561E8"/>
    <w:rsid w:val="0045703B"/>
    <w:rsid w:val="004572AA"/>
    <w:rsid w:val="00462D73"/>
    <w:rsid w:val="00463ED5"/>
    <w:rsid w:val="004643F3"/>
    <w:rsid w:val="004657A3"/>
    <w:rsid w:val="00466613"/>
    <w:rsid w:val="0046743D"/>
    <w:rsid w:val="00470287"/>
    <w:rsid w:val="00470C4B"/>
    <w:rsid w:val="00471817"/>
    <w:rsid w:val="00472900"/>
    <w:rsid w:val="00473222"/>
    <w:rsid w:val="00473874"/>
    <w:rsid w:val="00474538"/>
    <w:rsid w:val="00481872"/>
    <w:rsid w:val="00483063"/>
    <w:rsid w:val="0048366F"/>
    <w:rsid w:val="0048512B"/>
    <w:rsid w:val="00486DAA"/>
    <w:rsid w:val="0049202F"/>
    <w:rsid w:val="00492679"/>
    <w:rsid w:val="00493776"/>
    <w:rsid w:val="00494EE3"/>
    <w:rsid w:val="00497165"/>
    <w:rsid w:val="004978FF"/>
    <w:rsid w:val="004A05A0"/>
    <w:rsid w:val="004A2BF5"/>
    <w:rsid w:val="004A30FE"/>
    <w:rsid w:val="004A3605"/>
    <w:rsid w:val="004A3A68"/>
    <w:rsid w:val="004A68D5"/>
    <w:rsid w:val="004B138D"/>
    <w:rsid w:val="004B28FF"/>
    <w:rsid w:val="004B32B6"/>
    <w:rsid w:val="004B495E"/>
    <w:rsid w:val="004B5564"/>
    <w:rsid w:val="004B5B89"/>
    <w:rsid w:val="004B6C58"/>
    <w:rsid w:val="004B7FB0"/>
    <w:rsid w:val="004C0382"/>
    <w:rsid w:val="004C261F"/>
    <w:rsid w:val="004C26C4"/>
    <w:rsid w:val="004C282E"/>
    <w:rsid w:val="004C2DF2"/>
    <w:rsid w:val="004C4AA2"/>
    <w:rsid w:val="004C5BC2"/>
    <w:rsid w:val="004C60DD"/>
    <w:rsid w:val="004C61A4"/>
    <w:rsid w:val="004C6C06"/>
    <w:rsid w:val="004C795F"/>
    <w:rsid w:val="004D238C"/>
    <w:rsid w:val="004D50D9"/>
    <w:rsid w:val="004D6DDF"/>
    <w:rsid w:val="004D7322"/>
    <w:rsid w:val="004E0999"/>
    <w:rsid w:val="004E0B87"/>
    <w:rsid w:val="004E1335"/>
    <w:rsid w:val="004E1D98"/>
    <w:rsid w:val="004E1E17"/>
    <w:rsid w:val="004E21F7"/>
    <w:rsid w:val="004E2B1A"/>
    <w:rsid w:val="004E3480"/>
    <w:rsid w:val="004E3AD7"/>
    <w:rsid w:val="004E4BA7"/>
    <w:rsid w:val="004E52F1"/>
    <w:rsid w:val="004E631B"/>
    <w:rsid w:val="004E65F7"/>
    <w:rsid w:val="004E6E89"/>
    <w:rsid w:val="004F0C27"/>
    <w:rsid w:val="004F1497"/>
    <w:rsid w:val="004F3845"/>
    <w:rsid w:val="004F437A"/>
    <w:rsid w:val="004F496D"/>
    <w:rsid w:val="004F56E0"/>
    <w:rsid w:val="004F6321"/>
    <w:rsid w:val="0050247E"/>
    <w:rsid w:val="005025D1"/>
    <w:rsid w:val="005026B3"/>
    <w:rsid w:val="00504322"/>
    <w:rsid w:val="005060F4"/>
    <w:rsid w:val="00511A29"/>
    <w:rsid w:val="0051357F"/>
    <w:rsid w:val="005141DF"/>
    <w:rsid w:val="005172DB"/>
    <w:rsid w:val="00527B47"/>
    <w:rsid w:val="00527B9A"/>
    <w:rsid w:val="00527CC8"/>
    <w:rsid w:val="0053112B"/>
    <w:rsid w:val="00531850"/>
    <w:rsid w:val="00536A5D"/>
    <w:rsid w:val="00537EA0"/>
    <w:rsid w:val="00540249"/>
    <w:rsid w:val="005408E3"/>
    <w:rsid w:val="0054282F"/>
    <w:rsid w:val="00542949"/>
    <w:rsid w:val="00542E33"/>
    <w:rsid w:val="0054424D"/>
    <w:rsid w:val="00545ABE"/>
    <w:rsid w:val="00546B66"/>
    <w:rsid w:val="00547A86"/>
    <w:rsid w:val="0055197D"/>
    <w:rsid w:val="005528E7"/>
    <w:rsid w:val="00552F28"/>
    <w:rsid w:val="00553BCC"/>
    <w:rsid w:val="00554224"/>
    <w:rsid w:val="0055451E"/>
    <w:rsid w:val="00555072"/>
    <w:rsid w:val="005554A0"/>
    <w:rsid w:val="00556597"/>
    <w:rsid w:val="00557268"/>
    <w:rsid w:val="00563F11"/>
    <w:rsid w:val="00564A0E"/>
    <w:rsid w:val="0056691F"/>
    <w:rsid w:val="0056752B"/>
    <w:rsid w:val="0056763C"/>
    <w:rsid w:val="00572CAB"/>
    <w:rsid w:val="005749BE"/>
    <w:rsid w:val="00574C0F"/>
    <w:rsid w:val="00575F9A"/>
    <w:rsid w:val="00580064"/>
    <w:rsid w:val="00581E9E"/>
    <w:rsid w:val="00581F37"/>
    <w:rsid w:val="0058252F"/>
    <w:rsid w:val="005854AC"/>
    <w:rsid w:val="005862BA"/>
    <w:rsid w:val="00592164"/>
    <w:rsid w:val="0059277F"/>
    <w:rsid w:val="005927BD"/>
    <w:rsid w:val="00593BB2"/>
    <w:rsid w:val="00594696"/>
    <w:rsid w:val="005946F6"/>
    <w:rsid w:val="00594C94"/>
    <w:rsid w:val="00595A2E"/>
    <w:rsid w:val="005963AE"/>
    <w:rsid w:val="005A03A0"/>
    <w:rsid w:val="005A1229"/>
    <w:rsid w:val="005A3AA3"/>
    <w:rsid w:val="005A48D2"/>
    <w:rsid w:val="005A6059"/>
    <w:rsid w:val="005A60BE"/>
    <w:rsid w:val="005A64F7"/>
    <w:rsid w:val="005B01E4"/>
    <w:rsid w:val="005B1FE2"/>
    <w:rsid w:val="005B3EA6"/>
    <w:rsid w:val="005B4838"/>
    <w:rsid w:val="005B550A"/>
    <w:rsid w:val="005B774A"/>
    <w:rsid w:val="005C20C2"/>
    <w:rsid w:val="005C6AE4"/>
    <w:rsid w:val="005C6D96"/>
    <w:rsid w:val="005C73B5"/>
    <w:rsid w:val="005C75BA"/>
    <w:rsid w:val="005C764D"/>
    <w:rsid w:val="005C7B0F"/>
    <w:rsid w:val="005D0280"/>
    <w:rsid w:val="005D284E"/>
    <w:rsid w:val="005D29AB"/>
    <w:rsid w:val="005D2E4E"/>
    <w:rsid w:val="005D4CDA"/>
    <w:rsid w:val="005D52DE"/>
    <w:rsid w:val="005D65F1"/>
    <w:rsid w:val="005D74D9"/>
    <w:rsid w:val="005E08CE"/>
    <w:rsid w:val="005E0A09"/>
    <w:rsid w:val="005E3149"/>
    <w:rsid w:val="005E4118"/>
    <w:rsid w:val="005E472C"/>
    <w:rsid w:val="005E4BA3"/>
    <w:rsid w:val="005E6C00"/>
    <w:rsid w:val="005E75AB"/>
    <w:rsid w:val="005E7EFE"/>
    <w:rsid w:val="005F18C9"/>
    <w:rsid w:val="005F271A"/>
    <w:rsid w:val="005F2C1A"/>
    <w:rsid w:val="005F310F"/>
    <w:rsid w:val="005F3471"/>
    <w:rsid w:val="005F43A9"/>
    <w:rsid w:val="005F5D61"/>
    <w:rsid w:val="005F6D3F"/>
    <w:rsid w:val="005F6EF6"/>
    <w:rsid w:val="005F7E98"/>
    <w:rsid w:val="0060124D"/>
    <w:rsid w:val="006033BB"/>
    <w:rsid w:val="0060392C"/>
    <w:rsid w:val="00604141"/>
    <w:rsid w:val="00610E14"/>
    <w:rsid w:val="00610E1E"/>
    <w:rsid w:val="00612A49"/>
    <w:rsid w:val="0061373E"/>
    <w:rsid w:val="00613E27"/>
    <w:rsid w:val="00614A93"/>
    <w:rsid w:val="00616163"/>
    <w:rsid w:val="00617455"/>
    <w:rsid w:val="006177D6"/>
    <w:rsid w:val="006206B0"/>
    <w:rsid w:val="00620914"/>
    <w:rsid w:val="0062119F"/>
    <w:rsid w:val="00621789"/>
    <w:rsid w:val="00621F94"/>
    <w:rsid w:val="006237EC"/>
    <w:rsid w:val="006241AE"/>
    <w:rsid w:val="006271E2"/>
    <w:rsid w:val="00627B22"/>
    <w:rsid w:val="00627D1F"/>
    <w:rsid w:val="006306B4"/>
    <w:rsid w:val="006312FC"/>
    <w:rsid w:val="00632D47"/>
    <w:rsid w:val="0063387B"/>
    <w:rsid w:val="00635017"/>
    <w:rsid w:val="00635376"/>
    <w:rsid w:val="00635646"/>
    <w:rsid w:val="006365E7"/>
    <w:rsid w:val="00640385"/>
    <w:rsid w:val="00640E6C"/>
    <w:rsid w:val="00641985"/>
    <w:rsid w:val="00641BC0"/>
    <w:rsid w:val="00643145"/>
    <w:rsid w:val="0064315E"/>
    <w:rsid w:val="0064495F"/>
    <w:rsid w:val="00644E2E"/>
    <w:rsid w:val="00645B0D"/>
    <w:rsid w:val="00645FEC"/>
    <w:rsid w:val="00646E05"/>
    <w:rsid w:val="00653628"/>
    <w:rsid w:val="00653759"/>
    <w:rsid w:val="00654010"/>
    <w:rsid w:val="00654E0F"/>
    <w:rsid w:val="00655246"/>
    <w:rsid w:val="00655651"/>
    <w:rsid w:val="00657F01"/>
    <w:rsid w:val="006604C7"/>
    <w:rsid w:val="00661108"/>
    <w:rsid w:val="00661DA0"/>
    <w:rsid w:val="00663073"/>
    <w:rsid w:val="0066506E"/>
    <w:rsid w:val="00666144"/>
    <w:rsid w:val="0066664F"/>
    <w:rsid w:val="00666D38"/>
    <w:rsid w:val="006671C6"/>
    <w:rsid w:val="0067012B"/>
    <w:rsid w:val="00670FB2"/>
    <w:rsid w:val="00671579"/>
    <w:rsid w:val="0067331E"/>
    <w:rsid w:val="00674995"/>
    <w:rsid w:val="0067614A"/>
    <w:rsid w:val="00676186"/>
    <w:rsid w:val="00677D47"/>
    <w:rsid w:val="00680D85"/>
    <w:rsid w:val="006814A8"/>
    <w:rsid w:val="0068197A"/>
    <w:rsid w:val="006831F8"/>
    <w:rsid w:val="006873D8"/>
    <w:rsid w:val="006905E2"/>
    <w:rsid w:val="00690BE7"/>
    <w:rsid w:val="006930CD"/>
    <w:rsid w:val="00693448"/>
    <w:rsid w:val="00693C24"/>
    <w:rsid w:val="006944D8"/>
    <w:rsid w:val="00696093"/>
    <w:rsid w:val="00696B97"/>
    <w:rsid w:val="00696ED8"/>
    <w:rsid w:val="006979AE"/>
    <w:rsid w:val="006A13C2"/>
    <w:rsid w:val="006A3303"/>
    <w:rsid w:val="006A3851"/>
    <w:rsid w:val="006A3D03"/>
    <w:rsid w:val="006A4FE4"/>
    <w:rsid w:val="006A64AC"/>
    <w:rsid w:val="006A65A8"/>
    <w:rsid w:val="006A7973"/>
    <w:rsid w:val="006B00D0"/>
    <w:rsid w:val="006B0234"/>
    <w:rsid w:val="006B0AC0"/>
    <w:rsid w:val="006B0AFB"/>
    <w:rsid w:val="006B1907"/>
    <w:rsid w:val="006B24F2"/>
    <w:rsid w:val="006B2C9D"/>
    <w:rsid w:val="006B3962"/>
    <w:rsid w:val="006B3AE4"/>
    <w:rsid w:val="006B50E9"/>
    <w:rsid w:val="006B6F02"/>
    <w:rsid w:val="006B737F"/>
    <w:rsid w:val="006B74AB"/>
    <w:rsid w:val="006C1069"/>
    <w:rsid w:val="006C6A2A"/>
    <w:rsid w:val="006D0F11"/>
    <w:rsid w:val="006D4570"/>
    <w:rsid w:val="006D6F74"/>
    <w:rsid w:val="006D73C1"/>
    <w:rsid w:val="006E20FB"/>
    <w:rsid w:val="006E4A10"/>
    <w:rsid w:val="006E4AAE"/>
    <w:rsid w:val="006F07FB"/>
    <w:rsid w:val="006F0AA4"/>
    <w:rsid w:val="006F2D8D"/>
    <w:rsid w:val="006F3AC6"/>
    <w:rsid w:val="006F435D"/>
    <w:rsid w:val="007003D2"/>
    <w:rsid w:val="00701459"/>
    <w:rsid w:val="00703495"/>
    <w:rsid w:val="007052A8"/>
    <w:rsid w:val="007057F6"/>
    <w:rsid w:val="00705E8F"/>
    <w:rsid w:val="007070D7"/>
    <w:rsid w:val="00710CD2"/>
    <w:rsid w:val="00711240"/>
    <w:rsid w:val="007117D1"/>
    <w:rsid w:val="0071280D"/>
    <w:rsid w:val="00712B0F"/>
    <w:rsid w:val="00714856"/>
    <w:rsid w:val="007150F2"/>
    <w:rsid w:val="007163FA"/>
    <w:rsid w:val="007174A4"/>
    <w:rsid w:val="00720368"/>
    <w:rsid w:val="00724136"/>
    <w:rsid w:val="0072430D"/>
    <w:rsid w:val="007253A4"/>
    <w:rsid w:val="0072765A"/>
    <w:rsid w:val="007309C8"/>
    <w:rsid w:val="00730D9E"/>
    <w:rsid w:val="00732929"/>
    <w:rsid w:val="00732E40"/>
    <w:rsid w:val="00734BDD"/>
    <w:rsid w:val="00734CA1"/>
    <w:rsid w:val="00734D56"/>
    <w:rsid w:val="007356DB"/>
    <w:rsid w:val="00735913"/>
    <w:rsid w:val="007359BB"/>
    <w:rsid w:val="007365EA"/>
    <w:rsid w:val="00737807"/>
    <w:rsid w:val="00740A8F"/>
    <w:rsid w:val="00741430"/>
    <w:rsid w:val="0074143D"/>
    <w:rsid w:val="00742487"/>
    <w:rsid w:val="00746E12"/>
    <w:rsid w:val="0074796A"/>
    <w:rsid w:val="00750831"/>
    <w:rsid w:val="00751605"/>
    <w:rsid w:val="00751F2C"/>
    <w:rsid w:val="00752A66"/>
    <w:rsid w:val="00753BF0"/>
    <w:rsid w:val="0075597A"/>
    <w:rsid w:val="0076080B"/>
    <w:rsid w:val="00760E04"/>
    <w:rsid w:val="00762B98"/>
    <w:rsid w:val="00762E92"/>
    <w:rsid w:val="00765C02"/>
    <w:rsid w:val="00765E5B"/>
    <w:rsid w:val="007667AB"/>
    <w:rsid w:val="0076733F"/>
    <w:rsid w:val="00767B5B"/>
    <w:rsid w:val="00767D78"/>
    <w:rsid w:val="00770F5B"/>
    <w:rsid w:val="00772AE3"/>
    <w:rsid w:val="00772DCF"/>
    <w:rsid w:val="00773E53"/>
    <w:rsid w:val="00775FB8"/>
    <w:rsid w:val="00780CC9"/>
    <w:rsid w:val="00783BAF"/>
    <w:rsid w:val="00783DF8"/>
    <w:rsid w:val="00784CE9"/>
    <w:rsid w:val="0078716D"/>
    <w:rsid w:val="0078743D"/>
    <w:rsid w:val="00792833"/>
    <w:rsid w:val="00793938"/>
    <w:rsid w:val="00794224"/>
    <w:rsid w:val="00794368"/>
    <w:rsid w:val="007A0A94"/>
    <w:rsid w:val="007A0FAE"/>
    <w:rsid w:val="007A10D9"/>
    <w:rsid w:val="007A23F6"/>
    <w:rsid w:val="007A5715"/>
    <w:rsid w:val="007A57CB"/>
    <w:rsid w:val="007A599D"/>
    <w:rsid w:val="007A7707"/>
    <w:rsid w:val="007B0EBE"/>
    <w:rsid w:val="007B2FBF"/>
    <w:rsid w:val="007B37CC"/>
    <w:rsid w:val="007B3999"/>
    <w:rsid w:val="007B440C"/>
    <w:rsid w:val="007B6553"/>
    <w:rsid w:val="007B657E"/>
    <w:rsid w:val="007C02F9"/>
    <w:rsid w:val="007C10F3"/>
    <w:rsid w:val="007C1A3C"/>
    <w:rsid w:val="007C314F"/>
    <w:rsid w:val="007C44A3"/>
    <w:rsid w:val="007D0E0D"/>
    <w:rsid w:val="007D1625"/>
    <w:rsid w:val="007D17BF"/>
    <w:rsid w:val="007D18C8"/>
    <w:rsid w:val="007D26AE"/>
    <w:rsid w:val="007D34D1"/>
    <w:rsid w:val="007D3F77"/>
    <w:rsid w:val="007D48FF"/>
    <w:rsid w:val="007D49FD"/>
    <w:rsid w:val="007D5AA9"/>
    <w:rsid w:val="007D7961"/>
    <w:rsid w:val="007E0B6D"/>
    <w:rsid w:val="007E6831"/>
    <w:rsid w:val="007E703C"/>
    <w:rsid w:val="007E7D0E"/>
    <w:rsid w:val="007F0912"/>
    <w:rsid w:val="007F13BF"/>
    <w:rsid w:val="007F4596"/>
    <w:rsid w:val="007F4678"/>
    <w:rsid w:val="007F4911"/>
    <w:rsid w:val="007F6E26"/>
    <w:rsid w:val="007F72BC"/>
    <w:rsid w:val="008042EE"/>
    <w:rsid w:val="00804A1A"/>
    <w:rsid w:val="00804C80"/>
    <w:rsid w:val="008062F5"/>
    <w:rsid w:val="0080675F"/>
    <w:rsid w:val="00807CA2"/>
    <w:rsid w:val="0081110A"/>
    <w:rsid w:val="00811DB4"/>
    <w:rsid w:val="008127C6"/>
    <w:rsid w:val="0081301D"/>
    <w:rsid w:val="00815F8C"/>
    <w:rsid w:val="00816182"/>
    <w:rsid w:val="00816D74"/>
    <w:rsid w:val="00817370"/>
    <w:rsid w:val="00820218"/>
    <w:rsid w:val="00820B80"/>
    <w:rsid w:val="00821E23"/>
    <w:rsid w:val="00822861"/>
    <w:rsid w:val="00823C78"/>
    <w:rsid w:val="0082589D"/>
    <w:rsid w:val="00825C76"/>
    <w:rsid w:val="008264B3"/>
    <w:rsid w:val="00826EF0"/>
    <w:rsid w:val="0082700B"/>
    <w:rsid w:val="00830BFC"/>
    <w:rsid w:val="0083280B"/>
    <w:rsid w:val="008347EE"/>
    <w:rsid w:val="00834BE8"/>
    <w:rsid w:val="008369DC"/>
    <w:rsid w:val="00841405"/>
    <w:rsid w:val="0084143F"/>
    <w:rsid w:val="00841461"/>
    <w:rsid w:val="0084218B"/>
    <w:rsid w:val="00842489"/>
    <w:rsid w:val="00842B09"/>
    <w:rsid w:val="00844149"/>
    <w:rsid w:val="008445B6"/>
    <w:rsid w:val="00844A11"/>
    <w:rsid w:val="00845565"/>
    <w:rsid w:val="00846B8A"/>
    <w:rsid w:val="00847085"/>
    <w:rsid w:val="0085294E"/>
    <w:rsid w:val="00856421"/>
    <w:rsid w:val="00857E8A"/>
    <w:rsid w:val="008606DC"/>
    <w:rsid w:val="008607B8"/>
    <w:rsid w:val="00863FA8"/>
    <w:rsid w:val="00866956"/>
    <w:rsid w:val="008671BE"/>
    <w:rsid w:val="00877D17"/>
    <w:rsid w:val="008811C8"/>
    <w:rsid w:val="0088157F"/>
    <w:rsid w:val="00887484"/>
    <w:rsid w:val="00890620"/>
    <w:rsid w:val="00891282"/>
    <w:rsid w:val="00891ADC"/>
    <w:rsid w:val="00893F7B"/>
    <w:rsid w:val="0089553D"/>
    <w:rsid w:val="0089671A"/>
    <w:rsid w:val="00896C97"/>
    <w:rsid w:val="008A0AE6"/>
    <w:rsid w:val="008A0CD4"/>
    <w:rsid w:val="008A0DD3"/>
    <w:rsid w:val="008A1514"/>
    <w:rsid w:val="008A1D0D"/>
    <w:rsid w:val="008A2010"/>
    <w:rsid w:val="008A4C5C"/>
    <w:rsid w:val="008A6813"/>
    <w:rsid w:val="008A7BFC"/>
    <w:rsid w:val="008B02DD"/>
    <w:rsid w:val="008B1A3D"/>
    <w:rsid w:val="008B2243"/>
    <w:rsid w:val="008B282C"/>
    <w:rsid w:val="008B29FC"/>
    <w:rsid w:val="008B347D"/>
    <w:rsid w:val="008B376B"/>
    <w:rsid w:val="008B3CBE"/>
    <w:rsid w:val="008B5C7D"/>
    <w:rsid w:val="008B697B"/>
    <w:rsid w:val="008B7FB3"/>
    <w:rsid w:val="008C0A3C"/>
    <w:rsid w:val="008C2C51"/>
    <w:rsid w:val="008C48C6"/>
    <w:rsid w:val="008C5345"/>
    <w:rsid w:val="008C59A3"/>
    <w:rsid w:val="008C5AFB"/>
    <w:rsid w:val="008C6B69"/>
    <w:rsid w:val="008C711C"/>
    <w:rsid w:val="008D00EF"/>
    <w:rsid w:val="008D0334"/>
    <w:rsid w:val="008D0740"/>
    <w:rsid w:val="008D26A0"/>
    <w:rsid w:val="008D3D1D"/>
    <w:rsid w:val="008D48E6"/>
    <w:rsid w:val="008D7D97"/>
    <w:rsid w:val="008E29BE"/>
    <w:rsid w:val="008E3B06"/>
    <w:rsid w:val="008E5FB3"/>
    <w:rsid w:val="008E75D2"/>
    <w:rsid w:val="008F1148"/>
    <w:rsid w:val="008F15F1"/>
    <w:rsid w:val="008F1D0D"/>
    <w:rsid w:val="008F260A"/>
    <w:rsid w:val="008F3075"/>
    <w:rsid w:val="008F3C57"/>
    <w:rsid w:val="008F56B4"/>
    <w:rsid w:val="008F5F37"/>
    <w:rsid w:val="008F667F"/>
    <w:rsid w:val="008F76EB"/>
    <w:rsid w:val="008F7737"/>
    <w:rsid w:val="00900332"/>
    <w:rsid w:val="00900388"/>
    <w:rsid w:val="00902EDE"/>
    <w:rsid w:val="0090366C"/>
    <w:rsid w:val="0090491D"/>
    <w:rsid w:val="00905089"/>
    <w:rsid w:val="00905544"/>
    <w:rsid w:val="00906D6C"/>
    <w:rsid w:val="00912008"/>
    <w:rsid w:val="00912BF6"/>
    <w:rsid w:val="009138BE"/>
    <w:rsid w:val="00915F66"/>
    <w:rsid w:val="00916080"/>
    <w:rsid w:val="00920E55"/>
    <w:rsid w:val="0092315C"/>
    <w:rsid w:val="00927F5C"/>
    <w:rsid w:val="009329D6"/>
    <w:rsid w:val="009334EA"/>
    <w:rsid w:val="0093523C"/>
    <w:rsid w:val="0093649F"/>
    <w:rsid w:val="00937032"/>
    <w:rsid w:val="00937AA7"/>
    <w:rsid w:val="00941645"/>
    <w:rsid w:val="00941F1F"/>
    <w:rsid w:val="00942ED2"/>
    <w:rsid w:val="009431F0"/>
    <w:rsid w:val="009443F8"/>
    <w:rsid w:val="00944D7F"/>
    <w:rsid w:val="00945537"/>
    <w:rsid w:val="00945D3B"/>
    <w:rsid w:val="00946CCC"/>
    <w:rsid w:val="00947EA4"/>
    <w:rsid w:val="00950DCB"/>
    <w:rsid w:val="00951B77"/>
    <w:rsid w:val="009559B1"/>
    <w:rsid w:val="00955CDE"/>
    <w:rsid w:val="00956DD3"/>
    <w:rsid w:val="00957D07"/>
    <w:rsid w:val="009605F1"/>
    <w:rsid w:val="00961657"/>
    <w:rsid w:val="00962A92"/>
    <w:rsid w:val="009632C8"/>
    <w:rsid w:val="00963493"/>
    <w:rsid w:val="00963682"/>
    <w:rsid w:val="0096402B"/>
    <w:rsid w:val="0096531F"/>
    <w:rsid w:val="009671DB"/>
    <w:rsid w:val="00972C0F"/>
    <w:rsid w:val="009733AF"/>
    <w:rsid w:val="009740A6"/>
    <w:rsid w:val="009753B8"/>
    <w:rsid w:val="009769CB"/>
    <w:rsid w:val="0098057C"/>
    <w:rsid w:val="00982C42"/>
    <w:rsid w:val="00983C8F"/>
    <w:rsid w:val="0098419B"/>
    <w:rsid w:val="009845D2"/>
    <w:rsid w:val="00984DAF"/>
    <w:rsid w:val="00984FB4"/>
    <w:rsid w:val="0099052E"/>
    <w:rsid w:val="0099074B"/>
    <w:rsid w:val="009907F9"/>
    <w:rsid w:val="00991085"/>
    <w:rsid w:val="00991CDA"/>
    <w:rsid w:val="00992203"/>
    <w:rsid w:val="009922FF"/>
    <w:rsid w:val="00992B0A"/>
    <w:rsid w:val="00995DEE"/>
    <w:rsid w:val="009962D7"/>
    <w:rsid w:val="009A13E3"/>
    <w:rsid w:val="009A2333"/>
    <w:rsid w:val="009A2B7C"/>
    <w:rsid w:val="009A361F"/>
    <w:rsid w:val="009A45BB"/>
    <w:rsid w:val="009A480D"/>
    <w:rsid w:val="009A50B3"/>
    <w:rsid w:val="009A5F06"/>
    <w:rsid w:val="009B009C"/>
    <w:rsid w:val="009B0F07"/>
    <w:rsid w:val="009B1109"/>
    <w:rsid w:val="009B11BA"/>
    <w:rsid w:val="009B1406"/>
    <w:rsid w:val="009B2126"/>
    <w:rsid w:val="009B40A1"/>
    <w:rsid w:val="009B6247"/>
    <w:rsid w:val="009B697D"/>
    <w:rsid w:val="009C21D0"/>
    <w:rsid w:val="009C2658"/>
    <w:rsid w:val="009C28CC"/>
    <w:rsid w:val="009C2E25"/>
    <w:rsid w:val="009C2E84"/>
    <w:rsid w:val="009C374D"/>
    <w:rsid w:val="009C725E"/>
    <w:rsid w:val="009D1217"/>
    <w:rsid w:val="009D2F20"/>
    <w:rsid w:val="009D3CFC"/>
    <w:rsid w:val="009D3FEF"/>
    <w:rsid w:val="009D3FF7"/>
    <w:rsid w:val="009D5760"/>
    <w:rsid w:val="009D5B08"/>
    <w:rsid w:val="009D5E11"/>
    <w:rsid w:val="009D5F63"/>
    <w:rsid w:val="009D6013"/>
    <w:rsid w:val="009D6375"/>
    <w:rsid w:val="009D6AC2"/>
    <w:rsid w:val="009E17A0"/>
    <w:rsid w:val="009E190A"/>
    <w:rsid w:val="009E236A"/>
    <w:rsid w:val="009E2E14"/>
    <w:rsid w:val="009F060D"/>
    <w:rsid w:val="009F066F"/>
    <w:rsid w:val="009F1566"/>
    <w:rsid w:val="009F1729"/>
    <w:rsid w:val="009F1C9E"/>
    <w:rsid w:val="009F2297"/>
    <w:rsid w:val="009F31EF"/>
    <w:rsid w:val="009F375A"/>
    <w:rsid w:val="009F4B4A"/>
    <w:rsid w:val="009F5EEB"/>
    <w:rsid w:val="009F601C"/>
    <w:rsid w:val="009F63A5"/>
    <w:rsid w:val="009F6841"/>
    <w:rsid w:val="009F6C28"/>
    <w:rsid w:val="009F6C3E"/>
    <w:rsid w:val="009F70CE"/>
    <w:rsid w:val="00A00F25"/>
    <w:rsid w:val="00A01224"/>
    <w:rsid w:val="00A013ED"/>
    <w:rsid w:val="00A0160E"/>
    <w:rsid w:val="00A04038"/>
    <w:rsid w:val="00A0485F"/>
    <w:rsid w:val="00A04A12"/>
    <w:rsid w:val="00A06DB9"/>
    <w:rsid w:val="00A07FB7"/>
    <w:rsid w:val="00A13430"/>
    <w:rsid w:val="00A13E44"/>
    <w:rsid w:val="00A141CE"/>
    <w:rsid w:val="00A15A80"/>
    <w:rsid w:val="00A1665F"/>
    <w:rsid w:val="00A17785"/>
    <w:rsid w:val="00A20BD9"/>
    <w:rsid w:val="00A213C7"/>
    <w:rsid w:val="00A21FD8"/>
    <w:rsid w:val="00A22739"/>
    <w:rsid w:val="00A232A0"/>
    <w:rsid w:val="00A233D7"/>
    <w:rsid w:val="00A239D0"/>
    <w:rsid w:val="00A247CC"/>
    <w:rsid w:val="00A257FE"/>
    <w:rsid w:val="00A26856"/>
    <w:rsid w:val="00A31EAD"/>
    <w:rsid w:val="00A322D8"/>
    <w:rsid w:val="00A32AEE"/>
    <w:rsid w:val="00A336A2"/>
    <w:rsid w:val="00A34185"/>
    <w:rsid w:val="00A34665"/>
    <w:rsid w:val="00A34C78"/>
    <w:rsid w:val="00A361AB"/>
    <w:rsid w:val="00A36A98"/>
    <w:rsid w:val="00A40677"/>
    <w:rsid w:val="00A40F31"/>
    <w:rsid w:val="00A412A7"/>
    <w:rsid w:val="00A41C76"/>
    <w:rsid w:val="00A4317E"/>
    <w:rsid w:val="00A43B3A"/>
    <w:rsid w:val="00A44C67"/>
    <w:rsid w:val="00A50169"/>
    <w:rsid w:val="00A509D3"/>
    <w:rsid w:val="00A512EE"/>
    <w:rsid w:val="00A5150A"/>
    <w:rsid w:val="00A51E85"/>
    <w:rsid w:val="00A544EE"/>
    <w:rsid w:val="00A55086"/>
    <w:rsid w:val="00A60197"/>
    <w:rsid w:val="00A60484"/>
    <w:rsid w:val="00A64BAB"/>
    <w:rsid w:val="00A67A2E"/>
    <w:rsid w:val="00A7122A"/>
    <w:rsid w:val="00A7287D"/>
    <w:rsid w:val="00A730CB"/>
    <w:rsid w:val="00A731FD"/>
    <w:rsid w:val="00A73FDD"/>
    <w:rsid w:val="00A746B0"/>
    <w:rsid w:val="00A7650D"/>
    <w:rsid w:val="00A771EA"/>
    <w:rsid w:val="00A77894"/>
    <w:rsid w:val="00A800AD"/>
    <w:rsid w:val="00A80D15"/>
    <w:rsid w:val="00A81E31"/>
    <w:rsid w:val="00A8511B"/>
    <w:rsid w:val="00A86BA0"/>
    <w:rsid w:val="00A917BE"/>
    <w:rsid w:val="00A922F2"/>
    <w:rsid w:val="00A92340"/>
    <w:rsid w:val="00A92864"/>
    <w:rsid w:val="00A9441B"/>
    <w:rsid w:val="00A95279"/>
    <w:rsid w:val="00A95849"/>
    <w:rsid w:val="00A97C88"/>
    <w:rsid w:val="00A97D30"/>
    <w:rsid w:val="00AA0770"/>
    <w:rsid w:val="00AA0C34"/>
    <w:rsid w:val="00AA43D0"/>
    <w:rsid w:val="00AB0182"/>
    <w:rsid w:val="00AB028C"/>
    <w:rsid w:val="00AB036C"/>
    <w:rsid w:val="00AB09CF"/>
    <w:rsid w:val="00AB1DC6"/>
    <w:rsid w:val="00AB1EA0"/>
    <w:rsid w:val="00AB3F2A"/>
    <w:rsid w:val="00AB4E32"/>
    <w:rsid w:val="00AB5122"/>
    <w:rsid w:val="00AB573A"/>
    <w:rsid w:val="00AB5DBA"/>
    <w:rsid w:val="00AB77E7"/>
    <w:rsid w:val="00AC08D2"/>
    <w:rsid w:val="00AC1471"/>
    <w:rsid w:val="00AC14F9"/>
    <w:rsid w:val="00AC16D7"/>
    <w:rsid w:val="00AC2538"/>
    <w:rsid w:val="00AC2A75"/>
    <w:rsid w:val="00AC3C20"/>
    <w:rsid w:val="00AC45BA"/>
    <w:rsid w:val="00AC601C"/>
    <w:rsid w:val="00AD0D01"/>
    <w:rsid w:val="00AD1853"/>
    <w:rsid w:val="00AD2C43"/>
    <w:rsid w:val="00AD652F"/>
    <w:rsid w:val="00AD68BB"/>
    <w:rsid w:val="00AD6FB1"/>
    <w:rsid w:val="00AD73D2"/>
    <w:rsid w:val="00AD7DD6"/>
    <w:rsid w:val="00AE2271"/>
    <w:rsid w:val="00AE302E"/>
    <w:rsid w:val="00AE3E94"/>
    <w:rsid w:val="00AE531D"/>
    <w:rsid w:val="00AE5C5A"/>
    <w:rsid w:val="00AE61CA"/>
    <w:rsid w:val="00AE7A2A"/>
    <w:rsid w:val="00AF0458"/>
    <w:rsid w:val="00AF1C1F"/>
    <w:rsid w:val="00AF2CD8"/>
    <w:rsid w:val="00AF2D1B"/>
    <w:rsid w:val="00AF2E49"/>
    <w:rsid w:val="00AF304B"/>
    <w:rsid w:val="00AF3626"/>
    <w:rsid w:val="00AF387B"/>
    <w:rsid w:val="00AF3A7C"/>
    <w:rsid w:val="00AF42E4"/>
    <w:rsid w:val="00AF49AE"/>
    <w:rsid w:val="00AF507E"/>
    <w:rsid w:val="00AF6985"/>
    <w:rsid w:val="00AF7051"/>
    <w:rsid w:val="00AF79CF"/>
    <w:rsid w:val="00B00457"/>
    <w:rsid w:val="00B008C8"/>
    <w:rsid w:val="00B01B46"/>
    <w:rsid w:val="00B02751"/>
    <w:rsid w:val="00B02A31"/>
    <w:rsid w:val="00B02AB8"/>
    <w:rsid w:val="00B02E26"/>
    <w:rsid w:val="00B05E06"/>
    <w:rsid w:val="00B070DB"/>
    <w:rsid w:val="00B1094C"/>
    <w:rsid w:val="00B1130A"/>
    <w:rsid w:val="00B13433"/>
    <w:rsid w:val="00B1380D"/>
    <w:rsid w:val="00B14E46"/>
    <w:rsid w:val="00B15142"/>
    <w:rsid w:val="00B16C47"/>
    <w:rsid w:val="00B207DF"/>
    <w:rsid w:val="00B22E06"/>
    <w:rsid w:val="00B240F7"/>
    <w:rsid w:val="00B25F77"/>
    <w:rsid w:val="00B30094"/>
    <w:rsid w:val="00B30432"/>
    <w:rsid w:val="00B30FBF"/>
    <w:rsid w:val="00B320BE"/>
    <w:rsid w:val="00B33195"/>
    <w:rsid w:val="00B344E4"/>
    <w:rsid w:val="00B345BC"/>
    <w:rsid w:val="00B35E73"/>
    <w:rsid w:val="00B36164"/>
    <w:rsid w:val="00B4193B"/>
    <w:rsid w:val="00B45147"/>
    <w:rsid w:val="00B46FC0"/>
    <w:rsid w:val="00B4722D"/>
    <w:rsid w:val="00B5184C"/>
    <w:rsid w:val="00B51DC0"/>
    <w:rsid w:val="00B52A60"/>
    <w:rsid w:val="00B550DB"/>
    <w:rsid w:val="00B57979"/>
    <w:rsid w:val="00B60937"/>
    <w:rsid w:val="00B60EEC"/>
    <w:rsid w:val="00B63FDE"/>
    <w:rsid w:val="00B64E47"/>
    <w:rsid w:val="00B65B0F"/>
    <w:rsid w:val="00B65D19"/>
    <w:rsid w:val="00B663CE"/>
    <w:rsid w:val="00B66D41"/>
    <w:rsid w:val="00B708FB"/>
    <w:rsid w:val="00B7188F"/>
    <w:rsid w:val="00B73EED"/>
    <w:rsid w:val="00B74739"/>
    <w:rsid w:val="00B82C6E"/>
    <w:rsid w:val="00B83606"/>
    <w:rsid w:val="00B84E50"/>
    <w:rsid w:val="00B85B8A"/>
    <w:rsid w:val="00B905E2"/>
    <w:rsid w:val="00B91FE4"/>
    <w:rsid w:val="00B9331B"/>
    <w:rsid w:val="00B95CA5"/>
    <w:rsid w:val="00B97985"/>
    <w:rsid w:val="00BA291D"/>
    <w:rsid w:val="00BA30CE"/>
    <w:rsid w:val="00BA3154"/>
    <w:rsid w:val="00BA4C94"/>
    <w:rsid w:val="00BA578D"/>
    <w:rsid w:val="00BA5ABA"/>
    <w:rsid w:val="00BB17CC"/>
    <w:rsid w:val="00BB1865"/>
    <w:rsid w:val="00BB238E"/>
    <w:rsid w:val="00BB496E"/>
    <w:rsid w:val="00BB49EE"/>
    <w:rsid w:val="00BB5360"/>
    <w:rsid w:val="00BB605A"/>
    <w:rsid w:val="00BB7AA1"/>
    <w:rsid w:val="00BB7CD1"/>
    <w:rsid w:val="00BC096F"/>
    <w:rsid w:val="00BC0E0E"/>
    <w:rsid w:val="00BC129E"/>
    <w:rsid w:val="00BC29F7"/>
    <w:rsid w:val="00BC57A5"/>
    <w:rsid w:val="00BC6060"/>
    <w:rsid w:val="00BD079A"/>
    <w:rsid w:val="00BD09B4"/>
    <w:rsid w:val="00BD200A"/>
    <w:rsid w:val="00BD3575"/>
    <w:rsid w:val="00BD52C7"/>
    <w:rsid w:val="00BD5660"/>
    <w:rsid w:val="00BD6A8D"/>
    <w:rsid w:val="00BD6BE4"/>
    <w:rsid w:val="00BD70DE"/>
    <w:rsid w:val="00BE0917"/>
    <w:rsid w:val="00BE1594"/>
    <w:rsid w:val="00BE26DD"/>
    <w:rsid w:val="00BE5AD1"/>
    <w:rsid w:val="00BE5BFD"/>
    <w:rsid w:val="00BE755A"/>
    <w:rsid w:val="00BF100B"/>
    <w:rsid w:val="00BF14BD"/>
    <w:rsid w:val="00BF1F16"/>
    <w:rsid w:val="00BF51CB"/>
    <w:rsid w:val="00BF7A2C"/>
    <w:rsid w:val="00C00010"/>
    <w:rsid w:val="00C00EEF"/>
    <w:rsid w:val="00C00FD9"/>
    <w:rsid w:val="00C044D5"/>
    <w:rsid w:val="00C055DD"/>
    <w:rsid w:val="00C05DBE"/>
    <w:rsid w:val="00C06742"/>
    <w:rsid w:val="00C10026"/>
    <w:rsid w:val="00C13BA8"/>
    <w:rsid w:val="00C14518"/>
    <w:rsid w:val="00C214A8"/>
    <w:rsid w:val="00C23958"/>
    <w:rsid w:val="00C26196"/>
    <w:rsid w:val="00C26E26"/>
    <w:rsid w:val="00C27E71"/>
    <w:rsid w:val="00C30A82"/>
    <w:rsid w:val="00C31F40"/>
    <w:rsid w:val="00C33465"/>
    <w:rsid w:val="00C338ED"/>
    <w:rsid w:val="00C33A6E"/>
    <w:rsid w:val="00C33D0D"/>
    <w:rsid w:val="00C36D34"/>
    <w:rsid w:val="00C40283"/>
    <w:rsid w:val="00C403DB"/>
    <w:rsid w:val="00C40438"/>
    <w:rsid w:val="00C4167A"/>
    <w:rsid w:val="00C41CE9"/>
    <w:rsid w:val="00C42320"/>
    <w:rsid w:val="00C42FE0"/>
    <w:rsid w:val="00C44F78"/>
    <w:rsid w:val="00C47943"/>
    <w:rsid w:val="00C51C9B"/>
    <w:rsid w:val="00C523FD"/>
    <w:rsid w:val="00C5242A"/>
    <w:rsid w:val="00C53E7F"/>
    <w:rsid w:val="00C542BB"/>
    <w:rsid w:val="00C55359"/>
    <w:rsid w:val="00C55F90"/>
    <w:rsid w:val="00C57059"/>
    <w:rsid w:val="00C603DE"/>
    <w:rsid w:val="00C60D49"/>
    <w:rsid w:val="00C62CA6"/>
    <w:rsid w:val="00C63011"/>
    <w:rsid w:val="00C632AE"/>
    <w:rsid w:val="00C67894"/>
    <w:rsid w:val="00C704C6"/>
    <w:rsid w:val="00C70DB3"/>
    <w:rsid w:val="00C73D3D"/>
    <w:rsid w:val="00C752F0"/>
    <w:rsid w:val="00C77150"/>
    <w:rsid w:val="00C77863"/>
    <w:rsid w:val="00C778F1"/>
    <w:rsid w:val="00C811F7"/>
    <w:rsid w:val="00C81484"/>
    <w:rsid w:val="00C81BC1"/>
    <w:rsid w:val="00C82500"/>
    <w:rsid w:val="00C84DDB"/>
    <w:rsid w:val="00C909A3"/>
    <w:rsid w:val="00C913E7"/>
    <w:rsid w:val="00C92604"/>
    <w:rsid w:val="00C92829"/>
    <w:rsid w:val="00C954DD"/>
    <w:rsid w:val="00C964ED"/>
    <w:rsid w:val="00C96853"/>
    <w:rsid w:val="00CA0921"/>
    <w:rsid w:val="00CA227C"/>
    <w:rsid w:val="00CA267F"/>
    <w:rsid w:val="00CA2B66"/>
    <w:rsid w:val="00CA3409"/>
    <w:rsid w:val="00CA45A2"/>
    <w:rsid w:val="00CB2BCD"/>
    <w:rsid w:val="00CB36D7"/>
    <w:rsid w:val="00CB52DF"/>
    <w:rsid w:val="00CB6BCD"/>
    <w:rsid w:val="00CB72F8"/>
    <w:rsid w:val="00CC0370"/>
    <w:rsid w:val="00CC5E99"/>
    <w:rsid w:val="00CC671B"/>
    <w:rsid w:val="00CC7068"/>
    <w:rsid w:val="00CC72ED"/>
    <w:rsid w:val="00CC7450"/>
    <w:rsid w:val="00CC7D08"/>
    <w:rsid w:val="00CD1FF9"/>
    <w:rsid w:val="00CD20E6"/>
    <w:rsid w:val="00CD2897"/>
    <w:rsid w:val="00CD3D30"/>
    <w:rsid w:val="00CD46FA"/>
    <w:rsid w:val="00CD4843"/>
    <w:rsid w:val="00CD6106"/>
    <w:rsid w:val="00CD68D7"/>
    <w:rsid w:val="00CE0824"/>
    <w:rsid w:val="00CE1868"/>
    <w:rsid w:val="00CE193C"/>
    <w:rsid w:val="00CE2BC9"/>
    <w:rsid w:val="00CE7962"/>
    <w:rsid w:val="00CF1E43"/>
    <w:rsid w:val="00CF41AC"/>
    <w:rsid w:val="00CF54C2"/>
    <w:rsid w:val="00CF7694"/>
    <w:rsid w:val="00D01A16"/>
    <w:rsid w:val="00D02878"/>
    <w:rsid w:val="00D02A01"/>
    <w:rsid w:val="00D05D11"/>
    <w:rsid w:val="00D06208"/>
    <w:rsid w:val="00D06521"/>
    <w:rsid w:val="00D065E6"/>
    <w:rsid w:val="00D0664E"/>
    <w:rsid w:val="00D06AE5"/>
    <w:rsid w:val="00D06BDA"/>
    <w:rsid w:val="00D0761B"/>
    <w:rsid w:val="00D125E8"/>
    <w:rsid w:val="00D15309"/>
    <w:rsid w:val="00D15ACE"/>
    <w:rsid w:val="00D17820"/>
    <w:rsid w:val="00D20181"/>
    <w:rsid w:val="00D20222"/>
    <w:rsid w:val="00D2052C"/>
    <w:rsid w:val="00D20FF5"/>
    <w:rsid w:val="00D223B3"/>
    <w:rsid w:val="00D22D31"/>
    <w:rsid w:val="00D23CD0"/>
    <w:rsid w:val="00D24B12"/>
    <w:rsid w:val="00D24F35"/>
    <w:rsid w:val="00D2772E"/>
    <w:rsid w:val="00D30BE6"/>
    <w:rsid w:val="00D329FD"/>
    <w:rsid w:val="00D32DE2"/>
    <w:rsid w:val="00D334CC"/>
    <w:rsid w:val="00D346AD"/>
    <w:rsid w:val="00D34FE0"/>
    <w:rsid w:val="00D42A5E"/>
    <w:rsid w:val="00D42E4C"/>
    <w:rsid w:val="00D4417A"/>
    <w:rsid w:val="00D445D8"/>
    <w:rsid w:val="00D4471A"/>
    <w:rsid w:val="00D44FE7"/>
    <w:rsid w:val="00D45A87"/>
    <w:rsid w:val="00D4726B"/>
    <w:rsid w:val="00D517CF"/>
    <w:rsid w:val="00D52833"/>
    <w:rsid w:val="00D5390A"/>
    <w:rsid w:val="00D5395D"/>
    <w:rsid w:val="00D53B61"/>
    <w:rsid w:val="00D571A0"/>
    <w:rsid w:val="00D60FAA"/>
    <w:rsid w:val="00D615C0"/>
    <w:rsid w:val="00D61D31"/>
    <w:rsid w:val="00D62E8D"/>
    <w:rsid w:val="00D64EE2"/>
    <w:rsid w:val="00D65906"/>
    <w:rsid w:val="00D67B03"/>
    <w:rsid w:val="00D7045E"/>
    <w:rsid w:val="00D7095C"/>
    <w:rsid w:val="00D72033"/>
    <w:rsid w:val="00D72183"/>
    <w:rsid w:val="00D7260D"/>
    <w:rsid w:val="00D729BF"/>
    <w:rsid w:val="00D72E26"/>
    <w:rsid w:val="00D7460E"/>
    <w:rsid w:val="00D752A0"/>
    <w:rsid w:val="00D753AB"/>
    <w:rsid w:val="00D75E4B"/>
    <w:rsid w:val="00D760E3"/>
    <w:rsid w:val="00D773BE"/>
    <w:rsid w:val="00D77A1B"/>
    <w:rsid w:val="00D84B61"/>
    <w:rsid w:val="00D8500E"/>
    <w:rsid w:val="00D859CE"/>
    <w:rsid w:val="00D85B27"/>
    <w:rsid w:val="00D87C8E"/>
    <w:rsid w:val="00D91660"/>
    <w:rsid w:val="00D9171C"/>
    <w:rsid w:val="00D917F7"/>
    <w:rsid w:val="00D929CD"/>
    <w:rsid w:val="00D92FF4"/>
    <w:rsid w:val="00D9460A"/>
    <w:rsid w:val="00D94955"/>
    <w:rsid w:val="00D94D89"/>
    <w:rsid w:val="00D9632D"/>
    <w:rsid w:val="00DA0F1B"/>
    <w:rsid w:val="00DA20F7"/>
    <w:rsid w:val="00DA2E20"/>
    <w:rsid w:val="00DA6E0C"/>
    <w:rsid w:val="00DA6FD5"/>
    <w:rsid w:val="00DA7095"/>
    <w:rsid w:val="00DB0439"/>
    <w:rsid w:val="00DB0906"/>
    <w:rsid w:val="00DB23AD"/>
    <w:rsid w:val="00DB4E66"/>
    <w:rsid w:val="00DB4EA1"/>
    <w:rsid w:val="00DB5073"/>
    <w:rsid w:val="00DB56F9"/>
    <w:rsid w:val="00DB6AF5"/>
    <w:rsid w:val="00DB7B82"/>
    <w:rsid w:val="00DC1465"/>
    <w:rsid w:val="00DC15AF"/>
    <w:rsid w:val="00DC260A"/>
    <w:rsid w:val="00DC626B"/>
    <w:rsid w:val="00DC6836"/>
    <w:rsid w:val="00DC720A"/>
    <w:rsid w:val="00DD0761"/>
    <w:rsid w:val="00DD2946"/>
    <w:rsid w:val="00DD7805"/>
    <w:rsid w:val="00DE167F"/>
    <w:rsid w:val="00DE497D"/>
    <w:rsid w:val="00DE4C2B"/>
    <w:rsid w:val="00DE541F"/>
    <w:rsid w:val="00DE5E8B"/>
    <w:rsid w:val="00DE63B0"/>
    <w:rsid w:val="00DE6C79"/>
    <w:rsid w:val="00DE765B"/>
    <w:rsid w:val="00DE76AB"/>
    <w:rsid w:val="00DF1F2D"/>
    <w:rsid w:val="00DF2525"/>
    <w:rsid w:val="00DF2E1F"/>
    <w:rsid w:val="00DF5112"/>
    <w:rsid w:val="00DF6656"/>
    <w:rsid w:val="00E014B4"/>
    <w:rsid w:val="00E03D64"/>
    <w:rsid w:val="00E04238"/>
    <w:rsid w:val="00E05EC7"/>
    <w:rsid w:val="00E12BC6"/>
    <w:rsid w:val="00E12E38"/>
    <w:rsid w:val="00E15F56"/>
    <w:rsid w:val="00E17174"/>
    <w:rsid w:val="00E17E3B"/>
    <w:rsid w:val="00E203E8"/>
    <w:rsid w:val="00E212A1"/>
    <w:rsid w:val="00E23C08"/>
    <w:rsid w:val="00E23F04"/>
    <w:rsid w:val="00E24475"/>
    <w:rsid w:val="00E2498E"/>
    <w:rsid w:val="00E31116"/>
    <w:rsid w:val="00E31311"/>
    <w:rsid w:val="00E3163A"/>
    <w:rsid w:val="00E31EE3"/>
    <w:rsid w:val="00E32737"/>
    <w:rsid w:val="00E32845"/>
    <w:rsid w:val="00E32CC2"/>
    <w:rsid w:val="00E338CD"/>
    <w:rsid w:val="00E34018"/>
    <w:rsid w:val="00E3408A"/>
    <w:rsid w:val="00E3520D"/>
    <w:rsid w:val="00E362BE"/>
    <w:rsid w:val="00E41013"/>
    <w:rsid w:val="00E4158E"/>
    <w:rsid w:val="00E41EDF"/>
    <w:rsid w:val="00E42CF9"/>
    <w:rsid w:val="00E45C57"/>
    <w:rsid w:val="00E460EA"/>
    <w:rsid w:val="00E46345"/>
    <w:rsid w:val="00E471F4"/>
    <w:rsid w:val="00E50AD8"/>
    <w:rsid w:val="00E52984"/>
    <w:rsid w:val="00E5597A"/>
    <w:rsid w:val="00E563FB"/>
    <w:rsid w:val="00E6327B"/>
    <w:rsid w:val="00E674C5"/>
    <w:rsid w:val="00E71C9F"/>
    <w:rsid w:val="00E73A0E"/>
    <w:rsid w:val="00E748C0"/>
    <w:rsid w:val="00E758FB"/>
    <w:rsid w:val="00E7638E"/>
    <w:rsid w:val="00E76916"/>
    <w:rsid w:val="00E76F52"/>
    <w:rsid w:val="00E76FF1"/>
    <w:rsid w:val="00E80742"/>
    <w:rsid w:val="00E80971"/>
    <w:rsid w:val="00E82AB9"/>
    <w:rsid w:val="00E862F8"/>
    <w:rsid w:val="00E86CF3"/>
    <w:rsid w:val="00E9483D"/>
    <w:rsid w:val="00E95602"/>
    <w:rsid w:val="00E97F98"/>
    <w:rsid w:val="00EA1FF0"/>
    <w:rsid w:val="00EA41F6"/>
    <w:rsid w:val="00EA4653"/>
    <w:rsid w:val="00EA501C"/>
    <w:rsid w:val="00EA5C44"/>
    <w:rsid w:val="00EA7155"/>
    <w:rsid w:val="00EB0426"/>
    <w:rsid w:val="00EB1719"/>
    <w:rsid w:val="00EB4399"/>
    <w:rsid w:val="00EB4ADB"/>
    <w:rsid w:val="00EB550B"/>
    <w:rsid w:val="00EB6A3B"/>
    <w:rsid w:val="00EC0585"/>
    <w:rsid w:val="00EC0A04"/>
    <w:rsid w:val="00EC26CB"/>
    <w:rsid w:val="00EC328D"/>
    <w:rsid w:val="00EC3982"/>
    <w:rsid w:val="00EC60E3"/>
    <w:rsid w:val="00EC6366"/>
    <w:rsid w:val="00ED0C84"/>
    <w:rsid w:val="00ED1E55"/>
    <w:rsid w:val="00ED68D5"/>
    <w:rsid w:val="00ED6EFC"/>
    <w:rsid w:val="00ED73C5"/>
    <w:rsid w:val="00ED786F"/>
    <w:rsid w:val="00EE0454"/>
    <w:rsid w:val="00EE134A"/>
    <w:rsid w:val="00EE1C29"/>
    <w:rsid w:val="00EE420C"/>
    <w:rsid w:val="00EE4CDD"/>
    <w:rsid w:val="00EE7DE7"/>
    <w:rsid w:val="00EE7FE9"/>
    <w:rsid w:val="00EF2BD6"/>
    <w:rsid w:val="00EF2C97"/>
    <w:rsid w:val="00EF2CA1"/>
    <w:rsid w:val="00EF3030"/>
    <w:rsid w:val="00EF3AEF"/>
    <w:rsid w:val="00EF3B71"/>
    <w:rsid w:val="00EF6FCE"/>
    <w:rsid w:val="00EF7979"/>
    <w:rsid w:val="00F0209D"/>
    <w:rsid w:val="00F02BDB"/>
    <w:rsid w:val="00F05E1A"/>
    <w:rsid w:val="00F07C0C"/>
    <w:rsid w:val="00F07F8B"/>
    <w:rsid w:val="00F1070A"/>
    <w:rsid w:val="00F108DA"/>
    <w:rsid w:val="00F114C7"/>
    <w:rsid w:val="00F121D5"/>
    <w:rsid w:val="00F127C3"/>
    <w:rsid w:val="00F13857"/>
    <w:rsid w:val="00F15D2C"/>
    <w:rsid w:val="00F16C01"/>
    <w:rsid w:val="00F1771C"/>
    <w:rsid w:val="00F17A94"/>
    <w:rsid w:val="00F20D27"/>
    <w:rsid w:val="00F2100F"/>
    <w:rsid w:val="00F21E01"/>
    <w:rsid w:val="00F2435F"/>
    <w:rsid w:val="00F24946"/>
    <w:rsid w:val="00F25AAD"/>
    <w:rsid w:val="00F26756"/>
    <w:rsid w:val="00F27B39"/>
    <w:rsid w:val="00F27CCB"/>
    <w:rsid w:val="00F3029F"/>
    <w:rsid w:val="00F31D0E"/>
    <w:rsid w:val="00F32A1B"/>
    <w:rsid w:val="00F35910"/>
    <w:rsid w:val="00F360B1"/>
    <w:rsid w:val="00F3761F"/>
    <w:rsid w:val="00F41937"/>
    <w:rsid w:val="00F41AAB"/>
    <w:rsid w:val="00F42004"/>
    <w:rsid w:val="00F42B59"/>
    <w:rsid w:val="00F439F5"/>
    <w:rsid w:val="00F45AAE"/>
    <w:rsid w:val="00F509F8"/>
    <w:rsid w:val="00F5103A"/>
    <w:rsid w:val="00F5164B"/>
    <w:rsid w:val="00F52ABF"/>
    <w:rsid w:val="00F52BF1"/>
    <w:rsid w:val="00F52FD5"/>
    <w:rsid w:val="00F54346"/>
    <w:rsid w:val="00F54AFD"/>
    <w:rsid w:val="00F54E33"/>
    <w:rsid w:val="00F55C79"/>
    <w:rsid w:val="00F57648"/>
    <w:rsid w:val="00F57A3A"/>
    <w:rsid w:val="00F60B4E"/>
    <w:rsid w:val="00F60F63"/>
    <w:rsid w:val="00F61AB0"/>
    <w:rsid w:val="00F626C5"/>
    <w:rsid w:val="00F631AC"/>
    <w:rsid w:val="00F6320D"/>
    <w:rsid w:val="00F64253"/>
    <w:rsid w:val="00F678C7"/>
    <w:rsid w:val="00F67FE4"/>
    <w:rsid w:val="00F71365"/>
    <w:rsid w:val="00F73374"/>
    <w:rsid w:val="00F740AE"/>
    <w:rsid w:val="00F8105A"/>
    <w:rsid w:val="00F81B5D"/>
    <w:rsid w:val="00F83B98"/>
    <w:rsid w:val="00F85141"/>
    <w:rsid w:val="00F8562E"/>
    <w:rsid w:val="00F872E2"/>
    <w:rsid w:val="00F87EB4"/>
    <w:rsid w:val="00F87FD6"/>
    <w:rsid w:val="00F93DE7"/>
    <w:rsid w:val="00F95ED4"/>
    <w:rsid w:val="00F968CE"/>
    <w:rsid w:val="00F96A36"/>
    <w:rsid w:val="00F973CB"/>
    <w:rsid w:val="00FA0125"/>
    <w:rsid w:val="00FA0CD4"/>
    <w:rsid w:val="00FA0F63"/>
    <w:rsid w:val="00FA2A54"/>
    <w:rsid w:val="00FA3C89"/>
    <w:rsid w:val="00FA3EF2"/>
    <w:rsid w:val="00FA52A0"/>
    <w:rsid w:val="00FA58B5"/>
    <w:rsid w:val="00FA6438"/>
    <w:rsid w:val="00FA761C"/>
    <w:rsid w:val="00FA7968"/>
    <w:rsid w:val="00FB05C8"/>
    <w:rsid w:val="00FB3D81"/>
    <w:rsid w:val="00FB478B"/>
    <w:rsid w:val="00FB667F"/>
    <w:rsid w:val="00FB6A9B"/>
    <w:rsid w:val="00FB7A4D"/>
    <w:rsid w:val="00FC2D03"/>
    <w:rsid w:val="00FC4518"/>
    <w:rsid w:val="00FC4F8D"/>
    <w:rsid w:val="00FC5987"/>
    <w:rsid w:val="00FC73ED"/>
    <w:rsid w:val="00FD132F"/>
    <w:rsid w:val="00FD4332"/>
    <w:rsid w:val="00FD644E"/>
    <w:rsid w:val="00FD71BD"/>
    <w:rsid w:val="00FE0EC8"/>
    <w:rsid w:val="00FE1A70"/>
    <w:rsid w:val="00FE45EF"/>
    <w:rsid w:val="00FE49ED"/>
    <w:rsid w:val="00FE4ACD"/>
    <w:rsid w:val="00FE73CA"/>
    <w:rsid w:val="00FF3A3F"/>
    <w:rsid w:val="00FF73CF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89769B"/>
  <w15:docId w15:val="{7AD925E6-391F-470E-B9D2-E0E1086AD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2081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qFormat/>
    <w:rsid w:val="00212081"/>
    <w:pPr>
      <w:keepNext/>
      <w:bidi w:val="0"/>
      <w:spacing w:after="60"/>
      <w:outlineLvl w:val="0"/>
    </w:pPr>
    <w:rPr>
      <w:rFonts w:ascii="Arial" w:hAnsi="Arial" w:cs="Simplified Arabic"/>
      <w:b/>
      <w:bCs/>
      <w:snapToGrid w:val="0"/>
      <w:kern w:val="28"/>
      <w:sz w:val="32"/>
      <w:szCs w:val="33"/>
      <w:lang w:val="en-GB" w:eastAsia="en-US" w:bidi="ar-JO"/>
    </w:rPr>
  </w:style>
  <w:style w:type="paragraph" w:styleId="Heading2">
    <w:name w:val="heading 2"/>
    <w:basedOn w:val="Normal"/>
    <w:next w:val="Normal"/>
    <w:link w:val="Heading2Char"/>
    <w:qFormat/>
    <w:rsid w:val="00212081"/>
    <w:pPr>
      <w:keepNext/>
      <w:bidi w:val="0"/>
      <w:spacing w:after="60"/>
      <w:outlineLvl w:val="1"/>
    </w:pPr>
    <w:rPr>
      <w:rFonts w:ascii="Arial" w:hAnsi="Arial" w:cs="Simplified Arabic"/>
      <w:b/>
      <w:bCs/>
      <w:i/>
      <w:iCs/>
      <w:sz w:val="28"/>
      <w:szCs w:val="28"/>
      <w:lang w:val="en-GB" w:eastAsia="en-US" w:bidi="ar-JO"/>
    </w:rPr>
  </w:style>
  <w:style w:type="paragraph" w:styleId="Heading3">
    <w:name w:val="heading 3"/>
    <w:basedOn w:val="Normal"/>
    <w:next w:val="Normal"/>
    <w:link w:val="Heading3Char"/>
    <w:qFormat/>
    <w:rsid w:val="00212081"/>
    <w:pPr>
      <w:keepNext/>
      <w:overflowPunct w:val="0"/>
      <w:autoSpaceDE w:val="0"/>
      <w:autoSpaceDN w:val="0"/>
      <w:adjustRightInd w:val="0"/>
      <w:textAlignment w:val="baseline"/>
      <w:outlineLvl w:val="2"/>
    </w:pPr>
    <w:rPr>
      <w:rFonts w:cs="Traditional Arabic"/>
      <w:b/>
      <w:bCs/>
      <w:sz w:val="28"/>
      <w:szCs w:val="33"/>
      <w:u w:val="single"/>
      <w:lang w:val="en-GB" w:eastAsia="en-US" w:bidi="ar-JO"/>
    </w:rPr>
  </w:style>
  <w:style w:type="paragraph" w:styleId="Heading6">
    <w:name w:val="heading 6"/>
    <w:basedOn w:val="Normal"/>
    <w:next w:val="Normal"/>
    <w:link w:val="Heading6Char"/>
    <w:qFormat/>
    <w:rsid w:val="00212081"/>
    <w:pPr>
      <w:keepNext/>
      <w:spacing w:after="240"/>
      <w:ind w:left="288"/>
      <w:jc w:val="center"/>
      <w:outlineLvl w:val="5"/>
    </w:pPr>
    <w:rPr>
      <w:rFonts w:cs="Simplified Arabic"/>
      <w:b/>
      <w:bCs/>
      <w:szCs w:val="20"/>
      <w:lang w:eastAsia="en-US" w:bidi="ar-JO"/>
    </w:rPr>
  </w:style>
  <w:style w:type="paragraph" w:styleId="Heading7">
    <w:name w:val="heading 7"/>
    <w:basedOn w:val="Normal"/>
    <w:next w:val="Normal"/>
    <w:link w:val="Heading7Char"/>
    <w:qFormat/>
    <w:rsid w:val="00212081"/>
    <w:pPr>
      <w:keepNext/>
      <w:jc w:val="lowKashida"/>
      <w:outlineLvl w:val="6"/>
    </w:pPr>
    <w:rPr>
      <w:rFonts w:cs="Simplified Arabi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12081"/>
    <w:rPr>
      <w:rFonts w:ascii="Arial" w:eastAsia="Times New Roman" w:hAnsi="Arial" w:cs="Simplified Arabic"/>
      <w:b/>
      <w:bCs/>
      <w:snapToGrid w:val="0"/>
      <w:kern w:val="28"/>
      <w:sz w:val="32"/>
      <w:szCs w:val="33"/>
      <w:lang w:val="en-GB" w:bidi="ar-JO"/>
    </w:rPr>
  </w:style>
  <w:style w:type="character" w:customStyle="1" w:styleId="Heading2Char">
    <w:name w:val="Heading 2 Char"/>
    <w:basedOn w:val="DefaultParagraphFont"/>
    <w:link w:val="Heading2"/>
    <w:rsid w:val="00212081"/>
    <w:rPr>
      <w:rFonts w:ascii="Arial" w:eastAsia="Times New Roman" w:hAnsi="Arial" w:cs="Simplified Arabic"/>
      <w:b/>
      <w:bCs/>
      <w:i/>
      <w:iCs/>
      <w:sz w:val="28"/>
      <w:szCs w:val="28"/>
      <w:lang w:val="en-GB" w:bidi="ar-JO"/>
    </w:rPr>
  </w:style>
  <w:style w:type="character" w:customStyle="1" w:styleId="Heading3Char">
    <w:name w:val="Heading 3 Char"/>
    <w:basedOn w:val="DefaultParagraphFont"/>
    <w:link w:val="Heading3"/>
    <w:rsid w:val="00212081"/>
    <w:rPr>
      <w:rFonts w:ascii="Times New Roman" w:eastAsia="Times New Roman" w:hAnsi="Times New Roman" w:cs="Traditional Arabic"/>
      <w:b/>
      <w:bCs/>
      <w:sz w:val="28"/>
      <w:szCs w:val="33"/>
      <w:u w:val="single"/>
      <w:lang w:val="en-GB" w:bidi="ar-JO"/>
    </w:rPr>
  </w:style>
  <w:style w:type="character" w:customStyle="1" w:styleId="Heading6Char">
    <w:name w:val="Heading 6 Char"/>
    <w:basedOn w:val="DefaultParagraphFont"/>
    <w:link w:val="Heading6"/>
    <w:rsid w:val="00212081"/>
    <w:rPr>
      <w:rFonts w:ascii="Times New Roman" w:eastAsia="Times New Roman" w:hAnsi="Times New Roman" w:cs="Simplified Arabic"/>
      <w:b/>
      <w:bCs/>
      <w:sz w:val="24"/>
      <w:szCs w:val="20"/>
      <w:lang w:bidi="ar-JO"/>
    </w:rPr>
  </w:style>
  <w:style w:type="character" w:customStyle="1" w:styleId="Heading7Char">
    <w:name w:val="Heading 7 Char"/>
    <w:basedOn w:val="DefaultParagraphFont"/>
    <w:link w:val="Heading7"/>
    <w:rsid w:val="00212081"/>
    <w:rPr>
      <w:rFonts w:ascii="Times New Roman" w:eastAsia="Times New Roman" w:hAnsi="Times New Roman" w:cs="Simplified Arabic"/>
      <w:b/>
      <w:bCs/>
      <w:sz w:val="24"/>
      <w:szCs w:val="24"/>
      <w:lang w:eastAsia="ar-SA"/>
    </w:rPr>
  </w:style>
  <w:style w:type="paragraph" w:styleId="BodyText">
    <w:name w:val="Body Text"/>
    <w:basedOn w:val="Normal"/>
    <w:link w:val="BodyTextChar"/>
    <w:rsid w:val="00212081"/>
    <w:pPr>
      <w:jc w:val="lowKashida"/>
    </w:pPr>
    <w:rPr>
      <w:rFonts w:cs="Simplified Arabic"/>
      <w:szCs w:val="23"/>
    </w:rPr>
  </w:style>
  <w:style w:type="character" w:customStyle="1" w:styleId="BodyTextChar">
    <w:name w:val="Body Text Char"/>
    <w:basedOn w:val="DefaultParagraphFont"/>
    <w:link w:val="BodyText"/>
    <w:rsid w:val="00212081"/>
    <w:rPr>
      <w:rFonts w:ascii="Times New Roman" w:eastAsia="Times New Roman" w:hAnsi="Times New Roman" w:cs="Simplified Arabic"/>
      <w:sz w:val="24"/>
      <w:szCs w:val="23"/>
      <w:lang w:eastAsia="ar-SA"/>
    </w:rPr>
  </w:style>
  <w:style w:type="paragraph" w:styleId="Title">
    <w:name w:val="Title"/>
    <w:basedOn w:val="Normal"/>
    <w:next w:val="Normal"/>
    <w:link w:val="TitleChar"/>
    <w:qFormat/>
    <w:rsid w:val="00212081"/>
    <w:pPr>
      <w:bidi w:val="0"/>
      <w:spacing w:after="60"/>
      <w:jc w:val="center"/>
      <w:outlineLvl w:val="0"/>
    </w:pPr>
    <w:rPr>
      <w:rFonts w:ascii="Arial" w:cs="Simplified Arabic"/>
      <w:b/>
      <w:bCs/>
      <w:kern w:val="28"/>
      <w:sz w:val="32"/>
      <w:szCs w:val="38"/>
      <w:lang w:val="en-GB" w:eastAsia="en-US" w:bidi="ar-JO"/>
    </w:rPr>
  </w:style>
  <w:style w:type="character" w:customStyle="1" w:styleId="TitleChar">
    <w:name w:val="Title Char"/>
    <w:basedOn w:val="DefaultParagraphFont"/>
    <w:link w:val="Title"/>
    <w:rsid w:val="00212081"/>
    <w:rPr>
      <w:rFonts w:ascii="Arial" w:eastAsia="Times New Roman" w:hAnsi="Times New Roman" w:cs="Simplified Arabic"/>
      <w:b/>
      <w:bCs/>
      <w:kern w:val="28"/>
      <w:sz w:val="32"/>
      <w:szCs w:val="38"/>
      <w:lang w:val="en-GB" w:bidi="ar-JO"/>
    </w:rPr>
  </w:style>
  <w:style w:type="paragraph" w:styleId="BodyText2">
    <w:name w:val="Body Text 2"/>
    <w:basedOn w:val="Normal"/>
    <w:link w:val="BodyText2Char"/>
    <w:rsid w:val="00212081"/>
    <w:pPr>
      <w:jc w:val="center"/>
    </w:pPr>
    <w:rPr>
      <w:rFonts w:cs="Simplified Arabic"/>
      <w:b/>
      <w:bCs/>
      <w:sz w:val="44"/>
      <w:szCs w:val="44"/>
    </w:rPr>
  </w:style>
  <w:style w:type="character" w:customStyle="1" w:styleId="BodyText2Char">
    <w:name w:val="Body Text 2 Char"/>
    <w:basedOn w:val="DefaultParagraphFont"/>
    <w:link w:val="BodyText2"/>
    <w:rsid w:val="00212081"/>
    <w:rPr>
      <w:rFonts w:ascii="Times New Roman" w:eastAsia="Times New Roman" w:hAnsi="Times New Roman" w:cs="Simplified Arabic"/>
      <w:b/>
      <w:bCs/>
      <w:sz w:val="44"/>
      <w:szCs w:val="44"/>
      <w:lang w:eastAsia="ar-SA"/>
    </w:rPr>
  </w:style>
  <w:style w:type="paragraph" w:styleId="Footer">
    <w:name w:val="footer"/>
    <w:basedOn w:val="Normal"/>
    <w:link w:val="FooterChar"/>
    <w:uiPriority w:val="99"/>
    <w:rsid w:val="00212081"/>
    <w:pPr>
      <w:tabs>
        <w:tab w:val="center" w:pos="4153"/>
        <w:tab w:val="right" w:pos="8306"/>
      </w:tabs>
    </w:pPr>
    <w:rPr>
      <w:rFonts w:cs="Traditional Arabic"/>
      <w:noProof/>
      <w:sz w:val="20"/>
      <w:szCs w:val="20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212081"/>
    <w:rPr>
      <w:rFonts w:ascii="Times New Roman" w:eastAsia="Times New Roman" w:hAnsi="Times New Roman" w:cs="Traditional Arabic"/>
      <w:noProof/>
      <w:sz w:val="20"/>
      <w:szCs w:val="20"/>
    </w:rPr>
  </w:style>
  <w:style w:type="paragraph" w:styleId="BodyText3">
    <w:name w:val="Body Text 3"/>
    <w:basedOn w:val="Normal"/>
    <w:link w:val="BodyText3Char"/>
    <w:rsid w:val="00212081"/>
    <w:pPr>
      <w:bidi w:val="0"/>
      <w:jc w:val="lowKashida"/>
    </w:pPr>
    <w:rPr>
      <w:rFonts w:ascii="Verdana" w:hAnsi="Verdana" w:cs="Traditional Arabic"/>
      <w:noProof/>
      <w:sz w:val="18"/>
      <w:szCs w:val="21"/>
    </w:rPr>
  </w:style>
  <w:style w:type="character" w:customStyle="1" w:styleId="BodyText3Char">
    <w:name w:val="Body Text 3 Char"/>
    <w:basedOn w:val="DefaultParagraphFont"/>
    <w:link w:val="BodyText3"/>
    <w:rsid w:val="00212081"/>
    <w:rPr>
      <w:rFonts w:ascii="Verdana" w:eastAsia="Times New Roman" w:hAnsi="Verdana" w:cs="Traditional Arabic"/>
      <w:noProof/>
      <w:sz w:val="18"/>
      <w:szCs w:val="21"/>
      <w:lang w:eastAsia="ar-SA"/>
    </w:rPr>
  </w:style>
  <w:style w:type="paragraph" w:styleId="FootnoteText">
    <w:name w:val="footnote text"/>
    <w:basedOn w:val="Normal"/>
    <w:link w:val="FootnoteTextChar"/>
    <w:semiHidden/>
    <w:rsid w:val="00212081"/>
    <w:pPr>
      <w:bidi w:val="0"/>
    </w:pPr>
    <w:rPr>
      <w:rFonts w:cs="Traditional Arabic"/>
      <w:noProof/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212081"/>
    <w:rPr>
      <w:rFonts w:ascii="Times New Roman" w:eastAsia="Times New Roman" w:hAnsi="Times New Roman" w:cs="Traditional Arabic"/>
      <w:noProof/>
      <w:sz w:val="20"/>
      <w:szCs w:val="24"/>
      <w:lang w:eastAsia="ar-SA"/>
    </w:rPr>
  </w:style>
  <w:style w:type="character" w:styleId="FootnoteReference">
    <w:name w:val="footnote reference"/>
    <w:basedOn w:val="DefaultParagraphFont"/>
    <w:semiHidden/>
    <w:rsid w:val="00212081"/>
    <w:rPr>
      <w:vertAlign w:val="superscript"/>
    </w:rPr>
  </w:style>
  <w:style w:type="character" w:styleId="PageNumber">
    <w:name w:val="page number"/>
    <w:basedOn w:val="DefaultParagraphFont"/>
    <w:rsid w:val="00212081"/>
  </w:style>
  <w:style w:type="paragraph" w:styleId="ListParagraph">
    <w:name w:val="List Paragraph"/>
    <w:basedOn w:val="Normal"/>
    <w:uiPriority w:val="34"/>
    <w:qFormat/>
    <w:rsid w:val="00212081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120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081"/>
    <w:rPr>
      <w:rFonts w:ascii="Tahoma" w:eastAsia="Times New Roman" w:hAnsi="Tahoma" w:cs="Tahoma"/>
      <w:sz w:val="16"/>
      <w:szCs w:val="16"/>
      <w:lang w:eastAsia="ar-SA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621F9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21F9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eader">
    <w:name w:val="header"/>
    <w:basedOn w:val="Normal"/>
    <w:link w:val="HeaderChar"/>
    <w:uiPriority w:val="99"/>
    <w:unhideWhenUsed/>
    <w:rsid w:val="0026663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663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96B97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96B9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EndnoteReference">
    <w:name w:val="endnote reference"/>
    <w:basedOn w:val="DefaultParagraphFont"/>
    <w:uiPriority w:val="99"/>
    <w:semiHidden/>
    <w:unhideWhenUsed/>
    <w:rsid w:val="00696B97"/>
    <w:rPr>
      <w:vertAlign w:val="superscript"/>
    </w:rPr>
  </w:style>
  <w:style w:type="paragraph" w:styleId="BlockText">
    <w:name w:val="Block Text"/>
    <w:basedOn w:val="Normal"/>
    <w:semiHidden/>
    <w:rsid w:val="00B73EED"/>
    <w:pPr>
      <w:tabs>
        <w:tab w:val="left" w:pos="4395"/>
      </w:tabs>
      <w:bidi w:val="0"/>
      <w:ind w:left="-90" w:right="27"/>
      <w:jc w:val="lowKashida"/>
    </w:pPr>
    <w:rPr>
      <w:b/>
      <w:bCs/>
      <w:noProof/>
      <w:lang w:eastAsia="en-US"/>
    </w:rPr>
  </w:style>
  <w:style w:type="table" w:styleId="TableGrid">
    <w:name w:val="Table Grid"/>
    <w:basedOn w:val="TableNormal"/>
    <w:uiPriority w:val="59"/>
    <w:rsid w:val="00B73EED"/>
    <w:pPr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Emphasis">
    <w:name w:val="Emphasis"/>
    <w:basedOn w:val="DefaultParagraphFont"/>
    <w:uiPriority w:val="20"/>
    <w:qFormat/>
    <w:rsid w:val="00C63011"/>
    <w:rPr>
      <w:i/>
      <w:iCs/>
    </w:rPr>
  </w:style>
  <w:style w:type="character" w:customStyle="1" w:styleId="jlqj4b">
    <w:name w:val="jlqj4b"/>
    <w:basedOn w:val="DefaultParagraphFont"/>
    <w:rsid w:val="00336BD1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D45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bidi w:val="0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D4570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6D4570"/>
  </w:style>
  <w:style w:type="paragraph" w:customStyle="1" w:styleId="xmsonormal">
    <w:name w:val="x_msonormal"/>
    <w:basedOn w:val="Normal"/>
    <w:rsid w:val="006C6A2A"/>
    <w:pPr>
      <w:bidi w:val="0"/>
      <w:spacing w:before="100" w:beforeAutospacing="1" w:after="100" w:afterAutospacing="1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93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6522207258237581"/>
          <c:y val="4.1278468329486687E-2"/>
          <c:w val="0.80987492345936063"/>
          <c:h val="0.67955528446268165"/>
        </c:manualLayout>
      </c:layout>
      <c:lineChart>
        <c:grouping val="stacked"/>
        <c:varyColors val="0"/>
        <c:ser>
          <c:idx val="1"/>
          <c:order val="0"/>
          <c:tx>
            <c:strRef>
              <c:f>Sheet1!$C$2</c:f>
              <c:strCache>
                <c:ptCount val="1"/>
                <c:pt idx="0">
                  <c:v>Column2</c:v>
                </c:pt>
              </c:strCache>
            </c:strRef>
          </c:tx>
          <c:dLbls>
            <c:dLbl>
              <c:idx val="0"/>
              <c:layout>
                <c:manualLayout>
                  <c:x val="-3.4571909026335376E-2"/>
                  <c:y val="-8.77192982456140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89AF-4BB5-BEC9-6E2A961D5F29}"/>
                </c:ext>
              </c:extLst>
            </c:dLbl>
            <c:dLbl>
              <c:idx val="19"/>
              <c:layout>
                <c:manualLayout>
                  <c:x val="-9.219776420421804E-3"/>
                  <c:y val="-8.771929824561408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9670-47E4-AC0F-E5211E2F50BE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cat>
            <c:multiLvlStrRef>
              <c:f>Sheet1!$A$3:$B$22</c:f>
              <c:multiLvlStrCache>
                <c:ptCount val="20"/>
                <c:lvl>
                  <c:pt idx="0">
                    <c:v>Q1</c:v>
                  </c:pt>
                  <c:pt idx="1">
                    <c:v>Q2</c:v>
                  </c:pt>
                  <c:pt idx="2">
                    <c:v>Q3</c:v>
                  </c:pt>
                  <c:pt idx="3">
                    <c:v>Q4</c:v>
                  </c:pt>
                  <c:pt idx="4">
                    <c:v>Q1</c:v>
                  </c:pt>
                  <c:pt idx="5">
                    <c:v>Q2</c:v>
                  </c:pt>
                  <c:pt idx="6">
                    <c:v>Q3</c:v>
                  </c:pt>
                  <c:pt idx="7">
                    <c:v>Q4</c:v>
                  </c:pt>
                  <c:pt idx="8">
                    <c:v>Q1</c:v>
                  </c:pt>
                  <c:pt idx="9">
                    <c:v>Q2</c:v>
                  </c:pt>
                  <c:pt idx="10">
                    <c:v>Q3</c:v>
                  </c:pt>
                  <c:pt idx="11">
                    <c:v>Q4</c:v>
                  </c:pt>
                  <c:pt idx="12">
                    <c:v>Q1</c:v>
                  </c:pt>
                  <c:pt idx="13">
                    <c:v>Q2</c:v>
                  </c:pt>
                  <c:pt idx="14">
                    <c:v>Q3</c:v>
                  </c:pt>
                  <c:pt idx="15">
                    <c:v>Q4</c:v>
                  </c:pt>
                  <c:pt idx="16">
                    <c:v>Q1</c:v>
                  </c:pt>
                  <c:pt idx="17">
                    <c:v>Q2</c:v>
                  </c:pt>
                  <c:pt idx="18">
                    <c:v>Q3</c:v>
                  </c:pt>
                  <c:pt idx="19">
                    <c:v>Q4</c:v>
                  </c:pt>
                </c:lvl>
                <c:lvl>
                  <c:pt idx="0">
                    <c:v>2021</c:v>
                  </c:pt>
                  <c:pt idx="4">
                    <c:v>2022</c:v>
                  </c:pt>
                  <c:pt idx="8">
                    <c:v>2023</c:v>
                  </c:pt>
                  <c:pt idx="12">
                    <c:v>2024</c:v>
                  </c:pt>
                  <c:pt idx="16">
                    <c:v>2025</c:v>
                  </c:pt>
                </c:lvl>
              </c:multiLvlStrCache>
            </c:multiLvlStrRef>
          </c:cat>
          <c:val>
            <c:numRef>
              <c:f>Sheet1!$C$3:$C$22</c:f>
              <c:numCache>
                <c:formatCode>#,##0.0</c:formatCode>
                <c:ptCount val="20"/>
                <c:pt idx="0">
                  <c:v>3611.4</c:v>
                </c:pt>
                <c:pt idx="1">
                  <c:v>3735.7999999999997</c:v>
                </c:pt>
                <c:pt idx="2">
                  <c:v>3739.2</c:v>
                </c:pt>
                <c:pt idx="3">
                  <c:v>3935.3</c:v>
                </c:pt>
                <c:pt idx="4">
                  <c:v>3823.2</c:v>
                </c:pt>
                <c:pt idx="5">
                  <c:v>3867.6</c:v>
                </c:pt>
                <c:pt idx="6">
                  <c:v>3916</c:v>
                </c:pt>
                <c:pt idx="7">
                  <c:v>4028.2000000000003</c:v>
                </c:pt>
                <c:pt idx="8">
                  <c:v>4133.4000000000005</c:v>
                </c:pt>
                <c:pt idx="9">
                  <c:v>4151.3999999999996</c:v>
                </c:pt>
                <c:pt idx="10">
                  <c:v>4216</c:v>
                </c:pt>
                <c:pt idx="11">
                  <c:v>2982.2</c:v>
                </c:pt>
                <c:pt idx="12">
                  <c:v>2823.7</c:v>
                </c:pt>
                <c:pt idx="13">
                  <c:v>2947.7000000000003</c:v>
                </c:pt>
                <c:pt idx="14">
                  <c:v>3058.0000000000005</c:v>
                </c:pt>
                <c:pt idx="15">
                  <c:v>3114.6</c:v>
                </c:pt>
                <c:pt idx="16">
                  <c:v>3103.3999999999996</c:v>
                </c:pt>
                <c:pt idx="17">
                  <c:v>3043</c:v>
                </c:pt>
                <c:pt idx="18">
                  <c:v>3101.4</c:v>
                </c:pt>
                <c:pt idx="19">
                  <c:v>3215.1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62A0-4535-BFB7-7C73800C5B3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90859776"/>
        <c:axId val="90864640"/>
      </c:lineChart>
      <c:catAx>
        <c:axId val="9085977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 rtl="0">
              <a:defRPr lang="ar-SA" sz="900">
                <a:latin typeface="Arial" pitchFamily="34" charset="0"/>
                <a:cs typeface="Arial" pitchFamily="34" charset="0"/>
              </a:defRPr>
            </a:pPr>
            <a:endParaRPr lang="en-US"/>
          </a:p>
        </c:txPr>
        <c:crossAx val="90864640"/>
        <c:crosses val="autoZero"/>
        <c:auto val="1"/>
        <c:lblAlgn val="ctr"/>
        <c:lblOffset val="100"/>
        <c:noMultiLvlLbl val="0"/>
      </c:catAx>
      <c:valAx>
        <c:axId val="90864640"/>
        <c:scaling>
          <c:orientation val="minMax"/>
          <c:max val="7000"/>
          <c:min val="0"/>
        </c:scaling>
        <c:delete val="0"/>
        <c:axPos val="l"/>
        <c:title>
          <c:tx>
            <c:rich>
              <a:bodyPr/>
              <a:lstStyle/>
              <a:p>
                <a:pPr>
                  <a:defRPr lang="ar-SA" sz="900">
                    <a:latin typeface="Arial" pitchFamily="34" charset="0"/>
                    <a:cs typeface="Arial" pitchFamily="34" charset="0"/>
                  </a:defRPr>
                </a:pPr>
                <a:r>
                  <a:rPr lang="en-US" sz="900" baseline="0">
                    <a:latin typeface="Arial" pitchFamily="34" charset="0"/>
                    <a:cs typeface="Arial" pitchFamily="34" charset="0"/>
                  </a:rPr>
                  <a:t>Million USD</a:t>
                </a:r>
                <a:endParaRPr lang="en-US" sz="900">
                  <a:latin typeface="Arial" pitchFamily="34" charset="0"/>
                  <a:cs typeface="Arial" pitchFamily="34" charset="0"/>
                </a:endParaRPr>
              </a:p>
            </c:rich>
          </c:tx>
          <c:overlay val="0"/>
        </c:title>
        <c:numFmt formatCode="#,##0" sourceLinked="0"/>
        <c:majorTickMark val="out"/>
        <c:minorTickMark val="none"/>
        <c:tickLblPos val="nextTo"/>
        <c:txPr>
          <a:bodyPr/>
          <a:lstStyle/>
          <a:p>
            <a:pPr>
              <a:defRPr lang="ar-SA"/>
            </a:pPr>
            <a:endParaRPr lang="en-US"/>
          </a:p>
        </c:txPr>
        <c:crossAx val="90859776"/>
        <c:crossesAt val="1"/>
        <c:crossBetween val="between"/>
        <c:majorUnit val="1000"/>
      </c:valAx>
    </c:plotArea>
    <c:plotVisOnly val="1"/>
    <c:dispBlanksAs val="zero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412416-D8C0-416B-A32B-FD8D4BA4E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aomar</dc:creator>
  <cp:lastModifiedBy>pcbs</cp:lastModifiedBy>
  <cp:revision>4</cp:revision>
  <cp:lastPrinted>2026-03-26T08:39:00Z</cp:lastPrinted>
  <dcterms:created xsi:type="dcterms:W3CDTF">2026-03-26T09:04:00Z</dcterms:created>
  <dcterms:modified xsi:type="dcterms:W3CDTF">2026-03-26T10:18:00Z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4a994338458359b54aeed5c76c31df96a1636a9c2a1747ec81ad0d5bd64ec209</vt:lpwstr>
  </property>
</Properties>
</file>