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015" w:rsidRPr="00AC6B9E" w:rsidRDefault="00975FEF" w:rsidP="00AC6B9E">
      <w:pPr>
        <w:pStyle w:val="Default"/>
        <w:ind w:left="-284"/>
        <w:jc w:val="center"/>
        <w:rPr>
          <w:rFonts w:asciiTheme="majorBidi" w:hAnsiTheme="majorBidi" w:cstheme="majorBidi"/>
          <w:b/>
          <w:bCs/>
          <w:sz w:val="32"/>
          <w:szCs w:val="32"/>
        </w:rPr>
        <w:sectPr w:rsidR="00A42015" w:rsidRPr="00AC6B9E" w:rsidSect="00A42015">
          <w:footerReference w:type="default" r:id="rId8"/>
          <w:pgSz w:w="11907" w:h="16840" w:code="9"/>
          <w:pgMar w:top="709" w:right="851" w:bottom="851" w:left="851" w:header="284" w:footer="720" w:gutter="0"/>
          <w:pgNumType w:start="1"/>
          <w:cols w:space="851"/>
          <w:docGrid w:linePitch="360"/>
        </w:sectPr>
      </w:pPr>
      <w:bookmarkStart w:id="0" w:name="OLE_LINK3"/>
      <w:bookmarkStart w:id="1" w:name="OLE_LINK4"/>
      <w:bookmarkStart w:id="2" w:name="OLE_LINK5"/>
      <w:bookmarkStart w:id="3" w:name="OLE_LINK6"/>
      <w:r w:rsidRPr="00AC6B9E">
        <w:rPr>
          <w:rFonts w:asciiTheme="majorBidi" w:hAnsiTheme="majorBidi" w:cstheme="majorBidi"/>
          <w:b/>
          <w:bCs/>
          <w:sz w:val="32"/>
          <w:szCs w:val="32"/>
        </w:rPr>
        <w:t xml:space="preserve">Palestinian Central Bureau of Statistics (PCBS) and the Ministry of </w:t>
      </w:r>
      <w:r w:rsidR="00062BE3" w:rsidRPr="00AC6B9E">
        <w:rPr>
          <w:rFonts w:asciiTheme="majorBidi" w:hAnsiTheme="majorBidi" w:cstheme="majorBidi"/>
          <w:b/>
          <w:bCs/>
          <w:sz w:val="32"/>
          <w:szCs w:val="32"/>
        </w:rPr>
        <w:t>Telecom</w:t>
      </w:r>
      <w:r w:rsidRPr="00AC6B9E">
        <w:rPr>
          <w:rFonts w:asciiTheme="majorBidi" w:hAnsiTheme="majorBidi" w:cstheme="majorBidi"/>
          <w:b/>
          <w:bCs/>
          <w:sz w:val="32"/>
          <w:szCs w:val="32"/>
        </w:rPr>
        <w:t xml:space="preserve"> and Information Technology issue a joint press release on the </w:t>
      </w:r>
      <w:r w:rsidR="00AC6B9E" w:rsidRPr="00AC6B9E">
        <w:rPr>
          <w:b/>
          <w:bCs/>
          <w:color w:val="auto"/>
          <w:sz w:val="32"/>
          <w:szCs w:val="32"/>
          <w:lang w:val="en-US" w:eastAsia="ar-SA"/>
        </w:rPr>
        <w:t>occasion</w:t>
      </w:r>
      <w:r w:rsidR="00AC6B9E" w:rsidRPr="00AC6B9E">
        <w:rPr>
          <w:rFonts w:asciiTheme="majorBidi" w:hAnsiTheme="majorBidi" w:cstheme="majorBidi"/>
          <w:b/>
          <w:bCs/>
          <w:sz w:val="32"/>
          <w:szCs w:val="32"/>
        </w:rPr>
        <w:t xml:space="preserve"> </w:t>
      </w:r>
      <w:r w:rsidRPr="00AC6B9E">
        <w:rPr>
          <w:rFonts w:asciiTheme="majorBidi" w:hAnsiTheme="majorBidi" w:cstheme="majorBidi"/>
          <w:b/>
          <w:bCs/>
          <w:sz w:val="32"/>
          <w:szCs w:val="32"/>
        </w:rPr>
        <w:t xml:space="preserve">of the </w:t>
      </w:r>
      <w:r w:rsidR="00C27508" w:rsidRPr="00AC6B9E">
        <w:rPr>
          <w:rFonts w:asciiTheme="majorBidi" w:hAnsiTheme="majorBidi" w:cstheme="majorBidi"/>
          <w:b/>
          <w:bCs/>
          <w:sz w:val="32"/>
          <w:szCs w:val="32"/>
        </w:rPr>
        <w:t xml:space="preserve">World </w:t>
      </w:r>
      <w:r w:rsidR="00C1427E" w:rsidRPr="00AC6B9E">
        <w:rPr>
          <w:rFonts w:asciiTheme="majorBidi" w:hAnsiTheme="majorBidi" w:cstheme="majorBidi"/>
          <w:b/>
          <w:bCs/>
          <w:sz w:val="32"/>
          <w:szCs w:val="32"/>
          <w:lang w:val="en-US"/>
        </w:rPr>
        <w:t xml:space="preserve">Telecommunication and </w:t>
      </w:r>
      <w:r w:rsidR="00C1427E" w:rsidRPr="00AC6B9E">
        <w:rPr>
          <w:rFonts w:asciiTheme="majorBidi" w:hAnsiTheme="majorBidi" w:cstheme="majorBidi"/>
          <w:b/>
          <w:bCs/>
          <w:sz w:val="32"/>
          <w:szCs w:val="32"/>
        </w:rPr>
        <w:t>Informatio</w:t>
      </w:r>
      <w:bookmarkStart w:id="4" w:name="_GoBack"/>
      <w:bookmarkEnd w:id="4"/>
      <w:r w:rsidR="00C1427E" w:rsidRPr="00AC6B9E">
        <w:rPr>
          <w:rFonts w:asciiTheme="majorBidi" w:hAnsiTheme="majorBidi" w:cstheme="majorBidi"/>
          <w:b/>
          <w:bCs/>
          <w:sz w:val="32"/>
          <w:szCs w:val="32"/>
        </w:rPr>
        <w:t xml:space="preserve">n </w:t>
      </w:r>
      <w:r w:rsidRPr="00AC6B9E">
        <w:rPr>
          <w:rFonts w:asciiTheme="majorBidi" w:hAnsiTheme="majorBidi" w:cstheme="majorBidi"/>
          <w:b/>
          <w:bCs/>
          <w:sz w:val="32"/>
          <w:szCs w:val="32"/>
        </w:rPr>
        <w:t>Society</w:t>
      </w:r>
      <w:r w:rsidR="00E07A1C" w:rsidRPr="00AC6B9E">
        <w:rPr>
          <w:rFonts w:asciiTheme="majorBidi" w:hAnsiTheme="majorBidi" w:cstheme="majorBidi"/>
          <w:b/>
          <w:bCs/>
          <w:sz w:val="32"/>
          <w:szCs w:val="32"/>
        </w:rPr>
        <w:t xml:space="preserve"> Day</w:t>
      </w:r>
      <w:r w:rsidR="00B80B84" w:rsidRPr="00AC6B9E">
        <w:rPr>
          <w:rFonts w:asciiTheme="majorBidi" w:hAnsiTheme="majorBidi" w:cstheme="majorBidi"/>
          <w:b/>
          <w:bCs/>
          <w:sz w:val="32"/>
          <w:szCs w:val="32"/>
        </w:rPr>
        <w:t>,</w:t>
      </w:r>
      <w:r w:rsidRPr="00AC6B9E">
        <w:rPr>
          <w:rFonts w:asciiTheme="majorBidi" w:hAnsiTheme="majorBidi" w:cstheme="majorBidi"/>
          <w:b/>
          <w:bCs/>
          <w:sz w:val="32"/>
          <w:szCs w:val="32"/>
        </w:rPr>
        <w:t xml:space="preserve"> 17/05/</w:t>
      </w:r>
      <w:r w:rsidR="00757CB8" w:rsidRPr="00AC6B9E">
        <w:rPr>
          <w:rFonts w:asciiTheme="majorBidi" w:hAnsiTheme="majorBidi" w:cstheme="majorBidi"/>
          <w:b/>
          <w:bCs/>
          <w:sz w:val="32"/>
          <w:szCs w:val="32"/>
        </w:rPr>
        <w:t>202</w:t>
      </w:r>
      <w:r w:rsidR="000256FF" w:rsidRPr="00AC6B9E">
        <w:rPr>
          <w:rFonts w:asciiTheme="majorBidi" w:hAnsiTheme="majorBidi" w:cstheme="majorBidi"/>
          <w:b/>
          <w:bCs/>
          <w:sz w:val="32"/>
          <w:szCs w:val="32"/>
        </w:rPr>
        <w:t>3</w:t>
      </w:r>
    </w:p>
    <w:p w:rsidR="00375C56" w:rsidRPr="00A42015" w:rsidRDefault="00375C56" w:rsidP="00757CB8">
      <w:pPr>
        <w:pStyle w:val="Default"/>
        <w:ind w:left="-284"/>
        <w:jc w:val="both"/>
        <w:rPr>
          <w:rFonts w:asciiTheme="majorBidi" w:hAnsiTheme="majorBidi" w:cstheme="majorBidi"/>
          <w:b/>
          <w:bCs/>
          <w:color w:val="auto"/>
          <w:sz w:val="16"/>
          <w:szCs w:val="16"/>
          <w:rtl/>
        </w:rPr>
      </w:pPr>
    </w:p>
    <w:p w:rsidR="005D1369" w:rsidRPr="00A42015" w:rsidRDefault="00375C56" w:rsidP="005D1369">
      <w:pPr>
        <w:pStyle w:val="Default"/>
        <w:ind w:left="-284"/>
        <w:jc w:val="both"/>
        <w:rPr>
          <w:rFonts w:asciiTheme="majorBidi" w:hAnsiTheme="majorBidi" w:cstheme="majorBidi"/>
          <w:sz w:val="26"/>
          <w:szCs w:val="26"/>
        </w:rPr>
      </w:pPr>
      <w:r w:rsidRPr="00A42015">
        <w:rPr>
          <w:rFonts w:asciiTheme="majorBidi" w:hAnsiTheme="majorBidi" w:cstheme="majorBidi"/>
          <w:sz w:val="26"/>
          <w:szCs w:val="26"/>
        </w:rPr>
        <w:t xml:space="preserve">World Telecommunication and Information Society Day (WTISD) has been </w:t>
      </w:r>
      <w:r w:rsidR="00360559" w:rsidRPr="00A42015">
        <w:rPr>
          <w:rFonts w:asciiTheme="majorBidi" w:hAnsiTheme="majorBidi" w:cstheme="majorBidi"/>
          <w:sz w:val="26"/>
          <w:szCs w:val="26"/>
        </w:rPr>
        <w:t xml:space="preserve">annually </w:t>
      </w:r>
      <w:r w:rsidRPr="00A42015">
        <w:rPr>
          <w:rFonts w:asciiTheme="majorBidi" w:hAnsiTheme="majorBidi" w:cstheme="majorBidi"/>
          <w:sz w:val="26"/>
          <w:szCs w:val="26"/>
        </w:rPr>
        <w:t xml:space="preserve">celebrated </w:t>
      </w:r>
      <w:r w:rsidR="00360559" w:rsidRPr="00A42015">
        <w:rPr>
          <w:rFonts w:asciiTheme="majorBidi" w:hAnsiTheme="majorBidi" w:cstheme="majorBidi"/>
          <w:sz w:val="26"/>
          <w:szCs w:val="26"/>
        </w:rPr>
        <w:t xml:space="preserve">on May </w:t>
      </w:r>
      <w:r w:rsidRPr="00A42015">
        <w:rPr>
          <w:rFonts w:asciiTheme="majorBidi" w:hAnsiTheme="majorBidi" w:cstheme="majorBidi"/>
          <w:sz w:val="26"/>
          <w:szCs w:val="26"/>
        </w:rPr>
        <w:t>17</w:t>
      </w:r>
      <w:r w:rsidR="00360559" w:rsidRPr="00A42015">
        <w:rPr>
          <w:rFonts w:asciiTheme="majorBidi" w:hAnsiTheme="majorBidi" w:cstheme="majorBidi"/>
          <w:sz w:val="26"/>
          <w:szCs w:val="26"/>
          <w:vertAlign w:val="superscript"/>
        </w:rPr>
        <w:t>th</w:t>
      </w:r>
      <w:r w:rsidRPr="00A42015">
        <w:rPr>
          <w:rFonts w:asciiTheme="majorBidi" w:hAnsiTheme="majorBidi" w:cstheme="majorBidi"/>
          <w:sz w:val="26"/>
          <w:szCs w:val="26"/>
        </w:rPr>
        <w:t xml:space="preserve"> since 1969 to mark the founding of ITU and the signing of the first International Telegraph Convention in 1865.</w:t>
      </w:r>
    </w:p>
    <w:p w:rsidR="005D1369" w:rsidRPr="00A42015" w:rsidRDefault="005D1369" w:rsidP="005D1369">
      <w:pPr>
        <w:pStyle w:val="Default"/>
        <w:ind w:left="-284"/>
        <w:jc w:val="both"/>
        <w:rPr>
          <w:rFonts w:asciiTheme="majorBidi" w:hAnsiTheme="majorBidi" w:cstheme="majorBidi"/>
          <w:sz w:val="16"/>
          <w:szCs w:val="16"/>
        </w:rPr>
      </w:pPr>
    </w:p>
    <w:p w:rsidR="003A2E41" w:rsidRPr="00A42015" w:rsidRDefault="00F80D85" w:rsidP="000256FF">
      <w:pPr>
        <w:pStyle w:val="Default"/>
        <w:ind w:left="-284"/>
        <w:jc w:val="both"/>
        <w:rPr>
          <w:rFonts w:asciiTheme="majorBidi" w:hAnsiTheme="majorBidi" w:cstheme="majorBidi"/>
          <w:sz w:val="26"/>
          <w:szCs w:val="26"/>
        </w:rPr>
      </w:pPr>
      <w:r w:rsidRPr="00A42015">
        <w:rPr>
          <w:rFonts w:asciiTheme="majorBidi" w:hAnsiTheme="majorBidi" w:cstheme="majorBidi"/>
          <w:sz w:val="26"/>
          <w:szCs w:val="26"/>
        </w:rPr>
        <w:t xml:space="preserve">The </w:t>
      </w:r>
      <w:r w:rsidR="000256FF" w:rsidRPr="00A42015">
        <w:rPr>
          <w:rFonts w:asciiTheme="majorBidi" w:hAnsiTheme="majorBidi" w:cstheme="majorBidi"/>
          <w:sz w:val="26"/>
          <w:szCs w:val="26"/>
        </w:rPr>
        <w:t>theme of</w:t>
      </w:r>
      <w:r w:rsidR="00971AA3" w:rsidRPr="00A42015">
        <w:rPr>
          <w:rFonts w:asciiTheme="majorBidi" w:hAnsiTheme="majorBidi" w:cstheme="majorBidi"/>
          <w:sz w:val="26"/>
          <w:szCs w:val="26"/>
        </w:rPr>
        <w:t xml:space="preserve"> this year's (WTISD)</w:t>
      </w:r>
      <w:r w:rsidR="008A7094" w:rsidRPr="00A42015">
        <w:rPr>
          <w:rFonts w:asciiTheme="majorBidi" w:hAnsiTheme="majorBidi" w:cstheme="majorBidi"/>
          <w:sz w:val="26"/>
          <w:szCs w:val="26"/>
        </w:rPr>
        <w:t xml:space="preserve"> </w:t>
      </w:r>
      <w:r w:rsidRPr="00A42015">
        <w:rPr>
          <w:rFonts w:asciiTheme="majorBidi" w:hAnsiTheme="majorBidi" w:cstheme="majorBidi"/>
          <w:sz w:val="26"/>
          <w:szCs w:val="26"/>
        </w:rPr>
        <w:t>is</w:t>
      </w:r>
      <w:r w:rsidR="000256FF" w:rsidRPr="00A42015">
        <w:rPr>
          <w:rFonts w:asciiTheme="majorBidi" w:hAnsiTheme="majorBidi" w:cstheme="majorBidi"/>
          <w:sz w:val="26"/>
          <w:szCs w:val="26"/>
        </w:rPr>
        <w:t> “</w:t>
      </w:r>
      <w:r w:rsidR="000256FF" w:rsidRPr="00A42015">
        <w:rPr>
          <w:rFonts w:asciiTheme="majorBidi" w:hAnsiTheme="majorBidi" w:cstheme="majorBidi"/>
          <w:b/>
          <w:bCs/>
          <w:sz w:val="26"/>
          <w:szCs w:val="26"/>
        </w:rPr>
        <w:t>Empowering the least developed countries through information and communication technologies.”</w:t>
      </w:r>
      <w:r w:rsidR="000256FF" w:rsidRPr="00A42015">
        <w:rPr>
          <w:rFonts w:asciiTheme="majorBidi" w:hAnsiTheme="majorBidi" w:cstheme="majorBidi"/>
          <w:sz w:val="26"/>
          <w:szCs w:val="26"/>
        </w:rPr>
        <w:t xml:space="preserve"> calling public and private sectors to make pledges for universal connectivity and digital transformation in these countries.</w:t>
      </w:r>
    </w:p>
    <w:p w:rsidR="004E6504" w:rsidRPr="00A42015" w:rsidRDefault="004E6504" w:rsidP="003A2E41">
      <w:pPr>
        <w:pStyle w:val="Default"/>
        <w:ind w:left="-284"/>
        <w:jc w:val="both"/>
        <w:rPr>
          <w:rStyle w:val="tlid-translation"/>
          <w:rFonts w:asciiTheme="majorBidi" w:hAnsiTheme="majorBidi" w:cstheme="majorBidi"/>
          <w:b/>
          <w:bCs/>
          <w:sz w:val="16"/>
          <w:szCs w:val="16"/>
          <w:lang w:val="en"/>
        </w:rPr>
      </w:pPr>
    </w:p>
    <w:p w:rsidR="00E26944" w:rsidRPr="00A42015" w:rsidRDefault="00E26944" w:rsidP="000256FF">
      <w:pPr>
        <w:pStyle w:val="Default"/>
        <w:ind w:left="-284"/>
        <w:jc w:val="both"/>
        <w:rPr>
          <w:rFonts w:asciiTheme="majorBidi" w:hAnsiTheme="majorBidi" w:cstheme="majorBidi"/>
          <w:b/>
          <w:bCs/>
          <w:sz w:val="28"/>
          <w:szCs w:val="28"/>
        </w:rPr>
      </w:pPr>
      <w:r w:rsidRPr="00A42015">
        <w:rPr>
          <w:rFonts w:asciiTheme="majorBidi" w:hAnsiTheme="majorBidi" w:cstheme="majorBidi"/>
          <w:b/>
          <w:bCs/>
          <w:sz w:val="28"/>
          <w:szCs w:val="28"/>
          <w:lang w:val="en-US"/>
        </w:rPr>
        <w:t>The majority</w:t>
      </w:r>
      <w:r w:rsidRPr="00A42015">
        <w:rPr>
          <w:rFonts w:asciiTheme="majorBidi" w:hAnsiTheme="majorBidi" w:cstheme="majorBidi"/>
          <w:b/>
          <w:bCs/>
          <w:sz w:val="28"/>
          <w:szCs w:val="28"/>
        </w:rPr>
        <w:t xml:space="preserve"> of Palestinian households have access to </w:t>
      </w:r>
      <w:r w:rsidR="004D1C13" w:rsidRPr="00A42015">
        <w:rPr>
          <w:rFonts w:asciiTheme="majorBidi" w:hAnsiTheme="majorBidi" w:cstheme="majorBidi"/>
          <w:b/>
          <w:bCs/>
          <w:sz w:val="28"/>
          <w:szCs w:val="28"/>
        </w:rPr>
        <w:t xml:space="preserve">the </w:t>
      </w:r>
      <w:r w:rsidRPr="00A42015">
        <w:rPr>
          <w:rFonts w:asciiTheme="majorBidi" w:hAnsiTheme="majorBidi" w:cstheme="majorBidi"/>
          <w:b/>
          <w:bCs/>
          <w:sz w:val="28"/>
          <w:szCs w:val="28"/>
        </w:rPr>
        <w:t>internet at their homes</w:t>
      </w:r>
    </w:p>
    <w:p w:rsidR="00E26944" w:rsidRPr="00A42015" w:rsidRDefault="000256FF" w:rsidP="00725074">
      <w:pPr>
        <w:pStyle w:val="Default"/>
        <w:ind w:left="-284"/>
        <w:jc w:val="both"/>
        <w:rPr>
          <w:rFonts w:asciiTheme="majorBidi" w:hAnsiTheme="majorBidi" w:cstheme="majorBidi"/>
          <w:sz w:val="26"/>
          <w:szCs w:val="26"/>
        </w:rPr>
      </w:pPr>
      <w:r w:rsidRPr="00A42015">
        <w:rPr>
          <w:rFonts w:asciiTheme="majorBidi" w:hAnsiTheme="majorBidi" w:cstheme="majorBidi"/>
          <w:sz w:val="26"/>
          <w:szCs w:val="26"/>
          <w:lang w:val="en-US"/>
        </w:rPr>
        <w:t xml:space="preserve">According to </w:t>
      </w:r>
      <w:r w:rsidR="0044597D" w:rsidRPr="00A42015">
        <w:rPr>
          <w:rFonts w:asciiTheme="majorBidi" w:hAnsiTheme="majorBidi" w:cstheme="majorBidi"/>
          <w:sz w:val="26"/>
          <w:szCs w:val="26"/>
          <w:lang w:val="en-US"/>
        </w:rPr>
        <w:t xml:space="preserve">Labor force survey </w:t>
      </w:r>
      <w:r w:rsidR="00913FE6" w:rsidRPr="00A42015">
        <w:rPr>
          <w:rFonts w:asciiTheme="majorBidi" w:hAnsiTheme="majorBidi" w:cstheme="majorBidi"/>
          <w:sz w:val="26"/>
          <w:szCs w:val="26"/>
        </w:rPr>
        <w:t>2022, a</w:t>
      </w:r>
      <w:r w:rsidR="00C71FFB" w:rsidRPr="00A42015">
        <w:rPr>
          <w:rFonts w:asciiTheme="majorBidi" w:hAnsiTheme="majorBidi" w:cstheme="majorBidi"/>
          <w:sz w:val="26"/>
          <w:szCs w:val="26"/>
        </w:rPr>
        <w:t>round</w:t>
      </w:r>
      <w:r w:rsidR="00E26944" w:rsidRPr="00A42015">
        <w:rPr>
          <w:rFonts w:asciiTheme="majorBidi" w:hAnsiTheme="majorBidi" w:cstheme="majorBidi"/>
          <w:sz w:val="26"/>
          <w:szCs w:val="26"/>
        </w:rPr>
        <w:t xml:space="preserve"> </w:t>
      </w:r>
      <w:r w:rsidR="002F61CB" w:rsidRPr="00A42015">
        <w:rPr>
          <w:rFonts w:asciiTheme="majorBidi" w:hAnsiTheme="majorBidi" w:cstheme="majorBidi"/>
          <w:sz w:val="26"/>
          <w:szCs w:val="26"/>
        </w:rPr>
        <w:t>9</w:t>
      </w:r>
      <w:r w:rsidR="0044597D" w:rsidRPr="00A42015">
        <w:rPr>
          <w:rFonts w:asciiTheme="majorBidi" w:hAnsiTheme="majorBidi" w:cstheme="majorBidi"/>
          <w:sz w:val="26"/>
          <w:szCs w:val="26"/>
        </w:rPr>
        <w:t>2</w:t>
      </w:r>
      <w:r w:rsidR="00E26944" w:rsidRPr="00A42015">
        <w:rPr>
          <w:rFonts w:asciiTheme="majorBidi" w:hAnsiTheme="majorBidi" w:cstheme="majorBidi"/>
          <w:sz w:val="26"/>
          <w:szCs w:val="26"/>
        </w:rPr>
        <w:t xml:space="preserve">% of households </w:t>
      </w:r>
      <w:r w:rsidR="000B7E61" w:rsidRPr="00A42015">
        <w:rPr>
          <w:rFonts w:asciiTheme="majorBidi" w:hAnsiTheme="majorBidi" w:cstheme="majorBidi"/>
          <w:sz w:val="26"/>
          <w:szCs w:val="26"/>
        </w:rPr>
        <w:t>stated that they</w:t>
      </w:r>
      <w:r w:rsidR="00E34CDA" w:rsidRPr="00A42015">
        <w:rPr>
          <w:rFonts w:asciiTheme="majorBidi" w:hAnsiTheme="majorBidi" w:cstheme="majorBidi"/>
          <w:sz w:val="26"/>
          <w:szCs w:val="26"/>
        </w:rPr>
        <w:t xml:space="preserve"> or </w:t>
      </w:r>
      <w:r w:rsidR="00725074" w:rsidRPr="00A42015">
        <w:rPr>
          <w:rFonts w:asciiTheme="majorBidi" w:hAnsiTheme="majorBidi" w:cstheme="majorBidi"/>
          <w:sz w:val="26"/>
          <w:szCs w:val="26"/>
        </w:rPr>
        <w:t xml:space="preserve">one of the </w:t>
      </w:r>
      <w:r w:rsidR="00E34CDA" w:rsidRPr="00A42015">
        <w:rPr>
          <w:rFonts w:asciiTheme="majorBidi" w:hAnsiTheme="majorBidi" w:cstheme="majorBidi"/>
          <w:sz w:val="26"/>
          <w:szCs w:val="26"/>
        </w:rPr>
        <w:t>household member</w:t>
      </w:r>
      <w:r w:rsidR="00725074" w:rsidRPr="00A42015">
        <w:rPr>
          <w:rFonts w:asciiTheme="majorBidi" w:hAnsiTheme="majorBidi" w:cstheme="majorBidi"/>
          <w:sz w:val="26"/>
          <w:szCs w:val="26"/>
        </w:rPr>
        <w:t>s</w:t>
      </w:r>
      <w:r w:rsidR="000B7E61" w:rsidRPr="00A42015">
        <w:rPr>
          <w:rFonts w:asciiTheme="majorBidi" w:hAnsiTheme="majorBidi" w:cstheme="majorBidi"/>
          <w:sz w:val="26"/>
          <w:szCs w:val="26"/>
        </w:rPr>
        <w:t xml:space="preserve"> </w:t>
      </w:r>
      <w:r w:rsidR="00E26944" w:rsidRPr="00A42015">
        <w:rPr>
          <w:rFonts w:asciiTheme="majorBidi" w:hAnsiTheme="majorBidi" w:cstheme="majorBidi"/>
          <w:sz w:val="26"/>
          <w:szCs w:val="26"/>
        </w:rPr>
        <w:t>have access</w:t>
      </w:r>
      <w:r w:rsidR="00403F07" w:rsidRPr="00A42015">
        <w:rPr>
          <w:rFonts w:asciiTheme="majorBidi" w:hAnsiTheme="majorBidi" w:cstheme="majorBidi"/>
          <w:sz w:val="26"/>
          <w:szCs w:val="26"/>
        </w:rPr>
        <w:t xml:space="preserve"> to </w:t>
      </w:r>
      <w:r w:rsidR="004D1C13" w:rsidRPr="00A42015">
        <w:rPr>
          <w:rFonts w:asciiTheme="majorBidi" w:hAnsiTheme="majorBidi" w:cstheme="majorBidi"/>
          <w:sz w:val="26"/>
          <w:szCs w:val="26"/>
        </w:rPr>
        <w:t xml:space="preserve">the </w:t>
      </w:r>
      <w:r w:rsidR="00403F07" w:rsidRPr="00A42015">
        <w:rPr>
          <w:rFonts w:asciiTheme="majorBidi" w:hAnsiTheme="majorBidi" w:cstheme="majorBidi"/>
          <w:sz w:val="26"/>
          <w:szCs w:val="26"/>
        </w:rPr>
        <w:t>internet service</w:t>
      </w:r>
      <w:r w:rsidR="002F61CB" w:rsidRPr="00A42015">
        <w:rPr>
          <w:rFonts w:asciiTheme="majorBidi" w:hAnsiTheme="majorBidi" w:cstheme="majorBidi"/>
          <w:sz w:val="26"/>
          <w:szCs w:val="26"/>
        </w:rPr>
        <w:t xml:space="preserve"> at home</w:t>
      </w:r>
      <w:r w:rsidR="00E34CDA" w:rsidRPr="00A42015">
        <w:rPr>
          <w:rFonts w:asciiTheme="majorBidi" w:hAnsiTheme="majorBidi" w:cstheme="majorBidi"/>
          <w:sz w:val="26"/>
          <w:szCs w:val="26"/>
        </w:rPr>
        <w:t xml:space="preserve">, </w:t>
      </w:r>
      <w:r w:rsidR="00E26944" w:rsidRPr="00A42015">
        <w:rPr>
          <w:rFonts w:asciiTheme="majorBidi" w:hAnsiTheme="majorBidi" w:cstheme="majorBidi"/>
          <w:sz w:val="26"/>
          <w:szCs w:val="26"/>
        </w:rPr>
        <w:t>(</w:t>
      </w:r>
      <w:r w:rsidR="002F61CB" w:rsidRPr="00A42015">
        <w:rPr>
          <w:rFonts w:asciiTheme="majorBidi" w:hAnsiTheme="majorBidi" w:cstheme="majorBidi"/>
          <w:sz w:val="26"/>
          <w:szCs w:val="26"/>
        </w:rPr>
        <w:t>9</w:t>
      </w:r>
      <w:r w:rsidR="0044597D" w:rsidRPr="00A42015">
        <w:rPr>
          <w:rFonts w:asciiTheme="majorBidi" w:hAnsiTheme="majorBidi" w:cstheme="majorBidi"/>
          <w:sz w:val="26"/>
          <w:szCs w:val="26"/>
        </w:rPr>
        <w:t>3</w:t>
      </w:r>
      <w:r w:rsidR="00E26944" w:rsidRPr="00A42015">
        <w:rPr>
          <w:rFonts w:asciiTheme="majorBidi" w:hAnsiTheme="majorBidi" w:cstheme="majorBidi"/>
          <w:sz w:val="26"/>
          <w:szCs w:val="26"/>
        </w:rPr>
        <w:t xml:space="preserve">% in the West Bank and </w:t>
      </w:r>
      <w:r w:rsidR="002F61CB" w:rsidRPr="00A42015">
        <w:rPr>
          <w:rFonts w:asciiTheme="majorBidi" w:hAnsiTheme="majorBidi" w:cstheme="majorBidi"/>
          <w:sz w:val="26"/>
          <w:szCs w:val="26"/>
        </w:rPr>
        <w:t>9</w:t>
      </w:r>
      <w:r w:rsidR="0044597D" w:rsidRPr="00A42015">
        <w:rPr>
          <w:rFonts w:asciiTheme="majorBidi" w:hAnsiTheme="majorBidi" w:cstheme="majorBidi"/>
          <w:sz w:val="26"/>
          <w:szCs w:val="26"/>
        </w:rPr>
        <w:t>2</w:t>
      </w:r>
      <w:r w:rsidR="00E26944" w:rsidRPr="00A42015">
        <w:rPr>
          <w:rFonts w:asciiTheme="majorBidi" w:hAnsiTheme="majorBidi" w:cstheme="majorBidi"/>
          <w:sz w:val="26"/>
          <w:szCs w:val="26"/>
        </w:rPr>
        <w:t xml:space="preserve">% in Gaza Strip). </w:t>
      </w:r>
    </w:p>
    <w:p w:rsidR="005A3F94" w:rsidRPr="00A42015" w:rsidRDefault="005A3F94" w:rsidP="005A3F94">
      <w:pPr>
        <w:bidi w:val="0"/>
        <w:ind w:left="-270"/>
        <w:jc w:val="both"/>
        <w:rPr>
          <w:rStyle w:val="tlid-translation"/>
          <w:rFonts w:asciiTheme="majorBidi" w:hAnsiTheme="majorBidi" w:cstheme="majorBidi"/>
          <w:color w:val="000000"/>
          <w:sz w:val="16"/>
          <w:szCs w:val="16"/>
          <w:lang w:val="en"/>
        </w:rPr>
      </w:pPr>
    </w:p>
    <w:p w:rsidR="005A3F94" w:rsidRPr="00A42015" w:rsidRDefault="005A3F94" w:rsidP="00FD2E15">
      <w:pPr>
        <w:bidi w:val="0"/>
        <w:ind w:left="-270"/>
        <w:jc w:val="both"/>
        <w:rPr>
          <w:rFonts w:asciiTheme="majorBidi" w:hAnsiTheme="majorBidi" w:cstheme="majorBidi"/>
          <w:color w:val="000000"/>
          <w:sz w:val="26"/>
          <w:szCs w:val="26"/>
        </w:rPr>
      </w:pPr>
      <w:r w:rsidRPr="00A42015">
        <w:rPr>
          <w:rStyle w:val="tlid-translation"/>
          <w:rFonts w:asciiTheme="majorBidi" w:hAnsiTheme="majorBidi" w:cstheme="majorBidi"/>
          <w:color w:val="000000"/>
          <w:sz w:val="26"/>
          <w:szCs w:val="26"/>
          <w:lang w:val="en"/>
        </w:rPr>
        <w:t xml:space="preserve">Moreover, </w:t>
      </w:r>
      <w:r w:rsidR="0044597D" w:rsidRPr="00A42015">
        <w:rPr>
          <w:rFonts w:asciiTheme="majorBidi" w:hAnsiTheme="majorBidi" w:cstheme="majorBidi"/>
          <w:sz w:val="26"/>
          <w:szCs w:val="26"/>
        </w:rPr>
        <w:t>t</w:t>
      </w:r>
      <w:r w:rsidR="00906B4F" w:rsidRPr="00A42015">
        <w:rPr>
          <w:rFonts w:asciiTheme="majorBidi" w:hAnsiTheme="majorBidi" w:cstheme="majorBidi"/>
          <w:sz w:val="26"/>
          <w:szCs w:val="26"/>
        </w:rPr>
        <w:t xml:space="preserve">he percentage of individuals (10 years and above) who </w:t>
      </w:r>
      <w:r w:rsidR="00011C24" w:rsidRPr="00A42015">
        <w:rPr>
          <w:rFonts w:asciiTheme="majorBidi" w:hAnsiTheme="majorBidi" w:cstheme="majorBidi"/>
          <w:sz w:val="26"/>
          <w:szCs w:val="26"/>
        </w:rPr>
        <w:t xml:space="preserve">have </w:t>
      </w:r>
      <w:r w:rsidR="00906B4F" w:rsidRPr="00A42015">
        <w:rPr>
          <w:rFonts w:asciiTheme="majorBidi" w:hAnsiTheme="majorBidi" w:cstheme="majorBidi"/>
          <w:sz w:val="26"/>
          <w:szCs w:val="26"/>
        </w:rPr>
        <w:t>used the internet from anywhere reached 8</w:t>
      </w:r>
      <w:r w:rsidR="0044597D" w:rsidRPr="00A42015">
        <w:rPr>
          <w:rFonts w:asciiTheme="majorBidi" w:hAnsiTheme="majorBidi" w:cstheme="majorBidi"/>
          <w:sz w:val="26"/>
          <w:szCs w:val="26"/>
        </w:rPr>
        <w:t>9</w:t>
      </w:r>
      <w:r w:rsidR="00906B4F" w:rsidRPr="00A42015">
        <w:rPr>
          <w:rFonts w:asciiTheme="majorBidi" w:hAnsiTheme="majorBidi" w:cstheme="majorBidi"/>
          <w:sz w:val="26"/>
          <w:szCs w:val="26"/>
        </w:rPr>
        <w:t>% in Palestine (</w:t>
      </w:r>
      <w:r w:rsidR="0044597D" w:rsidRPr="00A42015">
        <w:rPr>
          <w:rFonts w:asciiTheme="majorBidi" w:hAnsiTheme="majorBidi" w:cstheme="majorBidi"/>
          <w:sz w:val="26"/>
          <w:szCs w:val="26"/>
        </w:rPr>
        <w:t>92</w:t>
      </w:r>
      <w:r w:rsidR="00906B4F" w:rsidRPr="00A42015">
        <w:rPr>
          <w:rFonts w:asciiTheme="majorBidi" w:hAnsiTheme="majorBidi" w:cstheme="majorBidi"/>
          <w:sz w:val="26"/>
          <w:szCs w:val="26"/>
        </w:rPr>
        <w:t>% in the W</w:t>
      </w:r>
      <w:r w:rsidR="00C71FFB" w:rsidRPr="00A42015">
        <w:rPr>
          <w:rFonts w:asciiTheme="majorBidi" w:hAnsiTheme="majorBidi" w:cstheme="majorBidi"/>
          <w:sz w:val="26"/>
          <w:szCs w:val="26"/>
        </w:rPr>
        <w:t>est Bank and 83% in Gaza Strip</w:t>
      </w:r>
      <w:r w:rsidR="00FD2E15" w:rsidRPr="00A42015">
        <w:rPr>
          <w:rFonts w:asciiTheme="majorBidi" w:hAnsiTheme="majorBidi" w:cstheme="majorBidi"/>
          <w:sz w:val="26"/>
          <w:szCs w:val="26"/>
        </w:rPr>
        <w:t>), where it is</w:t>
      </w:r>
      <w:r w:rsidR="00FD2E15" w:rsidRPr="00A42015">
        <w:rPr>
          <w:rFonts w:asciiTheme="majorBidi" w:hAnsiTheme="majorBidi" w:cstheme="majorBidi"/>
          <w:color w:val="000000"/>
          <w:sz w:val="26"/>
          <w:szCs w:val="26"/>
        </w:rPr>
        <w:t xml:space="preserve"> </w:t>
      </w:r>
      <w:r w:rsidR="0044597D" w:rsidRPr="00A42015">
        <w:rPr>
          <w:rFonts w:asciiTheme="majorBidi" w:hAnsiTheme="majorBidi" w:cstheme="majorBidi"/>
          <w:color w:val="000000"/>
          <w:sz w:val="26"/>
          <w:szCs w:val="26"/>
        </w:rPr>
        <w:t>89</w:t>
      </w:r>
      <w:r w:rsidRPr="00A42015">
        <w:rPr>
          <w:rFonts w:asciiTheme="majorBidi" w:hAnsiTheme="majorBidi" w:cstheme="majorBidi"/>
          <w:color w:val="000000"/>
          <w:sz w:val="26"/>
          <w:szCs w:val="26"/>
        </w:rPr>
        <w:t xml:space="preserve">% </w:t>
      </w:r>
      <w:r w:rsidR="00725074" w:rsidRPr="00A42015">
        <w:rPr>
          <w:rFonts w:asciiTheme="majorBidi" w:hAnsiTheme="majorBidi" w:cstheme="majorBidi"/>
          <w:color w:val="000000"/>
          <w:sz w:val="26"/>
          <w:szCs w:val="26"/>
        </w:rPr>
        <w:t xml:space="preserve">among </w:t>
      </w:r>
      <w:r w:rsidRPr="00A42015">
        <w:rPr>
          <w:rFonts w:asciiTheme="majorBidi" w:hAnsiTheme="majorBidi" w:cstheme="majorBidi"/>
          <w:color w:val="000000"/>
          <w:sz w:val="26"/>
          <w:szCs w:val="26"/>
        </w:rPr>
        <w:t>male</w:t>
      </w:r>
      <w:r w:rsidR="0017516B" w:rsidRPr="00A42015">
        <w:rPr>
          <w:rFonts w:asciiTheme="majorBidi" w:hAnsiTheme="majorBidi" w:cstheme="majorBidi"/>
          <w:color w:val="000000"/>
          <w:sz w:val="26"/>
          <w:szCs w:val="26"/>
        </w:rPr>
        <w:t>s</w:t>
      </w:r>
      <w:r w:rsidRPr="00A42015">
        <w:rPr>
          <w:rFonts w:asciiTheme="majorBidi" w:hAnsiTheme="majorBidi" w:cstheme="majorBidi"/>
          <w:color w:val="000000"/>
          <w:sz w:val="26"/>
          <w:szCs w:val="26"/>
        </w:rPr>
        <w:t xml:space="preserve"> and </w:t>
      </w:r>
      <w:r w:rsidR="0044597D" w:rsidRPr="00A42015">
        <w:rPr>
          <w:rFonts w:asciiTheme="majorBidi" w:hAnsiTheme="majorBidi" w:cstheme="majorBidi"/>
          <w:color w:val="000000"/>
          <w:sz w:val="26"/>
          <w:szCs w:val="26"/>
        </w:rPr>
        <w:t>88</w:t>
      </w:r>
      <w:r w:rsidRPr="00A42015">
        <w:rPr>
          <w:rFonts w:asciiTheme="majorBidi" w:hAnsiTheme="majorBidi" w:cstheme="majorBidi"/>
          <w:color w:val="000000"/>
          <w:sz w:val="26"/>
          <w:szCs w:val="26"/>
        </w:rPr>
        <w:t xml:space="preserve">% </w:t>
      </w:r>
      <w:r w:rsidR="00725074" w:rsidRPr="00A42015">
        <w:rPr>
          <w:rFonts w:asciiTheme="majorBidi" w:hAnsiTheme="majorBidi" w:cstheme="majorBidi"/>
          <w:color w:val="000000"/>
          <w:sz w:val="26"/>
          <w:szCs w:val="26"/>
        </w:rPr>
        <w:t xml:space="preserve">among </w:t>
      </w:r>
      <w:r w:rsidRPr="00A42015">
        <w:rPr>
          <w:rFonts w:asciiTheme="majorBidi" w:hAnsiTheme="majorBidi" w:cstheme="majorBidi"/>
          <w:color w:val="000000"/>
          <w:sz w:val="26"/>
          <w:szCs w:val="26"/>
        </w:rPr>
        <w:t>female</w:t>
      </w:r>
      <w:r w:rsidR="001543CD" w:rsidRPr="00A42015">
        <w:rPr>
          <w:rFonts w:asciiTheme="majorBidi" w:hAnsiTheme="majorBidi" w:cstheme="majorBidi"/>
          <w:color w:val="000000"/>
          <w:sz w:val="26"/>
          <w:szCs w:val="26"/>
        </w:rPr>
        <w:t>s</w:t>
      </w:r>
      <w:r w:rsidRPr="00A42015">
        <w:rPr>
          <w:rFonts w:asciiTheme="majorBidi" w:hAnsiTheme="majorBidi" w:cstheme="majorBidi"/>
          <w:color w:val="000000"/>
          <w:sz w:val="26"/>
          <w:szCs w:val="26"/>
        </w:rPr>
        <w:t xml:space="preserve">. </w:t>
      </w:r>
    </w:p>
    <w:p w:rsidR="00550DED" w:rsidRPr="00A42015" w:rsidRDefault="00550DED" w:rsidP="00550DED">
      <w:pPr>
        <w:bidi w:val="0"/>
        <w:ind w:left="-270"/>
        <w:jc w:val="both"/>
        <w:rPr>
          <w:rFonts w:asciiTheme="majorBidi" w:hAnsiTheme="majorBidi" w:cstheme="majorBidi"/>
          <w:color w:val="000000"/>
          <w:sz w:val="4"/>
          <w:szCs w:val="4"/>
        </w:rPr>
      </w:pPr>
    </w:p>
    <w:p w:rsidR="00550DED" w:rsidRPr="00A42015" w:rsidRDefault="00302FEA" w:rsidP="00A42015">
      <w:pPr>
        <w:bidi w:val="0"/>
        <w:ind w:left="-270"/>
        <w:jc w:val="center"/>
        <w:rPr>
          <w:rFonts w:asciiTheme="majorBidi" w:hAnsiTheme="majorBidi" w:cstheme="majorBidi"/>
          <w:b/>
          <w:bCs/>
          <w:color w:val="000000"/>
          <w:sz w:val="26"/>
          <w:szCs w:val="26"/>
        </w:rPr>
      </w:pPr>
      <w:r w:rsidRPr="00A42015">
        <w:rPr>
          <w:rFonts w:asciiTheme="majorBidi" w:hAnsiTheme="majorBidi" w:cstheme="majorBidi"/>
          <w:b/>
          <w:bCs/>
          <w:noProof/>
          <w:color w:val="000000"/>
          <w:sz w:val="26"/>
          <w:szCs w:val="26"/>
          <w:lang w:eastAsia="en-US"/>
        </w:rPr>
        <w:drawing>
          <wp:inline distT="0" distB="0" distL="0" distR="0">
            <wp:extent cx="2962275" cy="1866900"/>
            <wp:effectExtent l="0" t="0" r="9525" b="0"/>
            <wp:docPr id="3" name="Picture 3" descr="نفاذ-الأسر-إلى-الانترنت-112023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نفاذ-الأسر-إلى-الانترنت-112023E (0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2275" cy="1866900"/>
                    </a:xfrm>
                    <a:prstGeom prst="rect">
                      <a:avLst/>
                    </a:prstGeom>
                    <a:noFill/>
                    <a:ln>
                      <a:noFill/>
                    </a:ln>
                  </pic:spPr>
                </pic:pic>
              </a:graphicData>
            </a:graphic>
          </wp:inline>
        </w:drawing>
      </w:r>
    </w:p>
    <w:p w:rsidR="00A42015" w:rsidRPr="00A42015" w:rsidRDefault="00A42015" w:rsidP="00CF737D">
      <w:pPr>
        <w:pStyle w:val="Default"/>
        <w:ind w:left="-270"/>
        <w:jc w:val="both"/>
        <w:rPr>
          <w:rFonts w:asciiTheme="majorBidi" w:hAnsiTheme="majorBidi" w:cstheme="majorBidi"/>
          <w:b/>
          <w:bCs/>
          <w:sz w:val="16"/>
          <w:szCs w:val="16"/>
          <w:lang w:val="en-US"/>
        </w:rPr>
      </w:pPr>
    </w:p>
    <w:p w:rsidR="00BD5BBA" w:rsidRPr="00A42015" w:rsidRDefault="0044597D" w:rsidP="00CF737D">
      <w:pPr>
        <w:pStyle w:val="Default"/>
        <w:ind w:left="-270"/>
        <w:jc w:val="both"/>
        <w:rPr>
          <w:rFonts w:asciiTheme="majorBidi" w:hAnsiTheme="majorBidi" w:cstheme="majorBidi"/>
          <w:sz w:val="28"/>
          <w:szCs w:val="28"/>
          <w:lang w:val="en-US"/>
        </w:rPr>
      </w:pPr>
      <w:r w:rsidRPr="00A42015">
        <w:rPr>
          <w:rFonts w:asciiTheme="majorBidi" w:hAnsiTheme="majorBidi" w:cstheme="majorBidi"/>
          <w:b/>
          <w:bCs/>
          <w:sz w:val="28"/>
          <w:szCs w:val="28"/>
          <w:lang w:val="en-US"/>
        </w:rPr>
        <w:t xml:space="preserve">Widespread of smartphones </w:t>
      </w:r>
      <w:r w:rsidR="00CF737D" w:rsidRPr="00A42015">
        <w:rPr>
          <w:rFonts w:asciiTheme="majorBidi" w:hAnsiTheme="majorBidi" w:cstheme="majorBidi"/>
          <w:b/>
          <w:bCs/>
          <w:sz w:val="28"/>
          <w:szCs w:val="28"/>
          <w:lang w:val="en-US"/>
        </w:rPr>
        <w:t>ownership</w:t>
      </w:r>
    </w:p>
    <w:p w:rsidR="00A83719" w:rsidRPr="00A42015" w:rsidRDefault="00A83719" w:rsidP="00725074">
      <w:pPr>
        <w:pStyle w:val="Default"/>
        <w:ind w:left="-284"/>
        <w:jc w:val="both"/>
        <w:rPr>
          <w:rFonts w:asciiTheme="majorBidi" w:hAnsiTheme="majorBidi" w:cstheme="majorBidi"/>
          <w:sz w:val="26"/>
          <w:szCs w:val="26"/>
        </w:rPr>
      </w:pPr>
      <w:r w:rsidRPr="00A42015">
        <w:rPr>
          <w:rFonts w:asciiTheme="majorBidi" w:hAnsiTheme="majorBidi" w:cstheme="majorBidi"/>
          <w:sz w:val="26"/>
          <w:szCs w:val="26"/>
        </w:rPr>
        <w:t>The percentage of individuals (10 years and above) who own a smartphone is 73% in Palestine during 2022, (83% in the West Bank and 58% in Gaza Strip)</w:t>
      </w:r>
      <w:r w:rsidR="00FD2E15" w:rsidRPr="00A42015">
        <w:rPr>
          <w:rFonts w:asciiTheme="majorBidi" w:hAnsiTheme="majorBidi" w:cstheme="majorBidi"/>
          <w:sz w:val="26"/>
          <w:szCs w:val="26"/>
        </w:rPr>
        <w:t>, where it is</w:t>
      </w:r>
      <w:r w:rsidRPr="00A42015">
        <w:rPr>
          <w:rFonts w:asciiTheme="majorBidi" w:hAnsiTheme="majorBidi" w:cstheme="majorBidi"/>
          <w:sz w:val="26"/>
          <w:szCs w:val="26"/>
        </w:rPr>
        <w:t xml:space="preserve"> 74% </w:t>
      </w:r>
      <w:r w:rsidR="00725074" w:rsidRPr="00A42015">
        <w:rPr>
          <w:rFonts w:asciiTheme="majorBidi" w:hAnsiTheme="majorBidi" w:cstheme="majorBidi"/>
          <w:sz w:val="26"/>
          <w:szCs w:val="26"/>
        </w:rPr>
        <w:t xml:space="preserve">among </w:t>
      </w:r>
      <w:r w:rsidRPr="00A42015">
        <w:rPr>
          <w:rFonts w:asciiTheme="majorBidi" w:hAnsiTheme="majorBidi" w:cstheme="majorBidi"/>
          <w:sz w:val="26"/>
          <w:szCs w:val="26"/>
        </w:rPr>
        <w:t xml:space="preserve">males and 72% </w:t>
      </w:r>
      <w:r w:rsidR="00725074" w:rsidRPr="00A42015">
        <w:rPr>
          <w:rFonts w:asciiTheme="majorBidi" w:hAnsiTheme="majorBidi" w:cstheme="majorBidi"/>
          <w:sz w:val="26"/>
          <w:szCs w:val="26"/>
        </w:rPr>
        <w:t xml:space="preserve">among </w:t>
      </w:r>
      <w:r w:rsidRPr="00A42015">
        <w:rPr>
          <w:rFonts w:asciiTheme="majorBidi" w:hAnsiTheme="majorBidi" w:cstheme="majorBidi"/>
          <w:sz w:val="26"/>
          <w:szCs w:val="26"/>
        </w:rPr>
        <w:t>females.</w:t>
      </w:r>
    </w:p>
    <w:p w:rsidR="00086E06" w:rsidRPr="00A42015" w:rsidRDefault="00086E06" w:rsidP="00FD2E15">
      <w:pPr>
        <w:pStyle w:val="Default"/>
        <w:ind w:left="-284"/>
        <w:jc w:val="both"/>
        <w:rPr>
          <w:rFonts w:asciiTheme="majorBidi" w:hAnsiTheme="majorBidi" w:cstheme="majorBidi"/>
          <w:sz w:val="16"/>
          <w:szCs w:val="16"/>
        </w:rPr>
      </w:pPr>
    </w:p>
    <w:p w:rsidR="00A83719" w:rsidRPr="00A42015" w:rsidRDefault="00A83719" w:rsidP="00FD2E15">
      <w:pPr>
        <w:pStyle w:val="Default"/>
        <w:ind w:left="-284"/>
        <w:jc w:val="both"/>
        <w:rPr>
          <w:rFonts w:asciiTheme="majorBidi" w:hAnsiTheme="majorBidi" w:cstheme="majorBidi"/>
          <w:sz w:val="26"/>
          <w:szCs w:val="26"/>
        </w:rPr>
      </w:pPr>
      <w:r w:rsidRPr="00A42015">
        <w:rPr>
          <w:rFonts w:asciiTheme="majorBidi" w:hAnsiTheme="majorBidi" w:cstheme="majorBidi"/>
          <w:sz w:val="26"/>
          <w:szCs w:val="26"/>
        </w:rPr>
        <w:t>Meanwhile, t</w:t>
      </w:r>
      <w:r w:rsidR="00BD5BBA" w:rsidRPr="00A42015">
        <w:rPr>
          <w:rFonts w:asciiTheme="majorBidi" w:hAnsiTheme="majorBidi" w:cstheme="majorBidi"/>
          <w:sz w:val="26"/>
          <w:szCs w:val="26"/>
        </w:rPr>
        <w:t xml:space="preserve">he percentage of individuals (10 years and above) who own a cellular </w:t>
      </w:r>
      <w:r w:rsidR="007F18DA" w:rsidRPr="00A42015">
        <w:rPr>
          <w:rFonts w:asciiTheme="majorBidi" w:hAnsiTheme="majorBidi" w:cstheme="majorBidi"/>
          <w:sz w:val="26"/>
          <w:szCs w:val="26"/>
        </w:rPr>
        <w:t xml:space="preserve">phone </w:t>
      </w:r>
      <w:r w:rsidR="00BD5BBA" w:rsidRPr="00A42015">
        <w:rPr>
          <w:rFonts w:asciiTheme="majorBidi" w:hAnsiTheme="majorBidi" w:cstheme="majorBidi"/>
          <w:sz w:val="26"/>
          <w:szCs w:val="26"/>
        </w:rPr>
        <w:t>is 7</w:t>
      </w:r>
      <w:r w:rsidR="0044597D" w:rsidRPr="00A42015">
        <w:rPr>
          <w:rFonts w:asciiTheme="majorBidi" w:hAnsiTheme="majorBidi" w:cstheme="majorBidi"/>
          <w:sz w:val="26"/>
          <w:szCs w:val="26"/>
        </w:rPr>
        <w:t>9</w:t>
      </w:r>
      <w:r w:rsidR="00BD5BBA" w:rsidRPr="00A42015">
        <w:rPr>
          <w:rFonts w:asciiTheme="majorBidi" w:hAnsiTheme="majorBidi" w:cstheme="majorBidi"/>
          <w:sz w:val="26"/>
          <w:szCs w:val="26"/>
        </w:rPr>
        <w:t>%</w:t>
      </w:r>
      <w:r w:rsidR="00CF737D" w:rsidRPr="00A42015">
        <w:rPr>
          <w:rFonts w:asciiTheme="majorBidi" w:hAnsiTheme="majorBidi" w:cstheme="majorBidi"/>
          <w:sz w:val="26"/>
          <w:szCs w:val="26"/>
        </w:rPr>
        <w:t xml:space="preserve"> in Palestine (</w:t>
      </w:r>
      <w:r w:rsidR="00BD5BBA" w:rsidRPr="00A42015">
        <w:rPr>
          <w:rFonts w:asciiTheme="majorBidi" w:hAnsiTheme="majorBidi" w:cstheme="majorBidi"/>
          <w:sz w:val="26"/>
          <w:szCs w:val="26"/>
        </w:rPr>
        <w:t>8</w:t>
      </w:r>
      <w:r w:rsidR="0044597D" w:rsidRPr="00A42015">
        <w:rPr>
          <w:rFonts w:asciiTheme="majorBidi" w:hAnsiTheme="majorBidi" w:cstheme="majorBidi"/>
          <w:sz w:val="26"/>
          <w:szCs w:val="26"/>
        </w:rPr>
        <w:t>6</w:t>
      </w:r>
      <w:r w:rsidR="00BD5BBA" w:rsidRPr="00A42015">
        <w:rPr>
          <w:rFonts w:asciiTheme="majorBidi" w:hAnsiTheme="majorBidi" w:cstheme="majorBidi"/>
          <w:sz w:val="26"/>
          <w:szCs w:val="26"/>
        </w:rPr>
        <w:t>% in the West Bank and 6</w:t>
      </w:r>
      <w:r w:rsidR="0044597D" w:rsidRPr="00A42015">
        <w:rPr>
          <w:rFonts w:asciiTheme="majorBidi" w:hAnsiTheme="majorBidi" w:cstheme="majorBidi"/>
          <w:sz w:val="26"/>
          <w:szCs w:val="26"/>
        </w:rPr>
        <w:t>9</w:t>
      </w:r>
      <w:r w:rsidR="00BD5BBA" w:rsidRPr="00A42015">
        <w:rPr>
          <w:rFonts w:asciiTheme="majorBidi" w:hAnsiTheme="majorBidi" w:cstheme="majorBidi"/>
          <w:sz w:val="26"/>
          <w:szCs w:val="26"/>
        </w:rPr>
        <w:t>% in</w:t>
      </w:r>
      <w:r w:rsidR="007F18DA" w:rsidRPr="00A42015">
        <w:rPr>
          <w:rFonts w:asciiTheme="majorBidi" w:hAnsiTheme="majorBidi" w:cstheme="majorBidi"/>
          <w:sz w:val="26"/>
          <w:szCs w:val="26"/>
        </w:rPr>
        <w:t xml:space="preserve"> </w:t>
      </w:r>
      <w:r w:rsidR="00BD5BBA" w:rsidRPr="00A42015">
        <w:rPr>
          <w:rFonts w:asciiTheme="majorBidi" w:hAnsiTheme="majorBidi" w:cstheme="majorBidi"/>
          <w:sz w:val="26"/>
          <w:szCs w:val="26"/>
        </w:rPr>
        <w:t xml:space="preserve">Gaza Strip). </w:t>
      </w:r>
    </w:p>
    <w:p w:rsidR="00FA1DE2" w:rsidRPr="00A42015" w:rsidRDefault="00FA1DE2" w:rsidP="00550DED">
      <w:pPr>
        <w:pStyle w:val="Default"/>
        <w:ind w:left="-284"/>
        <w:jc w:val="both"/>
        <w:rPr>
          <w:rFonts w:asciiTheme="majorBidi" w:hAnsiTheme="majorBidi" w:cstheme="majorBidi"/>
          <w:sz w:val="16"/>
          <w:szCs w:val="16"/>
          <w:rtl/>
        </w:rPr>
      </w:pPr>
    </w:p>
    <w:p w:rsidR="00665BEA" w:rsidRDefault="00665BEA" w:rsidP="00FD2E15">
      <w:pPr>
        <w:jc w:val="center"/>
        <w:rPr>
          <w:rFonts w:asciiTheme="majorBidi" w:hAnsiTheme="majorBidi" w:cstheme="majorBidi"/>
          <w:b/>
          <w:bCs/>
          <w:color w:val="000000"/>
          <w:sz w:val="28"/>
          <w:szCs w:val="28"/>
        </w:rPr>
      </w:pPr>
      <w:r w:rsidRPr="00A42015">
        <w:rPr>
          <w:rFonts w:asciiTheme="majorBidi" w:hAnsiTheme="majorBidi" w:cstheme="majorBidi"/>
          <w:b/>
          <w:bCs/>
          <w:color w:val="000000"/>
          <w:sz w:val="28"/>
          <w:szCs w:val="28"/>
        </w:rPr>
        <w:t>Percentage of Individuals (10 Years and Above) Who Own</w:t>
      </w:r>
      <w:r w:rsidR="00725074" w:rsidRPr="00A42015">
        <w:rPr>
          <w:rFonts w:asciiTheme="majorBidi" w:hAnsiTheme="majorBidi" w:cstheme="majorBidi"/>
          <w:b/>
          <w:bCs/>
          <w:color w:val="000000"/>
          <w:sz w:val="28"/>
          <w:szCs w:val="28"/>
        </w:rPr>
        <w:t xml:space="preserve"> a</w:t>
      </w:r>
      <w:r w:rsidRPr="00A42015">
        <w:rPr>
          <w:rFonts w:asciiTheme="majorBidi" w:hAnsiTheme="majorBidi" w:cstheme="majorBidi"/>
          <w:b/>
          <w:bCs/>
          <w:color w:val="000000"/>
          <w:sz w:val="28"/>
          <w:szCs w:val="28"/>
        </w:rPr>
        <w:t xml:space="preserve"> Smart</w:t>
      </w:r>
      <w:r w:rsidR="00FD2E15" w:rsidRPr="00A42015">
        <w:rPr>
          <w:rFonts w:asciiTheme="majorBidi" w:hAnsiTheme="majorBidi" w:cstheme="majorBidi"/>
          <w:b/>
          <w:bCs/>
          <w:color w:val="000000"/>
          <w:sz w:val="28"/>
          <w:szCs w:val="28"/>
        </w:rPr>
        <w:t>p</w:t>
      </w:r>
      <w:r w:rsidRPr="00A42015">
        <w:rPr>
          <w:rFonts w:asciiTheme="majorBidi" w:hAnsiTheme="majorBidi" w:cstheme="majorBidi"/>
          <w:b/>
          <w:bCs/>
          <w:color w:val="000000"/>
          <w:sz w:val="28"/>
          <w:szCs w:val="28"/>
        </w:rPr>
        <w:t>hone in Palestine by Region and Sex, 2022</w:t>
      </w:r>
    </w:p>
    <w:p w:rsidR="00A42015" w:rsidRPr="00A42015" w:rsidRDefault="00A42015" w:rsidP="00FD2E15">
      <w:pPr>
        <w:jc w:val="center"/>
        <w:rPr>
          <w:rFonts w:asciiTheme="majorBidi" w:hAnsiTheme="majorBidi" w:cstheme="majorBidi"/>
          <w:b/>
          <w:bCs/>
          <w:color w:val="000000"/>
          <w:sz w:val="10"/>
          <w:szCs w:val="10"/>
          <w:rtl/>
        </w:rPr>
      </w:pPr>
    </w:p>
    <w:p w:rsidR="00665BEA" w:rsidRPr="00A42015" w:rsidRDefault="00302FEA" w:rsidP="00665BEA">
      <w:pPr>
        <w:jc w:val="center"/>
        <w:rPr>
          <w:rFonts w:asciiTheme="majorBidi" w:hAnsiTheme="majorBidi" w:cstheme="majorBidi"/>
          <w:sz w:val="26"/>
          <w:szCs w:val="26"/>
          <w:rtl/>
        </w:rPr>
      </w:pPr>
      <w:r w:rsidRPr="00A42015">
        <w:rPr>
          <w:rFonts w:asciiTheme="majorBidi" w:hAnsiTheme="majorBidi" w:cstheme="majorBidi"/>
          <w:noProof/>
          <w:color w:val="000000"/>
          <w:sz w:val="26"/>
          <w:szCs w:val="26"/>
          <w:lang w:eastAsia="en-US"/>
        </w:rPr>
        <w:drawing>
          <wp:inline distT="0" distB="0" distL="0" distR="0">
            <wp:extent cx="3267075" cy="1685925"/>
            <wp:effectExtent l="0" t="0" r="9525" b="9525"/>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65BEA" w:rsidRPr="00A42015" w:rsidRDefault="00665BEA" w:rsidP="00665BEA">
      <w:pPr>
        <w:jc w:val="center"/>
        <w:rPr>
          <w:rFonts w:asciiTheme="majorBidi" w:hAnsiTheme="majorBidi" w:cstheme="majorBidi"/>
          <w:sz w:val="16"/>
          <w:szCs w:val="16"/>
          <w:rtl/>
        </w:rPr>
      </w:pPr>
    </w:p>
    <w:p w:rsidR="008D7ADE" w:rsidRPr="00A42015" w:rsidRDefault="00F05185" w:rsidP="008E25B0">
      <w:pPr>
        <w:pStyle w:val="Default"/>
        <w:ind w:left="-284"/>
        <w:jc w:val="both"/>
        <w:rPr>
          <w:rFonts w:asciiTheme="majorBidi" w:hAnsiTheme="majorBidi" w:cstheme="majorBidi"/>
          <w:b/>
          <w:bCs/>
          <w:sz w:val="28"/>
          <w:szCs w:val="28"/>
        </w:rPr>
      </w:pPr>
      <w:r w:rsidRPr="00A42015">
        <w:rPr>
          <w:rStyle w:val="tlid-translation"/>
          <w:rFonts w:asciiTheme="majorBidi" w:hAnsiTheme="majorBidi" w:cstheme="majorBidi"/>
          <w:b/>
          <w:bCs/>
          <w:sz w:val="28"/>
          <w:szCs w:val="28"/>
          <w:lang w:val="en"/>
        </w:rPr>
        <w:lastRenderedPageBreak/>
        <w:t>Around</w:t>
      </w:r>
      <w:r w:rsidR="00AF1E58" w:rsidRPr="00A42015">
        <w:rPr>
          <w:rStyle w:val="tlid-translation"/>
          <w:rFonts w:asciiTheme="majorBidi" w:hAnsiTheme="majorBidi" w:cstheme="majorBidi"/>
          <w:b/>
          <w:bCs/>
          <w:sz w:val="28"/>
          <w:szCs w:val="28"/>
          <w:lang w:val="en"/>
        </w:rPr>
        <w:t xml:space="preserve"> 4</w:t>
      </w:r>
      <w:r w:rsidR="00F848DC" w:rsidRPr="00A42015">
        <w:rPr>
          <w:rStyle w:val="tlid-translation"/>
          <w:rFonts w:asciiTheme="majorBidi" w:hAnsiTheme="majorBidi" w:cstheme="majorBidi"/>
          <w:b/>
          <w:bCs/>
          <w:sz w:val="28"/>
          <w:szCs w:val="28"/>
          <w:lang w:val="en"/>
        </w:rPr>
        <w:t xml:space="preserve"> </w:t>
      </w:r>
      <w:r w:rsidR="00191175" w:rsidRPr="00A42015">
        <w:rPr>
          <w:rStyle w:val="tlid-translation"/>
          <w:rFonts w:asciiTheme="majorBidi" w:hAnsiTheme="majorBidi" w:cstheme="majorBidi"/>
          <w:b/>
          <w:bCs/>
          <w:sz w:val="28"/>
          <w:szCs w:val="28"/>
          <w:lang w:val="en"/>
        </w:rPr>
        <w:t>M</w:t>
      </w:r>
      <w:r w:rsidR="008D7ADE" w:rsidRPr="00A42015">
        <w:rPr>
          <w:rStyle w:val="tlid-translation"/>
          <w:rFonts w:asciiTheme="majorBidi" w:hAnsiTheme="majorBidi" w:cstheme="majorBidi"/>
          <w:b/>
          <w:bCs/>
          <w:sz w:val="28"/>
          <w:szCs w:val="28"/>
          <w:lang w:val="en"/>
        </w:rPr>
        <w:t xml:space="preserve">illion </w:t>
      </w:r>
      <w:r w:rsidR="00F848DC" w:rsidRPr="00A42015">
        <w:rPr>
          <w:rStyle w:val="tlid-translation"/>
          <w:rFonts w:asciiTheme="majorBidi" w:hAnsiTheme="majorBidi" w:cstheme="majorBidi"/>
          <w:b/>
          <w:bCs/>
          <w:sz w:val="28"/>
          <w:szCs w:val="28"/>
          <w:lang w:val="en"/>
        </w:rPr>
        <w:t xml:space="preserve">active </w:t>
      </w:r>
      <w:r w:rsidR="00CB2F0E" w:rsidRPr="00A42015">
        <w:rPr>
          <w:rStyle w:val="tlid-translation"/>
          <w:rFonts w:asciiTheme="majorBidi" w:hAnsiTheme="majorBidi" w:cstheme="majorBidi"/>
          <w:b/>
          <w:bCs/>
          <w:sz w:val="28"/>
          <w:szCs w:val="28"/>
          <w:lang w:val="en"/>
        </w:rPr>
        <w:t xml:space="preserve">cellular </w:t>
      </w:r>
      <w:r w:rsidR="008E25B0" w:rsidRPr="00A42015">
        <w:rPr>
          <w:rStyle w:val="tlid-translation"/>
          <w:rFonts w:asciiTheme="majorBidi" w:hAnsiTheme="majorBidi" w:cstheme="majorBidi"/>
          <w:b/>
          <w:bCs/>
          <w:sz w:val="28"/>
          <w:szCs w:val="28"/>
          <w:lang w:val="en"/>
        </w:rPr>
        <w:t xml:space="preserve">phone </w:t>
      </w:r>
      <w:r w:rsidR="008D7ADE" w:rsidRPr="00A42015">
        <w:rPr>
          <w:rStyle w:val="tlid-translation"/>
          <w:rFonts w:asciiTheme="majorBidi" w:hAnsiTheme="majorBidi" w:cstheme="majorBidi"/>
          <w:b/>
          <w:bCs/>
          <w:sz w:val="28"/>
          <w:szCs w:val="28"/>
          <w:lang w:val="en"/>
        </w:rPr>
        <w:t>subscriptions</w:t>
      </w:r>
    </w:p>
    <w:p w:rsidR="00573B2C" w:rsidRPr="00A42015" w:rsidRDefault="0076510B" w:rsidP="00725074">
      <w:pPr>
        <w:pStyle w:val="Default"/>
        <w:ind w:left="-284"/>
        <w:jc w:val="both"/>
        <w:rPr>
          <w:rFonts w:asciiTheme="majorBidi" w:hAnsiTheme="majorBidi" w:cstheme="majorBidi"/>
          <w:sz w:val="26"/>
          <w:szCs w:val="26"/>
        </w:rPr>
      </w:pPr>
      <w:r w:rsidRPr="00A42015">
        <w:rPr>
          <w:rFonts w:asciiTheme="majorBidi" w:hAnsiTheme="majorBidi" w:cstheme="majorBidi"/>
          <w:sz w:val="26"/>
          <w:szCs w:val="26"/>
        </w:rPr>
        <w:t>Data from the Ministry of Telecom and Information Technology</w:t>
      </w:r>
      <w:r w:rsidR="00725074" w:rsidRPr="00A42015">
        <w:rPr>
          <w:rFonts w:asciiTheme="majorBidi" w:hAnsiTheme="majorBidi" w:cstheme="majorBidi"/>
          <w:sz w:val="26"/>
          <w:szCs w:val="26"/>
        </w:rPr>
        <w:t>,</w:t>
      </w:r>
      <w:r w:rsidRPr="00A42015">
        <w:rPr>
          <w:rFonts w:asciiTheme="majorBidi" w:hAnsiTheme="majorBidi" w:cstheme="majorBidi"/>
          <w:sz w:val="26"/>
          <w:szCs w:val="26"/>
        </w:rPr>
        <w:t xml:space="preserve"> </w:t>
      </w:r>
      <w:r w:rsidR="00550DED" w:rsidRPr="00A42015">
        <w:rPr>
          <w:rFonts w:asciiTheme="majorBidi" w:hAnsiTheme="majorBidi" w:cstheme="majorBidi"/>
          <w:sz w:val="26"/>
          <w:szCs w:val="26"/>
        </w:rPr>
        <w:t xml:space="preserve">2022, </w:t>
      </w:r>
      <w:r w:rsidRPr="00A42015">
        <w:rPr>
          <w:rFonts w:asciiTheme="majorBidi" w:hAnsiTheme="majorBidi" w:cstheme="majorBidi"/>
          <w:sz w:val="26"/>
          <w:szCs w:val="26"/>
        </w:rPr>
        <w:t xml:space="preserve">indicated that </w:t>
      </w:r>
      <w:r w:rsidR="00573B2C" w:rsidRPr="00A42015">
        <w:rPr>
          <w:rFonts w:asciiTheme="majorBidi" w:hAnsiTheme="majorBidi" w:cstheme="majorBidi"/>
          <w:sz w:val="26"/>
          <w:szCs w:val="26"/>
        </w:rPr>
        <w:t xml:space="preserve">there was an increase in the active cellular phone subscriptions in Palestine by the end of 2022 reaching around 4.4 million subscribers compared to 2.6 million at the end of 2010, with an increase of 69%. </w:t>
      </w:r>
    </w:p>
    <w:p w:rsidR="00573B2C" w:rsidRPr="00A42015" w:rsidRDefault="00573B2C" w:rsidP="00BC58FC">
      <w:pPr>
        <w:pStyle w:val="Default"/>
        <w:ind w:left="-284"/>
        <w:jc w:val="both"/>
        <w:rPr>
          <w:rFonts w:asciiTheme="majorBidi" w:hAnsiTheme="majorBidi" w:cstheme="majorBidi"/>
          <w:sz w:val="16"/>
          <w:szCs w:val="16"/>
          <w:rtl/>
        </w:rPr>
      </w:pPr>
    </w:p>
    <w:p w:rsidR="008D7ADE" w:rsidRPr="00A42015" w:rsidRDefault="00573B2C" w:rsidP="00B57826">
      <w:pPr>
        <w:pStyle w:val="Default"/>
        <w:ind w:left="-284"/>
        <w:jc w:val="both"/>
        <w:rPr>
          <w:rFonts w:asciiTheme="majorBidi" w:hAnsiTheme="majorBidi" w:cstheme="majorBidi"/>
          <w:sz w:val="26"/>
          <w:szCs w:val="26"/>
        </w:rPr>
      </w:pPr>
      <w:r w:rsidRPr="00A42015">
        <w:rPr>
          <w:rFonts w:asciiTheme="majorBidi" w:hAnsiTheme="majorBidi" w:cstheme="majorBidi"/>
          <w:sz w:val="26"/>
          <w:szCs w:val="26"/>
        </w:rPr>
        <w:t>Meanwhile,</w:t>
      </w:r>
      <w:r w:rsidRPr="00A42015">
        <w:rPr>
          <w:rFonts w:asciiTheme="majorBidi" w:hAnsiTheme="majorBidi" w:cstheme="majorBidi"/>
          <w:sz w:val="26"/>
          <w:szCs w:val="26"/>
          <w:rtl/>
        </w:rPr>
        <w:t xml:space="preserve"> </w:t>
      </w:r>
      <w:r w:rsidRPr="00A42015">
        <w:rPr>
          <w:rFonts w:asciiTheme="majorBidi" w:hAnsiTheme="majorBidi" w:cstheme="majorBidi"/>
          <w:sz w:val="26"/>
          <w:szCs w:val="26"/>
          <w:lang w:val="en-US"/>
        </w:rPr>
        <w:t>t</w:t>
      </w:r>
      <w:r w:rsidR="0076510B" w:rsidRPr="00A42015">
        <w:rPr>
          <w:rFonts w:asciiTheme="majorBidi" w:hAnsiTheme="majorBidi" w:cstheme="majorBidi"/>
          <w:sz w:val="26"/>
          <w:szCs w:val="26"/>
        </w:rPr>
        <w:t xml:space="preserve">here has been an expansion in the fixed network infrastructure, accompanied </w:t>
      </w:r>
      <w:r w:rsidR="008E25B0" w:rsidRPr="00A42015">
        <w:rPr>
          <w:rFonts w:asciiTheme="majorBidi" w:hAnsiTheme="majorBidi" w:cstheme="majorBidi"/>
          <w:sz w:val="26"/>
          <w:szCs w:val="26"/>
        </w:rPr>
        <w:t xml:space="preserve">by </w:t>
      </w:r>
      <w:r w:rsidR="0076510B" w:rsidRPr="00A42015">
        <w:rPr>
          <w:rFonts w:asciiTheme="majorBidi" w:hAnsiTheme="majorBidi" w:cstheme="majorBidi"/>
          <w:sz w:val="26"/>
          <w:szCs w:val="26"/>
        </w:rPr>
        <w:t>increased use by households and institutions of this network and related services, especially the internet service.</w:t>
      </w:r>
      <w:r w:rsidR="00D076B0" w:rsidRPr="00A42015">
        <w:rPr>
          <w:rFonts w:asciiTheme="majorBidi" w:hAnsiTheme="majorBidi" w:cstheme="majorBidi"/>
          <w:sz w:val="26"/>
          <w:szCs w:val="26"/>
        </w:rPr>
        <w:t xml:space="preserve"> The number of landlines </w:t>
      </w:r>
      <w:r w:rsidR="001B210C" w:rsidRPr="00A42015">
        <w:rPr>
          <w:rFonts w:asciiTheme="majorBidi" w:hAnsiTheme="majorBidi" w:cstheme="majorBidi"/>
          <w:sz w:val="26"/>
          <w:szCs w:val="26"/>
        </w:rPr>
        <w:t xml:space="preserve">in Palestine </w:t>
      </w:r>
      <w:r w:rsidR="00D076B0" w:rsidRPr="00A42015">
        <w:rPr>
          <w:rFonts w:asciiTheme="majorBidi" w:hAnsiTheme="majorBidi" w:cstheme="majorBidi"/>
          <w:sz w:val="26"/>
          <w:szCs w:val="26"/>
        </w:rPr>
        <w:t>reached</w:t>
      </w:r>
      <w:r w:rsidR="0076510B" w:rsidRPr="00A42015">
        <w:rPr>
          <w:rFonts w:asciiTheme="majorBidi" w:hAnsiTheme="majorBidi" w:cstheme="majorBidi"/>
          <w:sz w:val="26"/>
          <w:szCs w:val="26"/>
        </w:rPr>
        <w:t xml:space="preserve"> </w:t>
      </w:r>
      <w:r w:rsidR="00BC58FC" w:rsidRPr="00A42015">
        <w:rPr>
          <w:rFonts w:asciiTheme="majorBidi" w:hAnsiTheme="majorBidi" w:cstheme="majorBidi"/>
          <w:sz w:val="26"/>
          <w:szCs w:val="26"/>
          <w:lang w:eastAsia="en-US"/>
        </w:rPr>
        <w:t>457,706 telephone</w:t>
      </w:r>
      <w:r w:rsidR="0076510B" w:rsidRPr="00A42015">
        <w:rPr>
          <w:rFonts w:asciiTheme="majorBidi" w:hAnsiTheme="majorBidi" w:cstheme="majorBidi"/>
          <w:sz w:val="26"/>
          <w:szCs w:val="26"/>
        </w:rPr>
        <w:t xml:space="preserve"> lines (Home, Commercial, Governmental) at the end of 202</w:t>
      </w:r>
      <w:r w:rsidR="00B57826" w:rsidRPr="00A42015">
        <w:rPr>
          <w:rFonts w:asciiTheme="majorBidi" w:hAnsiTheme="majorBidi" w:cstheme="majorBidi"/>
          <w:sz w:val="26"/>
          <w:szCs w:val="26"/>
        </w:rPr>
        <w:t>2</w:t>
      </w:r>
      <w:r w:rsidR="0076510B" w:rsidRPr="00A42015">
        <w:rPr>
          <w:rFonts w:asciiTheme="majorBidi" w:hAnsiTheme="majorBidi" w:cstheme="majorBidi"/>
          <w:sz w:val="26"/>
          <w:szCs w:val="26"/>
        </w:rPr>
        <w:t xml:space="preserve"> compared with 360,402 lines at the end of 2010, with an increase of </w:t>
      </w:r>
      <w:r w:rsidR="008F58EF" w:rsidRPr="00A42015">
        <w:rPr>
          <w:rFonts w:asciiTheme="majorBidi" w:hAnsiTheme="majorBidi" w:cstheme="majorBidi"/>
          <w:sz w:val="26"/>
          <w:szCs w:val="26"/>
        </w:rPr>
        <w:t>2</w:t>
      </w:r>
      <w:r w:rsidR="00684BAF" w:rsidRPr="00A42015">
        <w:rPr>
          <w:rFonts w:asciiTheme="majorBidi" w:hAnsiTheme="majorBidi" w:cstheme="majorBidi"/>
          <w:sz w:val="26"/>
          <w:szCs w:val="26"/>
          <w:rtl/>
        </w:rPr>
        <w:t>7</w:t>
      </w:r>
      <w:r w:rsidR="0076510B" w:rsidRPr="00A42015">
        <w:rPr>
          <w:rFonts w:asciiTheme="majorBidi" w:hAnsiTheme="majorBidi" w:cstheme="majorBidi"/>
          <w:sz w:val="26"/>
          <w:szCs w:val="26"/>
        </w:rPr>
        <w:t>%</w:t>
      </w:r>
      <w:r w:rsidR="003879DE" w:rsidRPr="00A42015">
        <w:rPr>
          <w:rFonts w:asciiTheme="majorBidi" w:hAnsiTheme="majorBidi" w:cstheme="majorBidi"/>
          <w:sz w:val="26"/>
          <w:szCs w:val="26"/>
        </w:rPr>
        <w:t>.</w:t>
      </w:r>
    </w:p>
    <w:p w:rsidR="008F58EF" w:rsidRPr="00A42015" w:rsidRDefault="008F58EF" w:rsidP="008F58EF">
      <w:pPr>
        <w:pStyle w:val="Default"/>
        <w:ind w:left="-284"/>
        <w:jc w:val="both"/>
        <w:rPr>
          <w:rFonts w:asciiTheme="majorBidi" w:hAnsiTheme="majorBidi" w:cstheme="majorBidi"/>
          <w:sz w:val="16"/>
          <w:szCs w:val="16"/>
        </w:rPr>
      </w:pPr>
    </w:p>
    <w:p w:rsidR="00A42015" w:rsidRPr="00A42015" w:rsidRDefault="005E4C26" w:rsidP="00A42015">
      <w:pPr>
        <w:pStyle w:val="Default"/>
        <w:jc w:val="center"/>
        <w:rPr>
          <w:rFonts w:asciiTheme="majorBidi" w:hAnsiTheme="majorBidi" w:cstheme="majorBidi"/>
          <w:b/>
          <w:bCs/>
          <w:sz w:val="28"/>
          <w:szCs w:val="28"/>
          <w:lang w:val="en-US"/>
        </w:rPr>
      </w:pPr>
      <w:r w:rsidRPr="00A42015">
        <w:rPr>
          <w:rFonts w:asciiTheme="majorBidi" w:hAnsiTheme="majorBidi" w:cstheme="majorBidi"/>
          <w:b/>
          <w:bCs/>
          <w:sz w:val="28"/>
          <w:szCs w:val="28"/>
          <w:lang w:val="en-US"/>
        </w:rPr>
        <w:t xml:space="preserve">Total Number </w:t>
      </w:r>
      <w:r w:rsidR="003B4711" w:rsidRPr="00A42015">
        <w:rPr>
          <w:rFonts w:asciiTheme="majorBidi" w:hAnsiTheme="majorBidi" w:cstheme="majorBidi"/>
          <w:b/>
          <w:bCs/>
          <w:sz w:val="28"/>
          <w:szCs w:val="28"/>
          <w:lang w:val="en-US"/>
        </w:rPr>
        <w:t xml:space="preserve">of Fixed and Active </w:t>
      </w:r>
      <w:r w:rsidR="00CB2F0E" w:rsidRPr="00A42015">
        <w:rPr>
          <w:rFonts w:asciiTheme="majorBidi" w:hAnsiTheme="majorBidi" w:cstheme="majorBidi"/>
          <w:b/>
          <w:bCs/>
          <w:sz w:val="28"/>
          <w:szCs w:val="28"/>
          <w:lang w:val="en-US"/>
        </w:rPr>
        <w:t xml:space="preserve">Cellular </w:t>
      </w:r>
      <w:r w:rsidR="001B210C" w:rsidRPr="00A42015">
        <w:rPr>
          <w:rFonts w:asciiTheme="majorBidi" w:hAnsiTheme="majorBidi" w:cstheme="majorBidi"/>
          <w:b/>
          <w:bCs/>
          <w:sz w:val="28"/>
          <w:szCs w:val="28"/>
          <w:lang w:val="en-US"/>
        </w:rPr>
        <w:t xml:space="preserve">Phone </w:t>
      </w:r>
      <w:r w:rsidR="003B4711" w:rsidRPr="00A42015">
        <w:rPr>
          <w:rFonts w:asciiTheme="majorBidi" w:hAnsiTheme="majorBidi" w:cstheme="majorBidi"/>
          <w:b/>
          <w:bCs/>
          <w:sz w:val="28"/>
          <w:szCs w:val="28"/>
          <w:lang w:val="en-US"/>
        </w:rPr>
        <w:t xml:space="preserve">Lines in </w:t>
      </w:r>
      <w:r w:rsidRPr="00A42015">
        <w:rPr>
          <w:rFonts w:asciiTheme="majorBidi" w:hAnsiTheme="majorBidi" w:cstheme="majorBidi"/>
          <w:b/>
          <w:bCs/>
          <w:sz w:val="28"/>
          <w:szCs w:val="28"/>
          <w:lang w:val="en-US"/>
        </w:rPr>
        <w:t xml:space="preserve">Palestine </w:t>
      </w:r>
      <w:r w:rsidR="00584C74" w:rsidRPr="00A42015">
        <w:rPr>
          <w:rFonts w:asciiTheme="majorBidi" w:hAnsiTheme="majorBidi" w:cstheme="majorBidi"/>
          <w:b/>
          <w:bCs/>
          <w:sz w:val="28"/>
          <w:szCs w:val="28"/>
          <w:lang w:val="en-US"/>
        </w:rPr>
        <w:t>for</w:t>
      </w:r>
    </w:p>
    <w:p w:rsidR="00573B2C" w:rsidRPr="00A42015" w:rsidRDefault="00584C74" w:rsidP="00A42015">
      <w:pPr>
        <w:pStyle w:val="Default"/>
        <w:jc w:val="center"/>
        <w:rPr>
          <w:rFonts w:asciiTheme="majorBidi" w:hAnsiTheme="majorBidi" w:cstheme="majorBidi"/>
          <w:sz w:val="28"/>
          <w:szCs w:val="28"/>
        </w:rPr>
      </w:pPr>
      <w:r w:rsidRPr="00A42015">
        <w:rPr>
          <w:rFonts w:asciiTheme="majorBidi" w:hAnsiTheme="majorBidi" w:cstheme="majorBidi"/>
          <w:b/>
          <w:bCs/>
          <w:sz w:val="28"/>
          <w:szCs w:val="28"/>
          <w:lang w:val="en-US"/>
        </w:rPr>
        <w:t xml:space="preserve"> Selected Years</w:t>
      </w:r>
      <w:r w:rsidR="005E4C26" w:rsidRPr="00A42015">
        <w:rPr>
          <w:rFonts w:asciiTheme="majorBidi" w:hAnsiTheme="majorBidi" w:cstheme="majorBidi"/>
          <w:b/>
          <w:bCs/>
          <w:sz w:val="28"/>
          <w:szCs w:val="28"/>
          <w:lang w:val="en-US"/>
        </w:rPr>
        <w:t xml:space="preserve"> (Thousands)</w:t>
      </w:r>
    </w:p>
    <w:p w:rsidR="009C5DF6" w:rsidRPr="00A42015" w:rsidRDefault="00302FEA" w:rsidP="00584C74">
      <w:pPr>
        <w:pStyle w:val="Default"/>
        <w:ind w:left="-284"/>
        <w:jc w:val="center"/>
        <w:rPr>
          <w:rFonts w:asciiTheme="majorBidi" w:hAnsiTheme="majorBidi" w:cstheme="majorBidi"/>
          <w:b/>
          <w:bCs/>
          <w:sz w:val="26"/>
          <w:szCs w:val="26"/>
          <w:lang w:eastAsia="ar-SA"/>
        </w:rPr>
      </w:pPr>
      <w:r w:rsidRPr="00A42015">
        <w:rPr>
          <w:rFonts w:asciiTheme="majorBidi" w:hAnsiTheme="majorBidi" w:cstheme="majorBidi"/>
          <w:b/>
          <w:bCs/>
          <w:noProof/>
          <w:sz w:val="26"/>
          <w:szCs w:val="26"/>
          <w:bdr w:val="single" w:sz="4" w:space="0" w:color="auto"/>
          <w:lang w:val="en-US" w:eastAsia="en-US"/>
        </w:rPr>
        <w:drawing>
          <wp:inline distT="0" distB="0" distL="0" distR="0">
            <wp:extent cx="3114675" cy="1819275"/>
            <wp:effectExtent l="0" t="0" r="0" b="0"/>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42015" w:rsidRPr="00A42015" w:rsidRDefault="00A42015" w:rsidP="00B917D7">
      <w:pPr>
        <w:pStyle w:val="Default"/>
        <w:ind w:left="-284"/>
        <w:jc w:val="both"/>
        <w:rPr>
          <w:rFonts w:asciiTheme="majorBidi" w:hAnsiTheme="majorBidi" w:cstheme="majorBidi"/>
          <w:sz w:val="16"/>
          <w:szCs w:val="16"/>
        </w:rPr>
      </w:pPr>
    </w:p>
    <w:p w:rsidR="00573B2C" w:rsidRPr="00A42015" w:rsidRDefault="00573B2C" w:rsidP="00B917D7">
      <w:pPr>
        <w:pStyle w:val="Default"/>
        <w:ind w:left="-284"/>
        <w:jc w:val="both"/>
        <w:rPr>
          <w:rFonts w:asciiTheme="majorBidi" w:hAnsiTheme="majorBidi" w:cstheme="majorBidi"/>
          <w:sz w:val="26"/>
          <w:szCs w:val="26"/>
        </w:rPr>
      </w:pPr>
      <w:r w:rsidRPr="00A42015">
        <w:rPr>
          <w:rFonts w:asciiTheme="majorBidi" w:hAnsiTheme="majorBidi" w:cstheme="majorBidi"/>
          <w:sz w:val="26"/>
          <w:szCs w:val="26"/>
        </w:rPr>
        <w:t xml:space="preserve">A decrease is observed in the number of fixed telephone lines in 2022 compared to 2021, due to the launching of the internet service via </w:t>
      </w:r>
      <w:r w:rsidR="00B917D7" w:rsidRPr="00A42015">
        <w:rPr>
          <w:rFonts w:asciiTheme="majorBidi" w:hAnsiTheme="majorBidi" w:cstheme="majorBidi"/>
          <w:sz w:val="26"/>
          <w:szCs w:val="26"/>
        </w:rPr>
        <w:t xml:space="preserve">optical </w:t>
      </w:r>
      <w:proofErr w:type="spellStart"/>
      <w:r w:rsidR="00B917D7" w:rsidRPr="00A42015">
        <w:rPr>
          <w:rFonts w:asciiTheme="majorBidi" w:hAnsiTheme="majorBidi" w:cstheme="majorBidi"/>
          <w:sz w:val="26"/>
          <w:szCs w:val="26"/>
        </w:rPr>
        <w:t>fiber</w:t>
      </w:r>
      <w:proofErr w:type="spellEnd"/>
      <w:r w:rsidR="00B917D7" w:rsidRPr="00A42015">
        <w:rPr>
          <w:rFonts w:asciiTheme="majorBidi" w:hAnsiTheme="majorBidi" w:cstheme="majorBidi"/>
          <w:sz w:val="26"/>
          <w:szCs w:val="26"/>
        </w:rPr>
        <w:t xml:space="preserve"> </w:t>
      </w:r>
      <w:r w:rsidRPr="00A42015">
        <w:rPr>
          <w:rFonts w:asciiTheme="majorBidi" w:hAnsiTheme="majorBidi" w:cstheme="majorBidi"/>
          <w:sz w:val="26"/>
          <w:szCs w:val="26"/>
        </w:rPr>
        <w:t>(FTTH), which does not require a fixed telephone line, in contrast to the internet service via the copper network.</w:t>
      </w:r>
    </w:p>
    <w:p w:rsidR="00573B2C" w:rsidRPr="00A42015" w:rsidRDefault="00573B2C" w:rsidP="00165F94">
      <w:pPr>
        <w:pStyle w:val="Default"/>
        <w:ind w:left="-284"/>
        <w:jc w:val="both"/>
        <w:rPr>
          <w:rFonts w:asciiTheme="majorBidi" w:hAnsiTheme="majorBidi" w:cstheme="majorBidi"/>
          <w:b/>
          <w:bCs/>
          <w:sz w:val="16"/>
          <w:szCs w:val="16"/>
          <w:rtl/>
        </w:rPr>
      </w:pPr>
    </w:p>
    <w:p w:rsidR="00165F94" w:rsidRPr="00A42015" w:rsidRDefault="00165F94" w:rsidP="00B917D7">
      <w:pPr>
        <w:pStyle w:val="Default"/>
        <w:ind w:left="-284"/>
        <w:jc w:val="both"/>
        <w:rPr>
          <w:rFonts w:asciiTheme="majorBidi" w:hAnsiTheme="majorBidi" w:cstheme="majorBidi"/>
          <w:b/>
          <w:bCs/>
          <w:sz w:val="28"/>
          <w:szCs w:val="28"/>
        </w:rPr>
      </w:pPr>
      <w:r w:rsidRPr="00A42015">
        <w:rPr>
          <w:rFonts w:asciiTheme="majorBidi" w:hAnsiTheme="majorBidi" w:cstheme="majorBidi"/>
          <w:b/>
          <w:bCs/>
          <w:sz w:val="28"/>
          <w:szCs w:val="28"/>
        </w:rPr>
        <w:t xml:space="preserve">More than fifty thousand subscribers to the </w:t>
      </w:r>
      <w:r w:rsidR="00D6415A" w:rsidRPr="00A42015">
        <w:rPr>
          <w:rFonts w:asciiTheme="majorBidi" w:hAnsiTheme="majorBidi" w:cstheme="majorBidi"/>
          <w:b/>
          <w:bCs/>
          <w:sz w:val="28"/>
          <w:szCs w:val="28"/>
          <w:lang w:val="en-US"/>
        </w:rPr>
        <w:t>optic</w:t>
      </w:r>
      <w:r w:rsidR="00B917D7" w:rsidRPr="00A42015">
        <w:rPr>
          <w:rFonts w:asciiTheme="majorBidi" w:hAnsiTheme="majorBidi" w:cstheme="majorBidi"/>
          <w:b/>
          <w:bCs/>
          <w:sz w:val="28"/>
          <w:szCs w:val="28"/>
          <w:lang w:val="en-US"/>
        </w:rPr>
        <w:t>al f</w:t>
      </w:r>
      <w:proofErr w:type="spellStart"/>
      <w:r w:rsidR="00B917D7" w:rsidRPr="00A42015">
        <w:rPr>
          <w:rFonts w:asciiTheme="majorBidi" w:hAnsiTheme="majorBidi" w:cstheme="majorBidi"/>
          <w:b/>
          <w:bCs/>
          <w:sz w:val="28"/>
          <w:szCs w:val="28"/>
        </w:rPr>
        <w:t>iber</w:t>
      </w:r>
      <w:proofErr w:type="spellEnd"/>
      <w:r w:rsidRPr="00A42015">
        <w:rPr>
          <w:rFonts w:asciiTheme="majorBidi" w:hAnsiTheme="majorBidi" w:cstheme="majorBidi"/>
          <w:b/>
          <w:bCs/>
          <w:sz w:val="28"/>
          <w:szCs w:val="28"/>
        </w:rPr>
        <w:t xml:space="preserve"> service</w:t>
      </w:r>
    </w:p>
    <w:p w:rsidR="00E74C96" w:rsidRPr="00A42015" w:rsidRDefault="00975FEF" w:rsidP="008F43F9">
      <w:pPr>
        <w:pStyle w:val="Default"/>
        <w:ind w:left="-284"/>
        <w:jc w:val="both"/>
        <w:rPr>
          <w:rFonts w:asciiTheme="majorBidi" w:hAnsiTheme="majorBidi" w:cstheme="majorBidi"/>
          <w:sz w:val="26"/>
          <w:szCs w:val="26"/>
        </w:rPr>
      </w:pPr>
      <w:r w:rsidRPr="00A42015">
        <w:rPr>
          <w:rFonts w:asciiTheme="majorBidi" w:hAnsiTheme="majorBidi" w:cstheme="majorBidi"/>
          <w:sz w:val="26"/>
          <w:szCs w:val="26"/>
        </w:rPr>
        <w:t>The total number of ADSL subscribers in Palestine</w:t>
      </w:r>
      <w:r w:rsidR="008F43F9" w:rsidRPr="00A42015">
        <w:rPr>
          <w:rStyle w:val="FootnoteReference"/>
          <w:rFonts w:asciiTheme="majorBidi" w:hAnsiTheme="majorBidi" w:cstheme="majorBidi"/>
          <w:sz w:val="26"/>
          <w:szCs w:val="26"/>
        </w:rPr>
        <w:footnoteReference w:id="1"/>
      </w:r>
      <w:r w:rsidR="00260633" w:rsidRPr="00A42015">
        <w:rPr>
          <w:rFonts w:asciiTheme="majorBidi" w:hAnsiTheme="majorBidi" w:cstheme="majorBidi"/>
          <w:sz w:val="26"/>
          <w:szCs w:val="26"/>
        </w:rPr>
        <w:t xml:space="preserve"> </w:t>
      </w:r>
      <w:r w:rsidRPr="00A42015">
        <w:rPr>
          <w:rFonts w:asciiTheme="majorBidi" w:hAnsiTheme="majorBidi" w:cstheme="majorBidi"/>
          <w:sz w:val="26"/>
          <w:szCs w:val="26"/>
        </w:rPr>
        <w:t xml:space="preserve">increased to </w:t>
      </w:r>
      <w:r w:rsidR="00804AC1" w:rsidRPr="00A42015">
        <w:rPr>
          <w:rFonts w:asciiTheme="majorBidi" w:hAnsiTheme="majorBidi" w:cstheme="majorBidi"/>
          <w:sz w:val="26"/>
          <w:szCs w:val="26"/>
        </w:rPr>
        <w:t xml:space="preserve">about </w:t>
      </w:r>
      <w:r w:rsidR="00165F94" w:rsidRPr="00A42015">
        <w:rPr>
          <w:rFonts w:asciiTheme="majorBidi" w:hAnsiTheme="majorBidi" w:cstheme="majorBidi"/>
          <w:sz w:val="26"/>
          <w:szCs w:val="26"/>
        </w:rPr>
        <w:t>358</w:t>
      </w:r>
      <w:r w:rsidRPr="00A42015">
        <w:rPr>
          <w:rFonts w:asciiTheme="majorBidi" w:hAnsiTheme="majorBidi" w:cstheme="majorBidi"/>
          <w:sz w:val="26"/>
          <w:szCs w:val="26"/>
        </w:rPr>
        <w:t xml:space="preserve"> </w:t>
      </w:r>
      <w:r w:rsidR="00804AC1" w:rsidRPr="00A42015">
        <w:rPr>
          <w:rFonts w:asciiTheme="majorBidi" w:hAnsiTheme="majorBidi" w:cstheme="majorBidi"/>
          <w:sz w:val="26"/>
          <w:szCs w:val="26"/>
        </w:rPr>
        <w:t>thousand</w:t>
      </w:r>
      <w:r w:rsidR="00C3596A" w:rsidRPr="00A42015">
        <w:rPr>
          <w:rFonts w:asciiTheme="majorBidi" w:hAnsiTheme="majorBidi" w:cstheme="majorBidi"/>
          <w:sz w:val="26"/>
          <w:szCs w:val="26"/>
        </w:rPr>
        <w:t xml:space="preserve"> subscribers</w:t>
      </w:r>
      <w:r w:rsidR="00804AC1" w:rsidRPr="00A42015">
        <w:rPr>
          <w:rFonts w:asciiTheme="majorBidi" w:hAnsiTheme="majorBidi" w:cstheme="majorBidi"/>
          <w:sz w:val="26"/>
          <w:szCs w:val="26"/>
        </w:rPr>
        <w:t xml:space="preserve"> </w:t>
      </w:r>
      <w:r w:rsidR="00CB2F0E" w:rsidRPr="00A42015">
        <w:rPr>
          <w:rFonts w:asciiTheme="majorBidi" w:hAnsiTheme="majorBidi" w:cstheme="majorBidi"/>
          <w:sz w:val="26"/>
          <w:szCs w:val="26"/>
        </w:rPr>
        <w:t xml:space="preserve">by </w:t>
      </w:r>
      <w:r w:rsidRPr="00A42015">
        <w:rPr>
          <w:rFonts w:asciiTheme="majorBidi" w:hAnsiTheme="majorBidi" w:cstheme="majorBidi"/>
          <w:sz w:val="26"/>
          <w:szCs w:val="26"/>
        </w:rPr>
        <w:t xml:space="preserve">the end of </w:t>
      </w:r>
      <w:r w:rsidR="009C5DF6" w:rsidRPr="00A42015">
        <w:rPr>
          <w:rFonts w:asciiTheme="majorBidi" w:hAnsiTheme="majorBidi" w:cstheme="majorBidi"/>
          <w:sz w:val="26"/>
          <w:szCs w:val="26"/>
        </w:rPr>
        <w:t>202</w:t>
      </w:r>
      <w:r w:rsidR="00165F94" w:rsidRPr="00A42015">
        <w:rPr>
          <w:rFonts w:asciiTheme="majorBidi" w:hAnsiTheme="majorBidi" w:cstheme="majorBidi"/>
          <w:sz w:val="26"/>
          <w:szCs w:val="26"/>
        </w:rPr>
        <w:t>2</w:t>
      </w:r>
      <w:r w:rsidRPr="00A42015">
        <w:rPr>
          <w:rFonts w:asciiTheme="majorBidi" w:hAnsiTheme="majorBidi" w:cstheme="majorBidi"/>
          <w:sz w:val="26"/>
          <w:szCs w:val="26"/>
        </w:rPr>
        <w:t xml:space="preserve"> compared with 119</w:t>
      </w:r>
      <w:r w:rsidR="00804AC1" w:rsidRPr="00A42015">
        <w:rPr>
          <w:rFonts w:asciiTheme="majorBidi" w:hAnsiTheme="majorBidi" w:cstheme="majorBidi"/>
          <w:sz w:val="26"/>
          <w:szCs w:val="26"/>
        </w:rPr>
        <w:t xml:space="preserve"> thousand</w:t>
      </w:r>
      <w:r w:rsidRPr="00A42015">
        <w:rPr>
          <w:rFonts w:asciiTheme="majorBidi" w:hAnsiTheme="majorBidi" w:cstheme="majorBidi"/>
          <w:sz w:val="26"/>
          <w:szCs w:val="26"/>
        </w:rPr>
        <w:t xml:space="preserve"> </w:t>
      </w:r>
      <w:r w:rsidR="00C3596A" w:rsidRPr="00A42015">
        <w:rPr>
          <w:rFonts w:asciiTheme="majorBidi" w:hAnsiTheme="majorBidi" w:cstheme="majorBidi"/>
          <w:sz w:val="26"/>
          <w:szCs w:val="26"/>
        </w:rPr>
        <w:t xml:space="preserve">subscribers </w:t>
      </w:r>
      <w:r w:rsidR="00CB2F0E" w:rsidRPr="00A42015">
        <w:rPr>
          <w:rFonts w:asciiTheme="majorBidi" w:hAnsiTheme="majorBidi" w:cstheme="majorBidi"/>
          <w:sz w:val="26"/>
          <w:szCs w:val="26"/>
        </w:rPr>
        <w:t xml:space="preserve">by </w:t>
      </w:r>
      <w:r w:rsidRPr="00A42015">
        <w:rPr>
          <w:rFonts w:asciiTheme="majorBidi" w:hAnsiTheme="majorBidi" w:cstheme="majorBidi"/>
          <w:sz w:val="26"/>
          <w:szCs w:val="26"/>
        </w:rPr>
        <w:t xml:space="preserve">the end of 2010, </w:t>
      </w:r>
      <w:r w:rsidR="00280477" w:rsidRPr="00A42015">
        <w:rPr>
          <w:rFonts w:asciiTheme="majorBidi" w:hAnsiTheme="majorBidi" w:cstheme="majorBidi"/>
          <w:sz w:val="26"/>
          <w:szCs w:val="26"/>
        </w:rPr>
        <w:t xml:space="preserve">with </w:t>
      </w:r>
      <w:r w:rsidRPr="00A42015">
        <w:rPr>
          <w:rFonts w:asciiTheme="majorBidi" w:hAnsiTheme="majorBidi" w:cstheme="majorBidi"/>
          <w:sz w:val="26"/>
          <w:szCs w:val="26"/>
        </w:rPr>
        <w:t xml:space="preserve">an increase of </w:t>
      </w:r>
      <w:r w:rsidR="002010F2" w:rsidRPr="00A42015">
        <w:rPr>
          <w:rFonts w:asciiTheme="majorBidi" w:hAnsiTheme="majorBidi" w:cstheme="majorBidi"/>
          <w:sz w:val="26"/>
          <w:szCs w:val="26"/>
        </w:rPr>
        <w:t>2</w:t>
      </w:r>
      <w:r w:rsidR="00165F94" w:rsidRPr="00A42015">
        <w:rPr>
          <w:rFonts w:asciiTheme="majorBidi" w:hAnsiTheme="majorBidi" w:cstheme="majorBidi"/>
          <w:sz w:val="26"/>
          <w:szCs w:val="26"/>
        </w:rPr>
        <w:t>01</w:t>
      </w:r>
      <w:r w:rsidR="00EA11EA" w:rsidRPr="00A42015">
        <w:rPr>
          <w:rFonts w:asciiTheme="majorBidi" w:hAnsiTheme="majorBidi" w:cstheme="majorBidi"/>
          <w:sz w:val="26"/>
          <w:szCs w:val="26"/>
        </w:rPr>
        <w:t>%.</w:t>
      </w:r>
      <w:r w:rsidRPr="00A42015">
        <w:rPr>
          <w:rFonts w:asciiTheme="majorBidi" w:hAnsiTheme="majorBidi" w:cstheme="majorBidi"/>
          <w:sz w:val="26"/>
          <w:szCs w:val="26"/>
        </w:rPr>
        <w:t xml:space="preserve"> </w:t>
      </w:r>
      <w:r w:rsidR="00586AEA" w:rsidRPr="00A42015">
        <w:rPr>
          <w:rFonts w:asciiTheme="majorBidi" w:hAnsiTheme="majorBidi" w:cstheme="majorBidi"/>
          <w:sz w:val="26"/>
          <w:szCs w:val="26"/>
        </w:rPr>
        <w:t xml:space="preserve">The average </w:t>
      </w:r>
      <w:r w:rsidR="003E1364" w:rsidRPr="00A42015">
        <w:rPr>
          <w:rFonts w:asciiTheme="majorBidi" w:hAnsiTheme="majorBidi" w:cstheme="majorBidi"/>
          <w:sz w:val="26"/>
          <w:szCs w:val="26"/>
        </w:rPr>
        <w:t xml:space="preserve">of </w:t>
      </w:r>
      <w:r w:rsidR="00586AEA" w:rsidRPr="00A42015">
        <w:rPr>
          <w:rFonts w:asciiTheme="majorBidi" w:hAnsiTheme="majorBidi" w:cstheme="majorBidi"/>
          <w:sz w:val="26"/>
          <w:szCs w:val="26"/>
        </w:rPr>
        <w:t xml:space="preserve">internet speed was </w:t>
      </w:r>
      <w:r w:rsidR="00165F94" w:rsidRPr="00A42015">
        <w:rPr>
          <w:rFonts w:asciiTheme="majorBidi" w:hAnsiTheme="majorBidi" w:cstheme="majorBidi"/>
          <w:sz w:val="26"/>
          <w:szCs w:val="26"/>
        </w:rPr>
        <w:t>26</w:t>
      </w:r>
      <w:r w:rsidR="00586AEA" w:rsidRPr="00A42015">
        <w:rPr>
          <w:rFonts w:asciiTheme="majorBidi" w:hAnsiTheme="majorBidi" w:cstheme="majorBidi"/>
          <w:sz w:val="26"/>
          <w:szCs w:val="26"/>
        </w:rPr>
        <w:t xml:space="preserve"> Mbps at the end of 202</w:t>
      </w:r>
      <w:r w:rsidR="00165F94" w:rsidRPr="00A42015">
        <w:rPr>
          <w:rFonts w:asciiTheme="majorBidi" w:hAnsiTheme="majorBidi" w:cstheme="majorBidi"/>
          <w:sz w:val="26"/>
          <w:szCs w:val="26"/>
        </w:rPr>
        <w:t>2</w:t>
      </w:r>
      <w:r w:rsidR="00586AEA" w:rsidRPr="00A42015">
        <w:rPr>
          <w:rFonts w:asciiTheme="majorBidi" w:hAnsiTheme="majorBidi" w:cstheme="majorBidi"/>
          <w:sz w:val="26"/>
          <w:szCs w:val="26"/>
        </w:rPr>
        <w:t xml:space="preserve"> compared with </w:t>
      </w:r>
      <w:r w:rsidR="00165F94" w:rsidRPr="00A42015">
        <w:rPr>
          <w:rFonts w:asciiTheme="majorBidi" w:hAnsiTheme="majorBidi" w:cstheme="majorBidi"/>
          <w:sz w:val="26"/>
          <w:szCs w:val="26"/>
        </w:rPr>
        <w:t>13 Mbps at the end of 2021</w:t>
      </w:r>
      <w:r w:rsidR="00586AEA" w:rsidRPr="00A42015">
        <w:rPr>
          <w:rFonts w:asciiTheme="majorBidi" w:hAnsiTheme="majorBidi" w:cstheme="majorBidi"/>
          <w:sz w:val="26"/>
          <w:szCs w:val="26"/>
        </w:rPr>
        <w:t>.</w:t>
      </w:r>
    </w:p>
    <w:p w:rsidR="00E74C96" w:rsidRPr="00A42015" w:rsidRDefault="00E74C96" w:rsidP="00E74C96">
      <w:pPr>
        <w:pStyle w:val="Default"/>
        <w:ind w:left="-284"/>
        <w:jc w:val="both"/>
        <w:rPr>
          <w:rFonts w:asciiTheme="majorBidi" w:hAnsiTheme="majorBidi" w:cstheme="majorBidi"/>
          <w:sz w:val="16"/>
          <w:szCs w:val="16"/>
        </w:rPr>
      </w:pPr>
    </w:p>
    <w:p w:rsidR="00E74C96" w:rsidRPr="00A42015" w:rsidRDefault="00E74C96" w:rsidP="0036404F">
      <w:pPr>
        <w:pStyle w:val="Default"/>
        <w:ind w:left="-284"/>
        <w:jc w:val="both"/>
        <w:rPr>
          <w:rFonts w:asciiTheme="majorBidi" w:hAnsiTheme="majorBidi" w:cstheme="majorBidi"/>
          <w:sz w:val="26"/>
          <w:szCs w:val="26"/>
        </w:rPr>
      </w:pPr>
      <w:r w:rsidRPr="00A42015">
        <w:rPr>
          <w:rFonts w:asciiTheme="majorBidi" w:hAnsiTheme="majorBidi" w:cstheme="majorBidi"/>
          <w:sz w:val="26"/>
          <w:szCs w:val="26"/>
        </w:rPr>
        <w:t xml:space="preserve">The figure below indicates that there is a noticeable decrease in the number of high-speed internet subscribers (not including </w:t>
      </w:r>
      <w:r w:rsidR="00B917D7" w:rsidRPr="00A42015">
        <w:rPr>
          <w:rFonts w:asciiTheme="majorBidi" w:hAnsiTheme="majorBidi" w:cstheme="majorBidi"/>
          <w:sz w:val="26"/>
          <w:szCs w:val="26"/>
        </w:rPr>
        <w:t xml:space="preserve">optical </w:t>
      </w:r>
      <w:proofErr w:type="spellStart"/>
      <w:r w:rsidR="00B917D7" w:rsidRPr="00A42015">
        <w:rPr>
          <w:rFonts w:asciiTheme="majorBidi" w:hAnsiTheme="majorBidi" w:cstheme="majorBidi"/>
          <w:sz w:val="26"/>
          <w:szCs w:val="26"/>
        </w:rPr>
        <w:t>fiber</w:t>
      </w:r>
      <w:proofErr w:type="spellEnd"/>
      <w:r w:rsidR="00B917D7" w:rsidRPr="00A42015">
        <w:rPr>
          <w:rFonts w:asciiTheme="majorBidi" w:hAnsiTheme="majorBidi" w:cstheme="majorBidi"/>
          <w:sz w:val="26"/>
          <w:szCs w:val="26"/>
        </w:rPr>
        <w:t xml:space="preserve"> </w:t>
      </w:r>
      <w:r w:rsidRPr="00A42015">
        <w:rPr>
          <w:rFonts w:asciiTheme="majorBidi" w:hAnsiTheme="majorBidi" w:cstheme="majorBidi"/>
          <w:sz w:val="26"/>
          <w:szCs w:val="26"/>
        </w:rPr>
        <w:t>subscribers) when compared with the year 2021</w:t>
      </w:r>
      <w:r w:rsidR="00725074" w:rsidRPr="00A42015">
        <w:rPr>
          <w:rFonts w:asciiTheme="majorBidi" w:hAnsiTheme="majorBidi" w:cstheme="majorBidi"/>
          <w:sz w:val="26"/>
          <w:szCs w:val="26"/>
        </w:rPr>
        <w:t>. Knowingly,</w:t>
      </w:r>
      <w:r w:rsidRPr="00A42015">
        <w:rPr>
          <w:rFonts w:asciiTheme="majorBidi" w:hAnsiTheme="majorBidi" w:cstheme="majorBidi"/>
          <w:sz w:val="26"/>
          <w:szCs w:val="26"/>
        </w:rPr>
        <w:t xml:space="preserve"> 2022 was the actual year for the spread of the </w:t>
      </w:r>
      <w:r w:rsidR="0036404F" w:rsidRPr="00A42015">
        <w:rPr>
          <w:rFonts w:asciiTheme="majorBidi" w:hAnsiTheme="majorBidi" w:cstheme="majorBidi"/>
          <w:sz w:val="26"/>
          <w:szCs w:val="26"/>
        </w:rPr>
        <w:t xml:space="preserve">optical </w:t>
      </w:r>
      <w:proofErr w:type="spellStart"/>
      <w:r w:rsidR="0036404F" w:rsidRPr="00A42015">
        <w:rPr>
          <w:rFonts w:asciiTheme="majorBidi" w:hAnsiTheme="majorBidi" w:cstheme="majorBidi"/>
          <w:sz w:val="26"/>
          <w:szCs w:val="26"/>
        </w:rPr>
        <w:t>fiber</w:t>
      </w:r>
      <w:proofErr w:type="spellEnd"/>
      <w:r w:rsidRPr="00A42015">
        <w:rPr>
          <w:rFonts w:asciiTheme="majorBidi" w:hAnsiTheme="majorBidi" w:cstheme="majorBidi"/>
          <w:sz w:val="26"/>
          <w:szCs w:val="26"/>
        </w:rPr>
        <w:t xml:space="preserve"> network in Palestine, as the number of subscribers to the optical </w:t>
      </w:r>
      <w:proofErr w:type="spellStart"/>
      <w:r w:rsidRPr="00A42015">
        <w:rPr>
          <w:rFonts w:asciiTheme="majorBidi" w:hAnsiTheme="majorBidi" w:cstheme="majorBidi"/>
          <w:sz w:val="26"/>
          <w:szCs w:val="26"/>
        </w:rPr>
        <w:t>fiber</w:t>
      </w:r>
      <w:proofErr w:type="spellEnd"/>
      <w:r w:rsidRPr="00A42015">
        <w:rPr>
          <w:rFonts w:asciiTheme="majorBidi" w:hAnsiTheme="majorBidi" w:cstheme="majorBidi"/>
          <w:sz w:val="26"/>
          <w:szCs w:val="26"/>
        </w:rPr>
        <w:t xml:space="preserve"> service reached </w:t>
      </w:r>
      <w:r w:rsidR="00725074" w:rsidRPr="00A42015">
        <w:rPr>
          <w:rFonts w:asciiTheme="majorBidi" w:hAnsiTheme="majorBidi" w:cstheme="majorBidi"/>
          <w:sz w:val="26"/>
          <w:szCs w:val="26"/>
        </w:rPr>
        <w:t xml:space="preserve">about 51,759 subscribers at </w:t>
      </w:r>
      <w:r w:rsidRPr="00A42015">
        <w:rPr>
          <w:rFonts w:asciiTheme="majorBidi" w:hAnsiTheme="majorBidi" w:cstheme="majorBidi"/>
          <w:sz w:val="26"/>
          <w:szCs w:val="26"/>
        </w:rPr>
        <w:t>the end of 2022, which explains the decrease in the number of high-speed internet subscribers as a result of the subscribers' transition from ADSL service to FTTH service.</w:t>
      </w:r>
    </w:p>
    <w:p w:rsidR="00A42015" w:rsidRDefault="00A42015" w:rsidP="00A42015">
      <w:pPr>
        <w:pStyle w:val="Default"/>
        <w:jc w:val="center"/>
        <w:rPr>
          <w:rFonts w:asciiTheme="majorBidi" w:hAnsiTheme="majorBidi" w:cstheme="majorBidi"/>
          <w:b/>
          <w:bCs/>
          <w:sz w:val="10"/>
          <w:szCs w:val="10"/>
          <w:lang w:val="en-US"/>
        </w:rPr>
      </w:pPr>
    </w:p>
    <w:p w:rsidR="00A42015" w:rsidRDefault="00A42015" w:rsidP="00A42015">
      <w:pPr>
        <w:pStyle w:val="Default"/>
        <w:jc w:val="center"/>
        <w:rPr>
          <w:rFonts w:asciiTheme="majorBidi" w:hAnsiTheme="majorBidi" w:cstheme="majorBidi"/>
          <w:b/>
          <w:bCs/>
          <w:sz w:val="10"/>
          <w:szCs w:val="10"/>
          <w:lang w:val="en-US"/>
        </w:rPr>
      </w:pPr>
    </w:p>
    <w:p w:rsidR="00A42015" w:rsidRDefault="00A42015" w:rsidP="00A42015">
      <w:pPr>
        <w:pStyle w:val="Default"/>
        <w:jc w:val="center"/>
        <w:rPr>
          <w:rFonts w:asciiTheme="majorBidi" w:hAnsiTheme="majorBidi" w:cstheme="majorBidi"/>
          <w:b/>
          <w:bCs/>
          <w:sz w:val="10"/>
          <w:szCs w:val="10"/>
          <w:lang w:val="en-US"/>
        </w:rPr>
      </w:pPr>
    </w:p>
    <w:p w:rsidR="00A42015" w:rsidRDefault="00A42015" w:rsidP="00A42015">
      <w:pPr>
        <w:pStyle w:val="Default"/>
        <w:jc w:val="center"/>
        <w:rPr>
          <w:rFonts w:asciiTheme="majorBidi" w:hAnsiTheme="majorBidi" w:cstheme="majorBidi"/>
          <w:b/>
          <w:bCs/>
          <w:sz w:val="10"/>
          <w:szCs w:val="10"/>
          <w:lang w:val="en-US"/>
        </w:rPr>
      </w:pPr>
    </w:p>
    <w:p w:rsidR="00A42015" w:rsidRDefault="00A42015" w:rsidP="00A42015">
      <w:pPr>
        <w:pStyle w:val="Default"/>
        <w:jc w:val="center"/>
        <w:rPr>
          <w:rFonts w:asciiTheme="majorBidi" w:hAnsiTheme="majorBidi" w:cstheme="majorBidi"/>
          <w:b/>
          <w:bCs/>
          <w:sz w:val="10"/>
          <w:szCs w:val="10"/>
          <w:lang w:val="en-US"/>
        </w:rPr>
      </w:pPr>
    </w:p>
    <w:p w:rsidR="00A42015" w:rsidRDefault="00A42015" w:rsidP="00A42015">
      <w:pPr>
        <w:pStyle w:val="Default"/>
        <w:jc w:val="center"/>
        <w:rPr>
          <w:rFonts w:asciiTheme="majorBidi" w:hAnsiTheme="majorBidi" w:cstheme="majorBidi"/>
          <w:b/>
          <w:bCs/>
          <w:sz w:val="10"/>
          <w:szCs w:val="10"/>
          <w:lang w:val="en-US"/>
        </w:rPr>
      </w:pPr>
    </w:p>
    <w:p w:rsidR="00A42015" w:rsidRDefault="00A42015" w:rsidP="00A42015">
      <w:pPr>
        <w:pStyle w:val="Default"/>
        <w:jc w:val="center"/>
        <w:rPr>
          <w:rFonts w:asciiTheme="majorBidi" w:hAnsiTheme="majorBidi" w:cstheme="majorBidi"/>
          <w:b/>
          <w:bCs/>
          <w:sz w:val="10"/>
          <w:szCs w:val="10"/>
          <w:lang w:val="en-US"/>
        </w:rPr>
      </w:pPr>
    </w:p>
    <w:p w:rsidR="00A42015" w:rsidRDefault="00A42015" w:rsidP="00A42015">
      <w:pPr>
        <w:pStyle w:val="Default"/>
        <w:jc w:val="center"/>
        <w:rPr>
          <w:rFonts w:asciiTheme="majorBidi" w:hAnsiTheme="majorBidi" w:cstheme="majorBidi"/>
          <w:b/>
          <w:bCs/>
          <w:sz w:val="10"/>
          <w:szCs w:val="10"/>
          <w:lang w:val="en-US"/>
        </w:rPr>
      </w:pPr>
    </w:p>
    <w:p w:rsidR="00A42015" w:rsidRDefault="00A42015" w:rsidP="00A42015">
      <w:pPr>
        <w:pStyle w:val="Default"/>
        <w:jc w:val="center"/>
        <w:rPr>
          <w:rFonts w:asciiTheme="majorBidi" w:hAnsiTheme="majorBidi" w:cstheme="majorBidi"/>
          <w:b/>
          <w:bCs/>
          <w:sz w:val="10"/>
          <w:szCs w:val="10"/>
          <w:lang w:val="en-US"/>
        </w:rPr>
      </w:pPr>
    </w:p>
    <w:p w:rsidR="00A42015" w:rsidRDefault="00A42015" w:rsidP="00A42015">
      <w:pPr>
        <w:pStyle w:val="Default"/>
        <w:jc w:val="center"/>
        <w:rPr>
          <w:rFonts w:asciiTheme="majorBidi" w:hAnsiTheme="majorBidi" w:cstheme="majorBidi"/>
          <w:b/>
          <w:bCs/>
          <w:sz w:val="10"/>
          <w:szCs w:val="10"/>
          <w:lang w:val="en-US"/>
        </w:rPr>
      </w:pPr>
    </w:p>
    <w:p w:rsidR="00A42015" w:rsidRDefault="00A42015" w:rsidP="00A42015">
      <w:pPr>
        <w:pStyle w:val="Default"/>
        <w:jc w:val="center"/>
        <w:rPr>
          <w:rFonts w:asciiTheme="majorBidi" w:hAnsiTheme="majorBidi" w:cstheme="majorBidi"/>
          <w:b/>
          <w:bCs/>
          <w:sz w:val="10"/>
          <w:szCs w:val="10"/>
          <w:lang w:val="en-US"/>
        </w:rPr>
      </w:pPr>
    </w:p>
    <w:p w:rsidR="00A42015" w:rsidRDefault="00A42015" w:rsidP="00A42015">
      <w:pPr>
        <w:pStyle w:val="Default"/>
        <w:jc w:val="center"/>
        <w:rPr>
          <w:rFonts w:asciiTheme="majorBidi" w:hAnsiTheme="majorBidi" w:cstheme="majorBidi"/>
          <w:b/>
          <w:bCs/>
          <w:sz w:val="10"/>
          <w:szCs w:val="10"/>
          <w:lang w:val="en-US"/>
        </w:rPr>
      </w:pPr>
    </w:p>
    <w:p w:rsidR="00A42015" w:rsidRDefault="00A42015" w:rsidP="00A42015">
      <w:pPr>
        <w:pStyle w:val="Default"/>
        <w:jc w:val="center"/>
        <w:rPr>
          <w:rFonts w:asciiTheme="majorBidi" w:hAnsiTheme="majorBidi" w:cstheme="majorBidi"/>
          <w:b/>
          <w:bCs/>
          <w:sz w:val="10"/>
          <w:szCs w:val="10"/>
          <w:lang w:val="en-US"/>
        </w:rPr>
      </w:pPr>
    </w:p>
    <w:p w:rsidR="00A42015" w:rsidRDefault="00A42015" w:rsidP="00A42015">
      <w:pPr>
        <w:pStyle w:val="Default"/>
        <w:jc w:val="center"/>
        <w:rPr>
          <w:rFonts w:asciiTheme="majorBidi" w:hAnsiTheme="majorBidi" w:cstheme="majorBidi"/>
          <w:b/>
          <w:bCs/>
          <w:sz w:val="10"/>
          <w:szCs w:val="10"/>
          <w:lang w:val="en-US"/>
        </w:rPr>
      </w:pPr>
    </w:p>
    <w:p w:rsidR="00A42015" w:rsidRDefault="00A42015" w:rsidP="00A42015">
      <w:pPr>
        <w:pStyle w:val="Default"/>
        <w:jc w:val="center"/>
        <w:rPr>
          <w:rFonts w:asciiTheme="majorBidi" w:hAnsiTheme="majorBidi" w:cstheme="majorBidi"/>
          <w:b/>
          <w:bCs/>
          <w:sz w:val="10"/>
          <w:szCs w:val="10"/>
          <w:lang w:val="en-US"/>
        </w:rPr>
      </w:pPr>
    </w:p>
    <w:p w:rsidR="00A42015" w:rsidRDefault="00A42015" w:rsidP="00A42015">
      <w:pPr>
        <w:pStyle w:val="Default"/>
        <w:jc w:val="center"/>
        <w:rPr>
          <w:rFonts w:asciiTheme="majorBidi" w:hAnsiTheme="majorBidi" w:cstheme="majorBidi"/>
          <w:b/>
          <w:bCs/>
          <w:sz w:val="10"/>
          <w:szCs w:val="10"/>
          <w:lang w:val="en-US"/>
        </w:rPr>
      </w:pPr>
    </w:p>
    <w:p w:rsidR="00A42015" w:rsidRDefault="00A42015" w:rsidP="00A42015">
      <w:pPr>
        <w:pStyle w:val="Default"/>
        <w:jc w:val="center"/>
        <w:rPr>
          <w:rFonts w:asciiTheme="majorBidi" w:hAnsiTheme="majorBidi" w:cstheme="majorBidi"/>
          <w:b/>
          <w:bCs/>
          <w:sz w:val="10"/>
          <w:szCs w:val="10"/>
          <w:lang w:val="en-US"/>
        </w:rPr>
      </w:pPr>
    </w:p>
    <w:p w:rsidR="00A42015" w:rsidRDefault="00A42015" w:rsidP="00A42015">
      <w:pPr>
        <w:pStyle w:val="Default"/>
        <w:jc w:val="center"/>
        <w:rPr>
          <w:rFonts w:asciiTheme="majorBidi" w:hAnsiTheme="majorBidi" w:cstheme="majorBidi"/>
          <w:b/>
          <w:bCs/>
          <w:sz w:val="10"/>
          <w:szCs w:val="10"/>
          <w:lang w:val="en-US"/>
        </w:rPr>
      </w:pPr>
    </w:p>
    <w:p w:rsidR="00A42015" w:rsidRPr="00A42015" w:rsidRDefault="009C5DF6" w:rsidP="00A42015">
      <w:pPr>
        <w:pStyle w:val="Default"/>
        <w:jc w:val="center"/>
        <w:rPr>
          <w:rFonts w:asciiTheme="majorBidi" w:hAnsiTheme="majorBidi" w:cstheme="majorBidi"/>
          <w:b/>
          <w:bCs/>
          <w:sz w:val="28"/>
          <w:szCs w:val="28"/>
          <w:rtl/>
          <w:lang w:val="en-US"/>
        </w:rPr>
      </w:pPr>
      <w:r w:rsidRPr="00A42015">
        <w:rPr>
          <w:rFonts w:asciiTheme="majorBidi" w:hAnsiTheme="majorBidi" w:cstheme="majorBidi"/>
          <w:b/>
          <w:bCs/>
          <w:sz w:val="28"/>
          <w:szCs w:val="28"/>
          <w:lang w:val="en-US"/>
        </w:rPr>
        <w:lastRenderedPageBreak/>
        <w:t>Total Number of ADSL Su</w:t>
      </w:r>
      <w:r w:rsidR="00584C74" w:rsidRPr="00A42015">
        <w:rPr>
          <w:rFonts w:asciiTheme="majorBidi" w:hAnsiTheme="majorBidi" w:cstheme="majorBidi"/>
          <w:b/>
          <w:bCs/>
          <w:sz w:val="28"/>
          <w:szCs w:val="28"/>
          <w:lang w:val="en-US"/>
        </w:rPr>
        <w:t>bscribers in Palestine, for Selected Years</w:t>
      </w:r>
      <w:r w:rsidRPr="00A42015">
        <w:rPr>
          <w:rFonts w:asciiTheme="majorBidi" w:hAnsiTheme="majorBidi" w:cstheme="majorBidi"/>
          <w:b/>
          <w:bCs/>
          <w:sz w:val="28"/>
          <w:szCs w:val="28"/>
          <w:lang w:val="en-US"/>
        </w:rPr>
        <w:t xml:space="preserve"> (Thousands)</w:t>
      </w:r>
    </w:p>
    <w:p w:rsidR="00A42015" w:rsidRDefault="00302FEA" w:rsidP="00A42015">
      <w:pPr>
        <w:tabs>
          <w:tab w:val="left" w:pos="-90"/>
        </w:tabs>
        <w:bidi w:val="0"/>
        <w:spacing w:line="276" w:lineRule="auto"/>
        <w:jc w:val="center"/>
        <w:rPr>
          <w:rFonts w:asciiTheme="majorBidi" w:hAnsiTheme="majorBidi" w:cstheme="majorBidi"/>
          <w:sz w:val="26"/>
          <w:szCs w:val="26"/>
        </w:rPr>
      </w:pPr>
      <w:r w:rsidRPr="00A42015">
        <w:rPr>
          <w:rFonts w:asciiTheme="majorBidi" w:hAnsiTheme="majorBidi" w:cstheme="majorBidi"/>
          <w:b/>
          <w:bCs/>
          <w:noProof/>
          <w:color w:val="000000"/>
          <w:sz w:val="26"/>
          <w:szCs w:val="26"/>
          <w:bdr w:val="single" w:sz="4" w:space="0" w:color="auto"/>
          <w:lang w:eastAsia="en-US"/>
        </w:rPr>
        <w:drawing>
          <wp:inline distT="0" distB="0" distL="0" distR="0">
            <wp:extent cx="3076575" cy="1809750"/>
            <wp:effectExtent l="0" t="0" r="0" b="0"/>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42015" w:rsidRPr="00A42015" w:rsidRDefault="00A42015" w:rsidP="00A42015">
      <w:pPr>
        <w:tabs>
          <w:tab w:val="left" w:pos="-90"/>
        </w:tabs>
        <w:bidi w:val="0"/>
        <w:spacing w:line="276" w:lineRule="auto"/>
        <w:jc w:val="both"/>
        <w:rPr>
          <w:rFonts w:asciiTheme="majorBidi" w:hAnsiTheme="majorBidi" w:cstheme="majorBidi"/>
          <w:sz w:val="12"/>
          <w:szCs w:val="12"/>
        </w:rPr>
      </w:pPr>
    </w:p>
    <w:p w:rsidR="00143515" w:rsidRPr="00A42015" w:rsidRDefault="00B80B84" w:rsidP="00A42015">
      <w:pPr>
        <w:tabs>
          <w:tab w:val="left" w:pos="-90"/>
        </w:tabs>
        <w:bidi w:val="0"/>
        <w:spacing w:line="276" w:lineRule="auto"/>
        <w:jc w:val="both"/>
        <w:rPr>
          <w:rFonts w:asciiTheme="majorBidi" w:hAnsiTheme="majorBidi" w:cstheme="majorBidi"/>
          <w:color w:val="000000"/>
          <w:sz w:val="26"/>
          <w:szCs w:val="26"/>
          <w:lang w:eastAsia="en-GB"/>
        </w:rPr>
      </w:pPr>
      <w:r w:rsidRPr="00A42015">
        <w:rPr>
          <w:rFonts w:asciiTheme="majorBidi" w:hAnsiTheme="majorBidi" w:cstheme="majorBidi"/>
          <w:sz w:val="26"/>
          <w:szCs w:val="26"/>
        </w:rPr>
        <w:t>Data of t</w:t>
      </w:r>
      <w:r w:rsidR="00F037C6" w:rsidRPr="00A42015">
        <w:rPr>
          <w:rFonts w:asciiTheme="majorBidi" w:hAnsiTheme="majorBidi" w:cstheme="majorBidi"/>
          <w:sz w:val="26"/>
          <w:szCs w:val="26"/>
        </w:rPr>
        <w:t xml:space="preserve">he </w:t>
      </w:r>
      <w:r w:rsidR="00143515" w:rsidRPr="00A42015">
        <w:rPr>
          <w:rFonts w:asciiTheme="majorBidi" w:hAnsiTheme="majorBidi" w:cstheme="majorBidi"/>
          <w:sz w:val="26"/>
          <w:szCs w:val="26"/>
        </w:rPr>
        <w:t>Ministry of Telecom and Information Technology</w:t>
      </w:r>
      <w:r w:rsidR="00F037C6" w:rsidRPr="00A42015">
        <w:rPr>
          <w:rFonts w:asciiTheme="majorBidi" w:hAnsiTheme="majorBidi" w:cstheme="majorBidi"/>
          <w:sz w:val="26"/>
          <w:szCs w:val="26"/>
        </w:rPr>
        <w:t xml:space="preserve"> </w:t>
      </w:r>
      <w:r w:rsidR="00143515" w:rsidRPr="00A42015">
        <w:rPr>
          <w:rFonts w:asciiTheme="majorBidi" w:hAnsiTheme="majorBidi" w:cstheme="majorBidi"/>
          <w:sz w:val="26"/>
          <w:szCs w:val="26"/>
        </w:rPr>
        <w:t xml:space="preserve">2022 </w:t>
      </w:r>
      <w:r w:rsidR="00143515" w:rsidRPr="00A42015">
        <w:rPr>
          <w:rFonts w:asciiTheme="majorBidi" w:hAnsiTheme="majorBidi" w:cstheme="majorBidi"/>
          <w:color w:val="000000"/>
          <w:sz w:val="26"/>
          <w:szCs w:val="26"/>
          <w:lang w:val="en-GB" w:eastAsia="en-GB"/>
        </w:rPr>
        <w:t>indicated that there are 9 companies operate as internet providers</w:t>
      </w:r>
      <w:r w:rsidRPr="00A42015">
        <w:rPr>
          <w:rFonts w:asciiTheme="majorBidi" w:hAnsiTheme="majorBidi" w:cstheme="majorBidi"/>
          <w:color w:val="000000"/>
          <w:sz w:val="26"/>
          <w:szCs w:val="26"/>
          <w:lang w:val="en-GB" w:eastAsia="en-GB"/>
        </w:rPr>
        <w:t xml:space="preserve">; </w:t>
      </w:r>
      <w:r w:rsidR="00143515" w:rsidRPr="00A42015">
        <w:rPr>
          <w:rFonts w:asciiTheme="majorBidi" w:hAnsiTheme="majorBidi" w:cstheme="majorBidi"/>
          <w:color w:val="000000"/>
          <w:sz w:val="26"/>
          <w:szCs w:val="26"/>
          <w:lang w:val="en-GB" w:eastAsia="en-GB"/>
        </w:rPr>
        <w:t xml:space="preserve">7 </w:t>
      </w:r>
      <w:r w:rsidRPr="00A42015">
        <w:rPr>
          <w:rFonts w:asciiTheme="majorBidi" w:hAnsiTheme="majorBidi" w:cstheme="majorBidi"/>
          <w:color w:val="000000"/>
          <w:sz w:val="26"/>
          <w:szCs w:val="26"/>
          <w:lang w:val="en-GB" w:eastAsia="en-GB"/>
        </w:rPr>
        <w:t xml:space="preserve">of which are </w:t>
      </w:r>
      <w:r w:rsidR="00143515" w:rsidRPr="00A42015">
        <w:rPr>
          <w:rFonts w:asciiTheme="majorBidi" w:hAnsiTheme="majorBidi" w:cstheme="majorBidi"/>
          <w:color w:val="000000"/>
          <w:sz w:val="26"/>
          <w:szCs w:val="26"/>
          <w:lang w:val="en-GB" w:eastAsia="en-GB"/>
        </w:rPr>
        <w:t xml:space="preserve">companies licensed for broadband services, </w:t>
      </w:r>
      <w:r w:rsidRPr="00A42015">
        <w:rPr>
          <w:rFonts w:asciiTheme="majorBidi" w:hAnsiTheme="majorBidi" w:cstheme="majorBidi"/>
          <w:color w:val="000000"/>
          <w:sz w:val="26"/>
          <w:szCs w:val="26"/>
          <w:lang w:val="en-GB" w:eastAsia="en-GB"/>
        </w:rPr>
        <w:t xml:space="preserve">one </w:t>
      </w:r>
      <w:r w:rsidR="00143515" w:rsidRPr="00A42015">
        <w:rPr>
          <w:rFonts w:asciiTheme="majorBidi" w:hAnsiTheme="majorBidi" w:cstheme="majorBidi"/>
          <w:color w:val="000000"/>
          <w:sz w:val="26"/>
          <w:szCs w:val="26"/>
          <w:lang w:val="en-GB" w:eastAsia="en-GB"/>
        </w:rPr>
        <w:t>company</w:t>
      </w:r>
      <w:r w:rsidRPr="00A42015">
        <w:rPr>
          <w:rFonts w:asciiTheme="majorBidi" w:hAnsiTheme="majorBidi" w:cstheme="majorBidi"/>
          <w:color w:val="000000"/>
          <w:sz w:val="26"/>
          <w:szCs w:val="26"/>
          <w:lang w:val="en-GB" w:eastAsia="en-GB"/>
        </w:rPr>
        <w:t xml:space="preserve"> </w:t>
      </w:r>
      <w:r w:rsidR="00143515" w:rsidRPr="00A42015">
        <w:rPr>
          <w:rFonts w:asciiTheme="majorBidi" w:hAnsiTheme="majorBidi" w:cstheme="majorBidi"/>
          <w:color w:val="000000"/>
          <w:sz w:val="26"/>
          <w:szCs w:val="26"/>
          <w:lang w:val="en-GB" w:eastAsia="en-GB"/>
        </w:rPr>
        <w:t xml:space="preserve">licensed to establish and operate optical </w:t>
      </w:r>
      <w:proofErr w:type="spellStart"/>
      <w:r w:rsidR="00143515" w:rsidRPr="00A42015">
        <w:rPr>
          <w:rFonts w:asciiTheme="majorBidi" w:hAnsiTheme="majorBidi" w:cstheme="majorBidi"/>
          <w:color w:val="000000"/>
          <w:sz w:val="26"/>
          <w:szCs w:val="26"/>
          <w:lang w:val="en-GB" w:eastAsia="en-GB"/>
        </w:rPr>
        <w:t>fiber</w:t>
      </w:r>
      <w:proofErr w:type="spellEnd"/>
      <w:r w:rsidR="00143515" w:rsidRPr="00A42015">
        <w:rPr>
          <w:rFonts w:asciiTheme="majorBidi" w:hAnsiTheme="majorBidi" w:cstheme="majorBidi"/>
          <w:color w:val="000000"/>
          <w:sz w:val="26"/>
          <w:szCs w:val="26"/>
          <w:lang w:val="en-GB" w:eastAsia="en-GB"/>
        </w:rPr>
        <w:t xml:space="preserve"> networks, and </w:t>
      </w:r>
      <w:r w:rsidRPr="00A42015">
        <w:rPr>
          <w:rFonts w:asciiTheme="majorBidi" w:hAnsiTheme="majorBidi" w:cstheme="majorBidi"/>
          <w:color w:val="000000"/>
          <w:sz w:val="26"/>
          <w:szCs w:val="26"/>
          <w:lang w:val="en-GB" w:eastAsia="en-GB"/>
        </w:rPr>
        <w:t xml:space="preserve">the last one is </w:t>
      </w:r>
      <w:r w:rsidR="00B917D7" w:rsidRPr="00A42015">
        <w:rPr>
          <w:rFonts w:asciiTheme="majorBidi" w:hAnsiTheme="majorBidi" w:cstheme="majorBidi"/>
          <w:color w:val="000000"/>
          <w:sz w:val="26"/>
          <w:szCs w:val="26"/>
          <w:lang w:val="en-GB" w:eastAsia="en-GB"/>
        </w:rPr>
        <w:t>an internet provider working over</w:t>
      </w:r>
      <w:r w:rsidR="006844E1" w:rsidRPr="00A42015">
        <w:rPr>
          <w:rFonts w:asciiTheme="majorBidi" w:hAnsiTheme="majorBidi" w:cstheme="majorBidi"/>
          <w:color w:val="000000"/>
          <w:sz w:val="26"/>
          <w:szCs w:val="26"/>
          <w:lang w:val="en-GB" w:eastAsia="en-GB"/>
        </w:rPr>
        <w:t xml:space="preserve"> </w:t>
      </w:r>
      <w:r w:rsidR="008377D4" w:rsidRPr="00A42015">
        <w:rPr>
          <w:rFonts w:asciiTheme="majorBidi" w:hAnsiTheme="majorBidi" w:cstheme="majorBidi"/>
          <w:color w:val="000000"/>
          <w:sz w:val="26"/>
          <w:szCs w:val="26"/>
          <w:lang w:eastAsia="en-GB"/>
        </w:rPr>
        <w:t>B</w:t>
      </w:r>
      <w:r w:rsidR="00B917D7" w:rsidRPr="00A42015">
        <w:rPr>
          <w:rFonts w:asciiTheme="majorBidi" w:hAnsiTheme="majorBidi" w:cstheme="majorBidi"/>
          <w:color w:val="000000"/>
          <w:sz w:val="26"/>
          <w:szCs w:val="26"/>
          <w:lang w:eastAsia="en-GB"/>
        </w:rPr>
        <w:t>it-</w:t>
      </w:r>
      <w:r w:rsidR="008377D4" w:rsidRPr="00A42015">
        <w:rPr>
          <w:rFonts w:asciiTheme="majorBidi" w:hAnsiTheme="majorBidi" w:cstheme="majorBidi"/>
          <w:color w:val="000000"/>
          <w:sz w:val="26"/>
          <w:szCs w:val="26"/>
          <w:lang w:eastAsia="en-GB"/>
        </w:rPr>
        <w:t>Stream Access (</w:t>
      </w:r>
      <w:r w:rsidR="00143515" w:rsidRPr="00A42015">
        <w:rPr>
          <w:rFonts w:asciiTheme="majorBidi" w:hAnsiTheme="majorBidi" w:cstheme="majorBidi"/>
          <w:color w:val="000000"/>
          <w:sz w:val="26"/>
          <w:szCs w:val="26"/>
          <w:lang w:val="en-GB" w:eastAsia="en-GB"/>
        </w:rPr>
        <w:t>BSA</w:t>
      </w:r>
      <w:r w:rsidR="008377D4" w:rsidRPr="00A42015">
        <w:rPr>
          <w:rFonts w:asciiTheme="majorBidi" w:hAnsiTheme="majorBidi" w:cstheme="majorBidi"/>
          <w:color w:val="000000"/>
          <w:sz w:val="26"/>
          <w:szCs w:val="26"/>
          <w:lang w:val="en-GB" w:eastAsia="en-GB"/>
        </w:rPr>
        <w:t>)</w:t>
      </w:r>
      <w:r w:rsidR="00B917D7" w:rsidRPr="00A42015">
        <w:rPr>
          <w:rFonts w:asciiTheme="majorBidi" w:hAnsiTheme="majorBidi" w:cstheme="majorBidi"/>
          <w:color w:val="000000"/>
          <w:sz w:val="26"/>
          <w:szCs w:val="26"/>
          <w:lang w:val="en-GB" w:eastAsia="en-GB"/>
        </w:rPr>
        <w:t xml:space="preserve"> model</w:t>
      </w:r>
      <w:r w:rsidRPr="00A42015">
        <w:rPr>
          <w:rFonts w:asciiTheme="majorBidi" w:hAnsiTheme="majorBidi" w:cstheme="majorBidi"/>
          <w:color w:val="000000"/>
          <w:sz w:val="26"/>
          <w:szCs w:val="26"/>
          <w:lang w:val="en-GB" w:eastAsia="en-GB"/>
        </w:rPr>
        <w:t xml:space="preserve">. Moreover, there are </w:t>
      </w:r>
      <w:r w:rsidR="00143515" w:rsidRPr="00A42015">
        <w:rPr>
          <w:rFonts w:asciiTheme="majorBidi" w:hAnsiTheme="majorBidi" w:cstheme="majorBidi"/>
          <w:color w:val="000000"/>
          <w:sz w:val="26"/>
          <w:szCs w:val="26"/>
          <w:lang w:val="en-GB" w:eastAsia="en-GB"/>
        </w:rPr>
        <w:t xml:space="preserve">103 wireless Wi-Fi networks </w:t>
      </w:r>
      <w:r w:rsidRPr="00A42015">
        <w:rPr>
          <w:rFonts w:asciiTheme="majorBidi" w:hAnsiTheme="majorBidi" w:cstheme="majorBidi"/>
          <w:color w:val="000000"/>
          <w:sz w:val="26"/>
          <w:szCs w:val="26"/>
          <w:lang w:val="en-GB" w:eastAsia="en-GB"/>
        </w:rPr>
        <w:t xml:space="preserve">that </w:t>
      </w:r>
      <w:r w:rsidR="00143515" w:rsidRPr="00A42015">
        <w:rPr>
          <w:rFonts w:asciiTheme="majorBidi" w:hAnsiTheme="majorBidi" w:cstheme="majorBidi"/>
          <w:color w:val="000000"/>
          <w:sz w:val="26"/>
          <w:szCs w:val="26"/>
          <w:lang w:val="en-GB" w:eastAsia="en-GB"/>
        </w:rPr>
        <w:t>have been granted a license to operate. In the same year, license</w:t>
      </w:r>
      <w:r w:rsidRPr="00A42015">
        <w:rPr>
          <w:rFonts w:asciiTheme="majorBidi" w:hAnsiTheme="majorBidi" w:cstheme="majorBidi"/>
          <w:color w:val="000000"/>
          <w:sz w:val="26"/>
          <w:szCs w:val="26"/>
          <w:lang w:val="en-GB" w:eastAsia="en-GB"/>
        </w:rPr>
        <w:t>s</w:t>
      </w:r>
      <w:r w:rsidR="00143515" w:rsidRPr="00A42015">
        <w:rPr>
          <w:rFonts w:asciiTheme="majorBidi" w:hAnsiTheme="majorBidi" w:cstheme="majorBidi"/>
          <w:color w:val="000000"/>
          <w:sz w:val="26"/>
          <w:szCs w:val="26"/>
          <w:lang w:val="en-GB" w:eastAsia="en-GB"/>
        </w:rPr>
        <w:t xml:space="preserve"> </w:t>
      </w:r>
      <w:r w:rsidRPr="00A42015">
        <w:rPr>
          <w:rFonts w:asciiTheme="majorBidi" w:hAnsiTheme="majorBidi" w:cstheme="majorBidi"/>
          <w:color w:val="000000"/>
          <w:sz w:val="26"/>
          <w:szCs w:val="26"/>
          <w:lang w:val="en-GB" w:eastAsia="en-GB"/>
        </w:rPr>
        <w:t xml:space="preserve">were </w:t>
      </w:r>
      <w:r w:rsidR="00143515" w:rsidRPr="00A42015">
        <w:rPr>
          <w:rFonts w:asciiTheme="majorBidi" w:hAnsiTheme="majorBidi" w:cstheme="majorBidi"/>
          <w:color w:val="000000"/>
          <w:sz w:val="26"/>
          <w:szCs w:val="26"/>
          <w:lang w:val="en-GB" w:eastAsia="en-GB"/>
        </w:rPr>
        <w:t xml:space="preserve">granted to 67 companies to import wired and wireless communication devices, in addition to 15 companies to provide value-added services. In the aforementioned year, </w:t>
      </w:r>
      <w:r w:rsidRPr="00A42015">
        <w:rPr>
          <w:rFonts w:asciiTheme="majorBidi" w:hAnsiTheme="majorBidi" w:cstheme="majorBidi"/>
          <w:color w:val="000000"/>
          <w:sz w:val="26"/>
          <w:szCs w:val="26"/>
          <w:lang w:val="en-GB" w:eastAsia="en-GB"/>
        </w:rPr>
        <w:t>MTIT</w:t>
      </w:r>
      <w:r w:rsidR="00143515" w:rsidRPr="00A42015">
        <w:rPr>
          <w:rFonts w:asciiTheme="majorBidi" w:hAnsiTheme="majorBidi" w:cstheme="majorBidi"/>
          <w:color w:val="000000"/>
          <w:sz w:val="26"/>
          <w:szCs w:val="26"/>
          <w:lang w:val="en-GB" w:eastAsia="en-GB"/>
        </w:rPr>
        <w:t xml:space="preserve"> registered 706,617 new mobile devices that were introduced to the State of Palestine.</w:t>
      </w:r>
    </w:p>
    <w:p w:rsidR="00143515" w:rsidRPr="00A42015" w:rsidRDefault="00143515" w:rsidP="00143515">
      <w:pPr>
        <w:tabs>
          <w:tab w:val="left" w:pos="-90"/>
        </w:tabs>
        <w:bidi w:val="0"/>
        <w:spacing w:line="276" w:lineRule="auto"/>
        <w:jc w:val="both"/>
        <w:rPr>
          <w:rFonts w:asciiTheme="majorBidi" w:hAnsiTheme="majorBidi" w:cstheme="majorBidi"/>
          <w:b/>
          <w:bCs/>
          <w:color w:val="000000"/>
          <w:sz w:val="16"/>
          <w:szCs w:val="16"/>
          <w:lang w:val="en-GB" w:eastAsia="en-GB"/>
        </w:rPr>
      </w:pPr>
    </w:p>
    <w:p w:rsidR="005A6C3B" w:rsidRPr="00A42015" w:rsidRDefault="00F64CEC" w:rsidP="00143515">
      <w:pPr>
        <w:tabs>
          <w:tab w:val="left" w:pos="-90"/>
        </w:tabs>
        <w:bidi w:val="0"/>
        <w:spacing w:line="276" w:lineRule="auto"/>
        <w:jc w:val="both"/>
        <w:rPr>
          <w:rFonts w:asciiTheme="majorBidi" w:hAnsiTheme="majorBidi" w:cstheme="majorBidi"/>
          <w:b/>
          <w:bCs/>
          <w:color w:val="000000"/>
          <w:sz w:val="28"/>
          <w:szCs w:val="28"/>
          <w:lang w:val="en-GB" w:eastAsia="en-GB"/>
        </w:rPr>
      </w:pPr>
      <w:r w:rsidRPr="00A42015">
        <w:rPr>
          <w:rFonts w:asciiTheme="majorBidi" w:hAnsiTheme="majorBidi" w:cstheme="majorBidi"/>
          <w:b/>
          <w:bCs/>
          <w:color w:val="000000"/>
          <w:sz w:val="28"/>
          <w:szCs w:val="28"/>
          <w:lang w:val="en-GB" w:eastAsia="en-GB"/>
        </w:rPr>
        <w:t>Around two thirds of economic enterprises used the internet for business services</w:t>
      </w:r>
    </w:p>
    <w:p w:rsidR="009A4AB1" w:rsidRPr="00A42015" w:rsidRDefault="00725074" w:rsidP="00725074">
      <w:pPr>
        <w:pStyle w:val="Default"/>
        <w:jc w:val="both"/>
        <w:rPr>
          <w:rFonts w:asciiTheme="majorBidi" w:hAnsiTheme="majorBidi" w:cstheme="majorBidi"/>
          <w:sz w:val="26"/>
          <w:szCs w:val="26"/>
        </w:rPr>
      </w:pPr>
      <w:r w:rsidRPr="00A42015">
        <w:rPr>
          <w:rFonts w:asciiTheme="majorBidi" w:hAnsiTheme="majorBidi" w:cstheme="majorBidi"/>
          <w:sz w:val="26"/>
          <w:szCs w:val="26"/>
        </w:rPr>
        <w:t>R</w:t>
      </w:r>
      <w:r w:rsidR="009A4AB1" w:rsidRPr="00A42015">
        <w:rPr>
          <w:rFonts w:asciiTheme="majorBidi" w:hAnsiTheme="majorBidi" w:cstheme="majorBidi"/>
          <w:sz w:val="26"/>
          <w:szCs w:val="26"/>
        </w:rPr>
        <w:t>esults of the ICT Business Survey, 2021 indicated</w:t>
      </w:r>
      <w:r w:rsidR="0004104C" w:rsidRPr="00A42015">
        <w:rPr>
          <w:rFonts w:asciiTheme="majorBidi" w:hAnsiTheme="majorBidi" w:cstheme="majorBidi"/>
          <w:sz w:val="26"/>
          <w:szCs w:val="26"/>
        </w:rPr>
        <w:t xml:space="preserve"> that</w:t>
      </w:r>
      <w:r w:rsidR="009A4AB1" w:rsidRPr="00A42015">
        <w:rPr>
          <w:rFonts w:asciiTheme="majorBidi" w:hAnsiTheme="majorBidi" w:cstheme="majorBidi"/>
          <w:sz w:val="26"/>
          <w:szCs w:val="26"/>
        </w:rPr>
        <w:t xml:space="preserve"> 41% of the economic </w:t>
      </w:r>
      <w:r w:rsidR="0004104C" w:rsidRPr="00A42015">
        <w:rPr>
          <w:rFonts w:asciiTheme="majorBidi" w:hAnsiTheme="majorBidi" w:cstheme="majorBidi"/>
          <w:sz w:val="26"/>
          <w:szCs w:val="26"/>
        </w:rPr>
        <w:t>enterprises</w:t>
      </w:r>
      <w:r w:rsidR="009A4AB1" w:rsidRPr="00A42015">
        <w:rPr>
          <w:rFonts w:asciiTheme="majorBidi" w:hAnsiTheme="majorBidi" w:cstheme="majorBidi"/>
          <w:sz w:val="26"/>
          <w:szCs w:val="26"/>
        </w:rPr>
        <w:t xml:space="preserve"> </w:t>
      </w:r>
      <w:r w:rsidRPr="00A42015">
        <w:rPr>
          <w:rFonts w:asciiTheme="majorBidi" w:hAnsiTheme="majorBidi" w:cstheme="majorBidi"/>
          <w:sz w:val="26"/>
          <w:szCs w:val="26"/>
        </w:rPr>
        <w:t xml:space="preserve">in Palestine </w:t>
      </w:r>
      <w:r w:rsidR="009A4AB1" w:rsidRPr="00A42015">
        <w:rPr>
          <w:rFonts w:asciiTheme="majorBidi" w:hAnsiTheme="majorBidi" w:cstheme="majorBidi"/>
          <w:sz w:val="26"/>
          <w:szCs w:val="26"/>
        </w:rPr>
        <w:t>used computers (desktop, laptop) to perform daily work</w:t>
      </w:r>
      <w:r w:rsidR="00D96390" w:rsidRPr="00A42015">
        <w:rPr>
          <w:rFonts w:asciiTheme="majorBidi" w:hAnsiTheme="majorBidi" w:cstheme="majorBidi"/>
          <w:sz w:val="26"/>
          <w:szCs w:val="26"/>
        </w:rPr>
        <w:t xml:space="preserve"> (</w:t>
      </w:r>
      <w:r w:rsidR="009A4AB1" w:rsidRPr="00A42015">
        <w:rPr>
          <w:rFonts w:asciiTheme="majorBidi" w:hAnsiTheme="majorBidi" w:cstheme="majorBidi"/>
          <w:sz w:val="26"/>
          <w:szCs w:val="26"/>
        </w:rPr>
        <w:t>45% in the West Bank and 35% in Gaza Strip</w:t>
      </w:r>
      <w:r w:rsidR="00D96390" w:rsidRPr="00A42015">
        <w:rPr>
          <w:rFonts w:asciiTheme="majorBidi" w:hAnsiTheme="majorBidi" w:cstheme="majorBidi"/>
          <w:sz w:val="26"/>
          <w:szCs w:val="26"/>
        </w:rPr>
        <w:t>)</w:t>
      </w:r>
      <w:r w:rsidR="009A4AB1" w:rsidRPr="00A42015">
        <w:rPr>
          <w:rFonts w:asciiTheme="majorBidi" w:hAnsiTheme="majorBidi" w:cstheme="majorBidi"/>
          <w:sz w:val="26"/>
          <w:szCs w:val="26"/>
        </w:rPr>
        <w:t>.</w:t>
      </w:r>
    </w:p>
    <w:p w:rsidR="00132F5B" w:rsidRPr="00A42015" w:rsidRDefault="00132F5B" w:rsidP="0004104C">
      <w:pPr>
        <w:pStyle w:val="Default"/>
        <w:jc w:val="both"/>
        <w:rPr>
          <w:rFonts w:asciiTheme="majorBidi" w:hAnsiTheme="majorBidi" w:cstheme="majorBidi"/>
          <w:sz w:val="16"/>
          <w:szCs w:val="16"/>
        </w:rPr>
      </w:pPr>
    </w:p>
    <w:p w:rsidR="009A4AB1" w:rsidRPr="00A42015" w:rsidRDefault="009A4AB1" w:rsidP="00D96390">
      <w:pPr>
        <w:pStyle w:val="Default"/>
        <w:jc w:val="both"/>
        <w:rPr>
          <w:rFonts w:asciiTheme="majorBidi" w:hAnsiTheme="majorBidi" w:cstheme="majorBidi"/>
          <w:sz w:val="26"/>
          <w:szCs w:val="26"/>
        </w:rPr>
      </w:pPr>
      <w:r w:rsidRPr="00A42015">
        <w:rPr>
          <w:rFonts w:asciiTheme="majorBidi" w:hAnsiTheme="majorBidi" w:cstheme="majorBidi"/>
          <w:sz w:val="26"/>
          <w:szCs w:val="26"/>
        </w:rPr>
        <w:t xml:space="preserve">61% of the total economic </w:t>
      </w:r>
      <w:r w:rsidR="0004104C" w:rsidRPr="00A42015">
        <w:rPr>
          <w:rFonts w:asciiTheme="majorBidi" w:hAnsiTheme="majorBidi" w:cstheme="majorBidi"/>
          <w:sz w:val="26"/>
          <w:szCs w:val="26"/>
        </w:rPr>
        <w:t>enterprises</w:t>
      </w:r>
      <w:r w:rsidRPr="00A42015">
        <w:rPr>
          <w:rFonts w:asciiTheme="majorBidi" w:hAnsiTheme="majorBidi" w:cstheme="majorBidi"/>
          <w:sz w:val="26"/>
          <w:szCs w:val="26"/>
        </w:rPr>
        <w:t xml:space="preserve"> used the Internet or had access to the Internet for </w:t>
      </w:r>
      <w:r w:rsidR="0004104C" w:rsidRPr="00A42015">
        <w:rPr>
          <w:rFonts w:asciiTheme="majorBidi" w:hAnsiTheme="majorBidi" w:cstheme="majorBidi"/>
          <w:sz w:val="26"/>
          <w:szCs w:val="26"/>
        </w:rPr>
        <w:t xml:space="preserve">business </w:t>
      </w:r>
      <w:r w:rsidRPr="00A42015">
        <w:rPr>
          <w:rFonts w:asciiTheme="majorBidi" w:hAnsiTheme="majorBidi" w:cstheme="majorBidi"/>
          <w:sz w:val="26"/>
          <w:szCs w:val="26"/>
        </w:rPr>
        <w:t xml:space="preserve">purposes </w:t>
      </w:r>
      <w:r w:rsidR="00D96390" w:rsidRPr="00A42015">
        <w:rPr>
          <w:rFonts w:asciiTheme="majorBidi" w:hAnsiTheme="majorBidi" w:cstheme="majorBidi"/>
          <w:sz w:val="26"/>
          <w:szCs w:val="26"/>
        </w:rPr>
        <w:t>(</w:t>
      </w:r>
      <w:r w:rsidRPr="00A42015">
        <w:rPr>
          <w:rFonts w:asciiTheme="majorBidi" w:hAnsiTheme="majorBidi" w:cstheme="majorBidi"/>
          <w:sz w:val="26"/>
          <w:szCs w:val="26"/>
        </w:rPr>
        <w:t>68% in the West Bank and 48% in Gaza Strip</w:t>
      </w:r>
      <w:r w:rsidR="00D96390" w:rsidRPr="00A42015">
        <w:rPr>
          <w:rFonts w:asciiTheme="majorBidi" w:hAnsiTheme="majorBidi" w:cstheme="majorBidi"/>
          <w:sz w:val="26"/>
          <w:szCs w:val="26"/>
        </w:rPr>
        <w:t>)</w:t>
      </w:r>
      <w:r w:rsidRPr="00A42015">
        <w:rPr>
          <w:rFonts w:asciiTheme="majorBidi" w:hAnsiTheme="majorBidi" w:cstheme="majorBidi"/>
          <w:sz w:val="26"/>
          <w:szCs w:val="26"/>
        </w:rPr>
        <w:t>.</w:t>
      </w:r>
    </w:p>
    <w:p w:rsidR="0004104C" w:rsidRPr="00A42015" w:rsidRDefault="0004104C" w:rsidP="0004104C">
      <w:pPr>
        <w:pStyle w:val="Default"/>
        <w:jc w:val="both"/>
        <w:rPr>
          <w:rFonts w:asciiTheme="majorBidi" w:hAnsiTheme="majorBidi" w:cstheme="majorBidi"/>
          <w:sz w:val="16"/>
          <w:szCs w:val="16"/>
        </w:rPr>
      </w:pPr>
    </w:p>
    <w:p w:rsidR="009A4AB1" w:rsidRPr="00A42015" w:rsidRDefault="009A4AB1" w:rsidP="00725074">
      <w:pPr>
        <w:pStyle w:val="Default"/>
        <w:jc w:val="both"/>
        <w:rPr>
          <w:rFonts w:asciiTheme="majorBidi" w:hAnsiTheme="majorBidi" w:cstheme="majorBidi"/>
          <w:sz w:val="26"/>
          <w:szCs w:val="26"/>
          <w:lang w:val="en-US"/>
        </w:rPr>
      </w:pPr>
      <w:r w:rsidRPr="00A42015">
        <w:rPr>
          <w:rFonts w:asciiTheme="majorBidi" w:hAnsiTheme="majorBidi" w:cstheme="majorBidi"/>
          <w:sz w:val="26"/>
          <w:szCs w:val="26"/>
        </w:rPr>
        <w:t xml:space="preserve">While 79% of the economic </w:t>
      </w:r>
      <w:r w:rsidR="0004104C" w:rsidRPr="00A42015">
        <w:rPr>
          <w:rFonts w:asciiTheme="majorBidi" w:hAnsiTheme="majorBidi" w:cstheme="majorBidi"/>
          <w:sz w:val="26"/>
          <w:szCs w:val="26"/>
        </w:rPr>
        <w:t>enterprises</w:t>
      </w:r>
      <w:r w:rsidRPr="00A42015">
        <w:rPr>
          <w:rFonts w:asciiTheme="majorBidi" w:hAnsiTheme="majorBidi" w:cstheme="majorBidi"/>
          <w:sz w:val="26"/>
          <w:szCs w:val="26"/>
        </w:rPr>
        <w:t xml:space="preserve"> </w:t>
      </w:r>
      <w:r w:rsidR="00725074" w:rsidRPr="00A42015">
        <w:rPr>
          <w:rFonts w:asciiTheme="majorBidi" w:hAnsiTheme="majorBidi" w:cstheme="majorBidi"/>
          <w:sz w:val="26"/>
          <w:szCs w:val="26"/>
        </w:rPr>
        <w:t xml:space="preserve">in Palestine </w:t>
      </w:r>
      <w:r w:rsidRPr="00A42015">
        <w:rPr>
          <w:rFonts w:asciiTheme="majorBidi" w:hAnsiTheme="majorBidi" w:cstheme="majorBidi"/>
          <w:sz w:val="26"/>
          <w:szCs w:val="26"/>
        </w:rPr>
        <w:t xml:space="preserve">used any social or professional </w:t>
      </w:r>
      <w:r w:rsidR="0004104C" w:rsidRPr="00A42015">
        <w:rPr>
          <w:rFonts w:asciiTheme="majorBidi" w:hAnsiTheme="majorBidi" w:cstheme="majorBidi"/>
          <w:sz w:val="26"/>
          <w:szCs w:val="26"/>
        </w:rPr>
        <w:t>networks</w:t>
      </w:r>
      <w:r w:rsidR="00D65901" w:rsidRPr="00A42015">
        <w:rPr>
          <w:rFonts w:asciiTheme="majorBidi" w:hAnsiTheme="majorBidi" w:cstheme="majorBidi"/>
          <w:sz w:val="26"/>
          <w:szCs w:val="26"/>
          <w:rtl/>
        </w:rPr>
        <w:t xml:space="preserve"> </w:t>
      </w:r>
      <w:r w:rsidR="00D65901" w:rsidRPr="00A42015">
        <w:rPr>
          <w:rFonts w:asciiTheme="majorBidi" w:hAnsiTheme="majorBidi" w:cstheme="majorBidi"/>
          <w:sz w:val="26"/>
          <w:szCs w:val="26"/>
          <w:lang w:val="en-US"/>
        </w:rPr>
        <w:t>(</w:t>
      </w:r>
      <w:proofErr w:type="spellStart"/>
      <w:r w:rsidR="00D65901" w:rsidRPr="00A42015">
        <w:rPr>
          <w:rFonts w:asciiTheme="majorBidi" w:hAnsiTheme="majorBidi" w:cstheme="majorBidi"/>
          <w:sz w:val="26"/>
          <w:szCs w:val="26"/>
          <w:lang w:val="en-US"/>
        </w:rPr>
        <w:t>i.e</w:t>
      </w:r>
      <w:proofErr w:type="spellEnd"/>
      <w:r w:rsidR="00D65901" w:rsidRPr="00A42015">
        <w:rPr>
          <w:rFonts w:asciiTheme="majorBidi" w:hAnsiTheme="majorBidi" w:cstheme="majorBidi"/>
          <w:sz w:val="26"/>
          <w:szCs w:val="26"/>
          <w:lang w:val="en-US"/>
        </w:rPr>
        <w:t xml:space="preserve"> </w:t>
      </w:r>
      <w:r w:rsidR="00D65901" w:rsidRPr="00A42015">
        <w:rPr>
          <w:rFonts w:asciiTheme="majorBidi" w:hAnsiTheme="majorBidi" w:cstheme="majorBidi"/>
          <w:sz w:val="26"/>
          <w:szCs w:val="26"/>
        </w:rPr>
        <w:t>that have a user profile, an account or a user license depending on the requirements and the type of the tool used)</w:t>
      </w:r>
      <w:r w:rsidR="00D96390" w:rsidRPr="00A42015">
        <w:rPr>
          <w:rFonts w:asciiTheme="majorBidi" w:hAnsiTheme="majorBidi" w:cstheme="majorBidi"/>
          <w:sz w:val="26"/>
          <w:szCs w:val="26"/>
        </w:rPr>
        <w:t>;</w:t>
      </w:r>
      <w:r w:rsidRPr="00A42015">
        <w:rPr>
          <w:rFonts w:asciiTheme="majorBidi" w:hAnsiTheme="majorBidi" w:cstheme="majorBidi"/>
          <w:sz w:val="26"/>
          <w:szCs w:val="26"/>
        </w:rPr>
        <w:t xml:space="preserve"> </w:t>
      </w:r>
      <w:r w:rsidR="00725074" w:rsidRPr="00A42015">
        <w:rPr>
          <w:rFonts w:asciiTheme="majorBidi" w:hAnsiTheme="majorBidi" w:cstheme="majorBidi"/>
          <w:sz w:val="26"/>
          <w:szCs w:val="26"/>
        </w:rPr>
        <w:t>;</w:t>
      </w:r>
      <w:r w:rsidRPr="00A42015">
        <w:rPr>
          <w:rFonts w:asciiTheme="majorBidi" w:hAnsiTheme="majorBidi" w:cstheme="majorBidi"/>
          <w:sz w:val="26"/>
          <w:szCs w:val="26"/>
        </w:rPr>
        <w:t>77% in the West Bank and 84% in Gaza Strip</w:t>
      </w:r>
      <w:r w:rsidR="00725074" w:rsidRPr="00A42015">
        <w:rPr>
          <w:rFonts w:asciiTheme="majorBidi" w:hAnsiTheme="majorBidi" w:cstheme="majorBidi"/>
          <w:sz w:val="26"/>
          <w:szCs w:val="26"/>
        </w:rPr>
        <w:t xml:space="preserve"> in 2021</w:t>
      </w:r>
      <w:r w:rsidR="0056546F" w:rsidRPr="00A42015">
        <w:rPr>
          <w:rFonts w:asciiTheme="majorBidi" w:hAnsiTheme="majorBidi" w:cstheme="majorBidi"/>
          <w:sz w:val="26"/>
          <w:szCs w:val="26"/>
        </w:rPr>
        <w:t>.</w:t>
      </w:r>
    </w:p>
    <w:p w:rsidR="0056546F" w:rsidRPr="00A42015" w:rsidRDefault="0056546F" w:rsidP="00725074">
      <w:pPr>
        <w:pStyle w:val="Default"/>
        <w:jc w:val="both"/>
        <w:rPr>
          <w:rFonts w:asciiTheme="majorBidi" w:hAnsiTheme="majorBidi" w:cstheme="majorBidi"/>
          <w:sz w:val="16"/>
          <w:szCs w:val="16"/>
        </w:rPr>
      </w:pPr>
    </w:p>
    <w:p w:rsidR="009A4AB1" w:rsidRPr="00A42015" w:rsidRDefault="00603EF3" w:rsidP="009A4AB1">
      <w:pPr>
        <w:tabs>
          <w:tab w:val="left" w:pos="-90"/>
        </w:tabs>
        <w:bidi w:val="0"/>
        <w:spacing w:line="276" w:lineRule="auto"/>
        <w:jc w:val="both"/>
        <w:rPr>
          <w:rFonts w:asciiTheme="majorBidi" w:hAnsiTheme="majorBidi" w:cstheme="majorBidi"/>
          <w:b/>
          <w:bCs/>
          <w:color w:val="000000"/>
          <w:sz w:val="28"/>
          <w:szCs w:val="28"/>
          <w:lang w:val="en-GB" w:eastAsia="en-GB"/>
        </w:rPr>
      </w:pPr>
      <w:r w:rsidRPr="00A42015">
        <w:rPr>
          <w:rFonts w:asciiTheme="majorBidi" w:hAnsiTheme="majorBidi" w:cstheme="majorBidi"/>
          <w:b/>
          <w:bCs/>
          <w:color w:val="000000"/>
          <w:sz w:val="28"/>
          <w:szCs w:val="28"/>
          <w:lang w:val="en-GB" w:eastAsia="en-GB"/>
        </w:rPr>
        <w:t>More than half</w:t>
      </w:r>
      <w:r w:rsidR="009A4AB1" w:rsidRPr="00A42015">
        <w:rPr>
          <w:rFonts w:asciiTheme="majorBidi" w:hAnsiTheme="majorBidi" w:cstheme="majorBidi"/>
          <w:b/>
          <w:bCs/>
          <w:color w:val="000000"/>
          <w:sz w:val="28"/>
          <w:szCs w:val="28"/>
          <w:lang w:val="en-GB" w:eastAsia="en-GB"/>
        </w:rPr>
        <w:t xml:space="preserve"> of economic enterprises used the internet for business services</w:t>
      </w:r>
    </w:p>
    <w:p w:rsidR="00603EF3" w:rsidRPr="00A42015" w:rsidRDefault="00603EF3" w:rsidP="00B8222E">
      <w:pPr>
        <w:pStyle w:val="Default"/>
        <w:jc w:val="both"/>
        <w:rPr>
          <w:rFonts w:asciiTheme="majorBidi" w:hAnsiTheme="majorBidi" w:cstheme="majorBidi"/>
          <w:sz w:val="26"/>
          <w:szCs w:val="26"/>
        </w:rPr>
      </w:pPr>
      <w:r w:rsidRPr="00A42015">
        <w:rPr>
          <w:rFonts w:asciiTheme="majorBidi" w:hAnsiTheme="majorBidi" w:cstheme="majorBidi"/>
          <w:sz w:val="26"/>
          <w:szCs w:val="26"/>
        </w:rPr>
        <w:t xml:space="preserve">The percentage of economic </w:t>
      </w:r>
      <w:r w:rsidRPr="00A42015">
        <w:rPr>
          <w:rFonts w:asciiTheme="majorBidi" w:hAnsiTheme="majorBidi" w:cstheme="majorBidi"/>
          <w:sz w:val="26"/>
          <w:szCs w:val="26"/>
          <w:lang w:val="en-US"/>
        </w:rPr>
        <w:t>enterprises</w:t>
      </w:r>
      <w:r w:rsidRPr="00A42015">
        <w:rPr>
          <w:rFonts w:asciiTheme="majorBidi" w:hAnsiTheme="majorBidi" w:cstheme="majorBidi"/>
          <w:sz w:val="26"/>
          <w:szCs w:val="26"/>
        </w:rPr>
        <w:t xml:space="preserve"> </w:t>
      </w:r>
      <w:r w:rsidR="00725074" w:rsidRPr="00A42015">
        <w:rPr>
          <w:rFonts w:asciiTheme="majorBidi" w:hAnsiTheme="majorBidi" w:cstheme="majorBidi"/>
          <w:sz w:val="26"/>
          <w:szCs w:val="26"/>
        </w:rPr>
        <w:t xml:space="preserve">in Palestine </w:t>
      </w:r>
      <w:r w:rsidRPr="00A42015">
        <w:rPr>
          <w:rFonts w:asciiTheme="majorBidi" w:hAnsiTheme="majorBidi" w:cstheme="majorBidi"/>
          <w:sz w:val="26"/>
          <w:szCs w:val="26"/>
        </w:rPr>
        <w:t xml:space="preserve">that received </w:t>
      </w:r>
      <w:r w:rsidR="00320BDB" w:rsidRPr="00A42015">
        <w:rPr>
          <w:rFonts w:asciiTheme="majorBidi" w:hAnsiTheme="majorBidi" w:cstheme="majorBidi"/>
          <w:sz w:val="26"/>
          <w:szCs w:val="26"/>
        </w:rPr>
        <w:t>orders</w:t>
      </w:r>
      <w:r w:rsidRPr="00A42015">
        <w:rPr>
          <w:rFonts w:asciiTheme="majorBidi" w:hAnsiTheme="majorBidi" w:cstheme="majorBidi"/>
          <w:sz w:val="26"/>
          <w:szCs w:val="26"/>
        </w:rPr>
        <w:t xml:space="preserve"> for </w:t>
      </w:r>
      <w:r w:rsidR="00011C24" w:rsidRPr="00A42015">
        <w:rPr>
          <w:rFonts w:asciiTheme="majorBidi" w:hAnsiTheme="majorBidi" w:cstheme="majorBidi"/>
          <w:sz w:val="26"/>
          <w:szCs w:val="26"/>
        </w:rPr>
        <w:t xml:space="preserve">selling </w:t>
      </w:r>
      <w:r w:rsidRPr="00A42015">
        <w:rPr>
          <w:rFonts w:asciiTheme="majorBidi" w:hAnsiTheme="majorBidi" w:cstheme="majorBidi"/>
          <w:sz w:val="26"/>
          <w:szCs w:val="26"/>
        </w:rPr>
        <w:t>goods or</w:t>
      </w:r>
      <w:r w:rsidR="00011C24" w:rsidRPr="00A42015">
        <w:rPr>
          <w:rFonts w:asciiTheme="majorBidi" w:hAnsiTheme="majorBidi" w:cstheme="majorBidi"/>
          <w:sz w:val="26"/>
          <w:szCs w:val="26"/>
        </w:rPr>
        <w:t xml:space="preserve"> services</w:t>
      </w:r>
      <w:r w:rsidRPr="00A42015">
        <w:rPr>
          <w:rFonts w:asciiTheme="majorBidi" w:hAnsiTheme="majorBidi" w:cstheme="majorBidi"/>
          <w:sz w:val="26"/>
          <w:szCs w:val="26"/>
        </w:rPr>
        <w:t xml:space="preserve"> </w:t>
      </w:r>
      <w:r w:rsidR="00320BDB" w:rsidRPr="00A42015">
        <w:rPr>
          <w:rFonts w:asciiTheme="majorBidi" w:hAnsiTheme="majorBidi" w:cstheme="majorBidi"/>
          <w:sz w:val="26"/>
          <w:szCs w:val="26"/>
        </w:rPr>
        <w:t>via</w:t>
      </w:r>
      <w:r w:rsidRPr="00A42015">
        <w:rPr>
          <w:rFonts w:asciiTheme="majorBidi" w:hAnsiTheme="majorBidi" w:cstheme="majorBidi"/>
          <w:sz w:val="26"/>
          <w:szCs w:val="26"/>
        </w:rPr>
        <w:t xml:space="preserve"> </w:t>
      </w:r>
      <w:r w:rsidR="00B8222E" w:rsidRPr="00A42015">
        <w:rPr>
          <w:rFonts w:asciiTheme="majorBidi" w:hAnsiTheme="majorBidi" w:cstheme="majorBidi"/>
          <w:sz w:val="26"/>
          <w:szCs w:val="26"/>
        </w:rPr>
        <w:t xml:space="preserve">the </w:t>
      </w:r>
      <w:r w:rsidRPr="00A42015">
        <w:rPr>
          <w:rFonts w:asciiTheme="majorBidi" w:hAnsiTheme="majorBidi" w:cstheme="majorBidi"/>
          <w:sz w:val="26"/>
          <w:szCs w:val="26"/>
        </w:rPr>
        <w:t>Internet was 53%</w:t>
      </w:r>
      <w:r w:rsidR="00725074" w:rsidRPr="00A42015">
        <w:rPr>
          <w:rFonts w:asciiTheme="majorBidi" w:hAnsiTheme="majorBidi" w:cstheme="majorBidi"/>
          <w:sz w:val="26"/>
          <w:szCs w:val="26"/>
        </w:rPr>
        <w:t xml:space="preserve"> </w:t>
      </w:r>
      <w:r w:rsidR="00543EE6" w:rsidRPr="00A42015">
        <w:rPr>
          <w:rFonts w:asciiTheme="majorBidi" w:hAnsiTheme="majorBidi" w:cstheme="majorBidi"/>
          <w:sz w:val="26"/>
          <w:szCs w:val="26"/>
        </w:rPr>
        <w:t>(</w:t>
      </w:r>
      <w:r w:rsidRPr="00A42015">
        <w:rPr>
          <w:rFonts w:asciiTheme="majorBidi" w:hAnsiTheme="majorBidi" w:cstheme="majorBidi"/>
          <w:sz w:val="26"/>
          <w:szCs w:val="26"/>
        </w:rPr>
        <w:t>56% in the West Bank and 44% in Gaza Strip</w:t>
      </w:r>
      <w:r w:rsidR="00543EE6" w:rsidRPr="00A42015">
        <w:rPr>
          <w:rFonts w:asciiTheme="majorBidi" w:hAnsiTheme="majorBidi" w:cstheme="majorBidi"/>
          <w:sz w:val="26"/>
          <w:szCs w:val="26"/>
        </w:rPr>
        <w:t>)</w:t>
      </w:r>
      <w:r w:rsidRPr="00A42015">
        <w:rPr>
          <w:rFonts w:asciiTheme="majorBidi" w:hAnsiTheme="majorBidi" w:cstheme="majorBidi"/>
          <w:sz w:val="26"/>
          <w:szCs w:val="26"/>
        </w:rPr>
        <w:t xml:space="preserve">, while the percentage of economic </w:t>
      </w:r>
      <w:r w:rsidR="00AB67AC" w:rsidRPr="00A42015">
        <w:rPr>
          <w:rFonts w:asciiTheme="majorBidi" w:hAnsiTheme="majorBidi" w:cstheme="majorBidi"/>
          <w:sz w:val="26"/>
          <w:szCs w:val="26"/>
        </w:rPr>
        <w:t>enterprises</w:t>
      </w:r>
      <w:r w:rsidRPr="00A42015">
        <w:rPr>
          <w:rFonts w:asciiTheme="majorBidi" w:hAnsiTheme="majorBidi" w:cstheme="majorBidi"/>
          <w:sz w:val="26"/>
          <w:szCs w:val="26"/>
        </w:rPr>
        <w:t xml:space="preserve"> </w:t>
      </w:r>
      <w:r w:rsidR="00725074" w:rsidRPr="00A42015">
        <w:rPr>
          <w:rFonts w:asciiTheme="majorBidi" w:hAnsiTheme="majorBidi" w:cstheme="majorBidi"/>
          <w:sz w:val="26"/>
          <w:szCs w:val="26"/>
        </w:rPr>
        <w:t xml:space="preserve">in Palestine </w:t>
      </w:r>
      <w:r w:rsidRPr="00A42015">
        <w:rPr>
          <w:rFonts w:asciiTheme="majorBidi" w:hAnsiTheme="majorBidi" w:cstheme="majorBidi"/>
          <w:sz w:val="26"/>
          <w:szCs w:val="26"/>
        </w:rPr>
        <w:t xml:space="preserve">that received orders for </w:t>
      </w:r>
      <w:r w:rsidR="00011C24" w:rsidRPr="00A42015">
        <w:rPr>
          <w:rFonts w:asciiTheme="majorBidi" w:hAnsiTheme="majorBidi" w:cstheme="majorBidi"/>
          <w:sz w:val="26"/>
          <w:szCs w:val="26"/>
        </w:rPr>
        <w:t xml:space="preserve">selling </w:t>
      </w:r>
      <w:r w:rsidRPr="00A42015">
        <w:rPr>
          <w:rFonts w:asciiTheme="majorBidi" w:hAnsiTheme="majorBidi" w:cstheme="majorBidi"/>
          <w:sz w:val="26"/>
          <w:szCs w:val="26"/>
        </w:rPr>
        <w:t xml:space="preserve">goods or services </w:t>
      </w:r>
      <w:r w:rsidR="00320BDB" w:rsidRPr="00A42015">
        <w:rPr>
          <w:rFonts w:asciiTheme="majorBidi" w:hAnsiTheme="majorBidi" w:cstheme="majorBidi"/>
          <w:sz w:val="26"/>
          <w:szCs w:val="26"/>
        </w:rPr>
        <w:t>via</w:t>
      </w:r>
      <w:r w:rsidRPr="00A42015">
        <w:rPr>
          <w:rFonts w:asciiTheme="majorBidi" w:hAnsiTheme="majorBidi" w:cstheme="majorBidi"/>
          <w:sz w:val="26"/>
          <w:szCs w:val="26"/>
        </w:rPr>
        <w:t xml:space="preserve"> social or professional </w:t>
      </w:r>
      <w:r w:rsidR="00320BDB" w:rsidRPr="00A42015">
        <w:rPr>
          <w:rFonts w:asciiTheme="majorBidi" w:hAnsiTheme="majorBidi" w:cstheme="majorBidi"/>
          <w:sz w:val="26"/>
          <w:szCs w:val="26"/>
        </w:rPr>
        <w:t>networks</w:t>
      </w:r>
      <w:r w:rsidRPr="00A42015">
        <w:rPr>
          <w:rFonts w:asciiTheme="majorBidi" w:hAnsiTheme="majorBidi" w:cstheme="majorBidi"/>
          <w:sz w:val="26"/>
          <w:szCs w:val="26"/>
        </w:rPr>
        <w:t xml:space="preserve">, </w:t>
      </w:r>
      <w:r w:rsidR="00725074" w:rsidRPr="00A42015">
        <w:rPr>
          <w:rFonts w:asciiTheme="majorBidi" w:hAnsiTheme="majorBidi" w:cstheme="majorBidi"/>
          <w:sz w:val="26"/>
          <w:szCs w:val="26"/>
        </w:rPr>
        <w:t xml:space="preserve">reached </w:t>
      </w:r>
      <w:r w:rsidRPr="00A42015">
        <w:rPr>
          <w:rFonts w:asciiTheme="majorBidi" w:hAnsiTheme="majorBidi" w:cstheme="majorBidi"/>
          <w:sz w:val="26"/>
          <w:szCs w:val="26"/>
        </w:rPr>
        <w:t xml:space="preserve">50% </w:t>
      </w:r>
      <w:r w:rsidR="00543EE6" w:rsidRPr="00A42015">
        <w:rPr>
          <w:rFonts w:asciiTheme="majorBidi" w:hAnsiTheme="majorBidi" w:cstheme="majorBidi"/>
          <w:sz w:val="26"/>
          <w:szCs w:val="26"/>
        </w:rPr>
        <w:t>(</w:t>
      </w:r>
      <w:r w:rsidRPr="00A42015">
        <w:rPr>
          <w:rFonts w:asciiTheme="majorBidi" w:hAnsiTheme="majorBidi" w:cstheme="majorBidi"/>
          <w:sz w:val="26"/>
          <w:szCs w:val="26"/>
        </w:rPr>
        <w:t>53% in the West Bank and 41% in Gaza Strip</w:t>
      </w:r>
      <w:r w:rsidR="00543EE6" w:rsidRPr="00A42015">
        <w:rPr>
          <w:rFonts w:asciiTheme="majorBidi" w:hAnsiTheme="majorBidi" w:cstheme="majorBidi"/>
          <w:sz w:val="26"/>
          <w:szCs w:val="26"/>
        </w:rPr>
        <w:t>)</w:t>
      </w:r>
      <w:r w:rsidRPr="00A42015">
        <w:rPr>
          <w:rFonts w:asciiTheme="majorBidi" w:hAnsiTheme="majorBidi" w:cstheme="majorBidi"/>
          <w:sz w:val="26"/>
          <w:szCs w:val="26"/>
        </w:rPr>
        <w:t xml:space="preserve"> during 2021.</w:t>
      </w:r>
    </w:p>
    <w:p w:rsidR="00320BDB" w:rsidRPr="00A42015" w:rsidRDefault="00320BDB" w:rsidP="00320BDB">
      <w:pPr>
        <w:jc w:val="center"/>
        <w:rPr>
          <w:rFonts w:asciiTheme="majorBidi" w:hAnsiTheme="majorBidi" w:cstheme="majorBidi"/>
          <w:sz w:val="16"/>
          <w:szCs w:val="16"/>
          <w:rtl/>
        </w:rPr>
      </w:pPr>
    </w:p>
    <w:p w:rsidR="00A42015" w:rsidRDefault="00A42015" w:rsidP="00B02CAA">
      <w:pPr>
        <w:jc w:val="center"/>
        <w:rPr>
          <w:rFonts w:asciiTheme="majorBidi" w:hAnsiTheme="majorBidi" w:cstheme="majorBidi"/>
          <w:b/>
          <w:bCs/>
          <w:sz w:val="28"/>
          <w:szCs w:val="28"/>
        </w:rPr>
      </w:pPr>
    </w:p>
    <w:p w:rsidR="00A42015" w:rsidRDefault="00A42015" w:rsidP="00B02CAA">
      <w:pPr>
        <w:jc w:val="center"/>
        <w:rPr>
          <w:rFonts w:asciiTheme="majorBidi" w:hAnsiTheme="majorBidi" w:cstheme="majorBidi"/>
          <w:b/>
          <w:bCs/>
          <w:sz w:val="28"/>
          <w:szCs w:val="28"/>
        </w:rPr>
      </w:pPr>
    </w:p>
    <w:p w:rsidR="00A42015" w:rsidRDefault="00A42015" w:rsidP="00B02CAA">
      <w:pPr>
        <w:jc w:val="center"/>
        <w:rPr>
          <w:rFonts w:asciiTheme="majorBidi" w:hAnsiTheme="majorBidi" w:cstheme="majorBidi"/>
          <w:b/>
          <w:bCs/>
          <w:sz w:val="28"/>
          <w:szCs w:val="28"/>
        </w:rPr>
      </w:pPr>
    </w:p>
    <w:p w:rsidR="00A42015" w:rsidRDefault="00A42015" w:rsidP="00B02CAA">
      <w:pPr>
        <w:jc w:val="center"/>
        <w:rPr>
          <w:rFonts w:asciiTheme="majorBidi" w:hAnsiTheme="majorBidi" w:cstheme="majorBidi"/>
          <w:b/>
          <w:bCs/>
          <w:sz w:val="28"/>
          <w:szCs w:val="28"/>
        </w:rPr>
      </w:pPr>
    </w:p>
    <w:p w:rsidR="00A42015" w:rsidRDefault="00A42015" w:rsidP="00B02CAA">
      <w:pPr>
        <w:jc w:val="center"/>
        <w:rPr>
          <w:rFonts w:asciiTheme="majorBidi" w:hAnsiTheme="majorBidi" w:cstheme="majorBidi"/>
          <w:b/>
          <w:bCs/>
          <w:sz w:val="28"/>
          <w:szCs w:val="28"/>
        </w:rPr>
      </w:pPr>
    </w:p>
    <w:p w:rsidR="00A42015" w:rsidRDefault="00A42015" w:rsidP="00B02CAA">
      <w:pPr>
        <w:jc w:val="center"/>
        <w:rPr>
          <w:rFonts w:asciiTheme="majorBidi" w:hAnsiTheme="majorBidi" w:cstheme="majorBidi"/>
          <w:b/>
          <w:bCs/>
          <w:sz w:val="28"/>
          <w:szCs w:val="28"/>
        </w:rPr>
      </w:pPr>
    </w:p>
    <w:p w:rsidR="00A42015" w:rsidRDefault="00A42015" w:rsidP="00B02CAA">
      <w:pPr>
        <w:jc w:val="center"/>
        <w:rPr>
          <w:rFonts w:asciiTheme="majorBidi" w:hAnsiTheme="majorBidi" w:cstheme="majorBidi"/>
          <w:b/>
          <w:bCs/>
          <w:sz w:val="28"/>
          <w:szCs w:val="28"/>
        </w:rPr>
      </w:pPr>
    </w:p>
    <w:p w:rsidR="00A42015" w:rsidRDefault="00A42015" w:rsidP="00B02CAA">
      <w:pPr>
        <w:jc w:val="center"/>
        <w:rPr>
          <w:rFonts w:asciiTheme="majorBidi" w:hAnsiTheme="majorBidi" w:cstheme="majorBidi"/>
          <w:b/>
          <w:bCs/>
          <w:sz w:val="28"/>
          <w:szCs w:val="28"/>
        </w:rPr>
      </w:pPr>
    </w:p>
    <w:p w:rsidR="00A42015" w:rsidRDefault="00A42015" w:rsidP="00B02CAA">
      <w:pPr>
        <w:jc w:val="center"/>
        <w:rPr>
          <w:rFonts w:asciiTheme="majorBidi" w:hAnsiTheme="majorBidi" w:cstheme="majorBidi"/>
          <w:b/>
          <w:bCs/>
          <w:sz w:val="28"/>
          <w:szCs w:val="28"/>
        </w:rPr>
      </w:pPr>
    </w:p>
    <w:p w:rsidR="00320BDB" w:rsidRPr="00A42015" w:rsidRDefault="00320BDB" w:rsidP="00B02CAA">
      <w:pPr>
        <w:jc w:val="center"/>
        <w:rPr>
          <w:rFonts w:asciiTheme="majorBidi" w:hAnsiTheme="majorBidi" w:cstheme="majorBidi"/>
          <w:b/>
          <w:bCs/>
          <w:sz w:val="28"/>
          <w:szCs w:val="28"/>
        </w:rPr>
      </w:pPr>
      <w:r w:rsidRPr="00A42015">
        <w:rPr>
          <w:rFonts w:asciiTheme="majorBidi" w:hAnsiTheme="majorBidi" w:cstheme="majorBidi"/>
          <w:b/>
          <w:bCs/>
          <w:sz w:val="28"/>
          <w:szCs w:val="28"/>
        </w:rPr>
        <w:t xml:space="preserve">Percentage of Economic Enterprises in Palestine that </w:t>
      </w:r>
      <w:r w:rsidR="00725074" w:rsidRPr="00A42015">
        <w:rPr>
          <w:rFonts w:asciiTheme="majorBidi" w:hAnsiTheme="majorBidi" w:cstheme="majorBidi"/>
          <w:b/>
          <w:bCs/>
          <w:sz w:val="28"/>
          <w:szCs w:val="28"/>
        </w:rPr>
        <w:t xml:space="preserve">Received </w:t>
      </w:r>
      <w:r w:rsidRPr="00A42015">
        <w:rPr>
          <w:rFonts w:asciiTheme="majorBidi" w:hAnsiTheme="majorBidi" w:cstheme="majorBidi"/>
          <w:b/>
          <w:bCs/>
          <w:sz w:val="28"/>
          <w:szCs w:val="28"/>
        </w:rPr>
        <w:t>Orders for Goods or Services</w:t>
      </w:r>
      <w:r w:rsidR="00B02CAA" w:rsidRPr="00A42015">
        <w:rPr>
          <w:rFonts w:asciiTheme="majorBidi" w:hAnsiTheme="majorBidi" w:cstheme="majorBidi"/>
          <w:b/>
          <w:bCs/>
          <w:sz w:val="28"/>
          <w:szCs w:val="28"/>
        </w:rPr>
        <w:t xml:space="preserve"> (Sales)</w:t>
      </w:r>
      <w:r w:rsidRPr="00A42015">
        <w:rPr>
          <w:rFonts w:asciiTheme="majorBidi" w:hAnsiTheme="majorBidi" w:cstheme="majorBidi"/>
          <w:b/>
          <w:bCs/>
          <w:sz w:val="28"/>
          <w:szCs w:val="28"/>
        </w:rPr>
        <w:t xml:space="preserve"> by Method, 2021</w:t>
      </w:r>
    </w:p>
    <w:p w:rsidR="00320BDB" w:rsidRPr="00A42015" w:rsidRDefault="00320BDB" w:rsidP="00320BDB">
      <w:pPr>
        <w:jc w:val="center"/>
        <w:rPr>
          <w:rFonts w:asciiTheme="majorBidi" w:hAnsiTheme="majorBidi" w:cstheme="majorBidi"/>
          <w:b/>
          <w:bCs/>
          <w:color w:val="000000"/>
          <w:sz w:val="26"/>
          <w:szCs w:val="26"/>
          <w:rtl/>
        </w:rPr>
      </w:pPr>
    </w:p>
    <w:p w:rsidR="00320BDB" w:rsidRDefault="00302FEA" w:rsidP="00320BDB">
      <w:pPr>
        <w:jc w:val="center"/>
        <w:rPr>
          <w:rFonts w:asciiTheme="majorBidi" w:hAnsiTheme="majorBidi" w:cstheme="majorBidi"/>
          <w:sz w:val="26"/>
          <w:szCs w:val="26"/>
          <w:rtl/>
        </w:rPr>
      </w:pPr>
      <w:r w:rsidRPr="00A42015">
        <w:rPr>
          <w:rFonts w:asciiTheme="majorBidi" w:hAnsiTheme="majorBidi" w:cstheme="majorBidi"/>
          <w:b/>
          <w:bCs/>
          <w:noProof/>
          <w:color w:val="000000"/>
          <w:sz w:val="26"/>
          <w:szCs w:val="26"/>
          <w:bdr w:val="single" w:sz="4" w:space="0" w:color="auto"/>
          <w:lang w:eastAsia="en-US"/>
        </w:rPr>
        <w:drawing>
          <wp:inline distT="0" distB="0" distL="0" distR="0">
            <wp:extent cx="2895600" cy="1971675"/>
            <wp:effectExtent l="0" t="0" r="0" b="0"/>
            <wp:docPr id="7"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42015" w:rsidRDefault="00A42015" w:rsidP="00320BDB">
      <w:pPr>
        <w:jc w:val="center"/>
        <w:rPr>
          <w:rFonts w:asciiTheme="majorBidi" w:hAnsiTheme="majorBidi" w:cstheme="majorBidi"/>
          <w:sz w:val="26"/>
          <w:szCs w:val="26"/>
          <w:rtl/>
        </w:rPr>
      </w:pPr>
    </w:p>
    <w:p w:rsidR="00A42015" w:rsidRDefault="00A42015" w:rsidP="00320BDB">
      <w:pPr>
        <w:jc w:val="center"/>
        <w:rPr>
          <w:rFonts w:asciiTheme="majorBidi" w:hAnsiTheme="majorBidi" w:cstheme="majorBidi"/>
          <w:sz w:val="26"/>
          <w:szCs w:val="26"/>
        </w:rPr>
      </w:pPr>
    </w:p>
    <w:p w:rsidR="00A42015" w:rsidRDefault="00A42015" w:rsidP="00320BDB">
      <w:pPr>
        <w:jc w:val="center"/>
        <w:rPr>
          <w:rFonts w:asciiTheme="majorBidi" w:hAnsiTheme="majorBidi" w:cstheme="majorBidi"/>
          <w:sz w:val="26"/>
          <w:szCs w:val="26"/>
        </w:rPr>
      </w:pPr>
    </w:p>
    <w:p w:rsidR="00A42015" w:rsidRDefault="00A42015" w:rsidP="00320BDB">
      <w:pPr>
        <w:jc w:val="center"/>
        <w:rPr>
          <w:rFonts w:asciiTheme="majorBidi" w:hAnsiTheme="majorBidi" w:cstheme="majorBidi"/>
          <w:sz w:val="26"/>
          <w:szCs w:val="26"/>
        </w:rPr>
      </w:pPr>
    </w:p>
    <w:p w:rsidR="00A42015" w:rsidRDefault="00A42015" w:rsidP="00320BDB">
      <w:pPr>
        <w:jc w:val="center"/>
        <w:rPr>
          <w:rFonts w:asciiTheme="majorBidi" w:hAnsiTheme="majorBidi" w:cstheme="majorBidi"/>
          <w:sz w:val="26"/>
          <w:szCs w:val="26"/>
        </w:rPr>
      </w:pPr>
    </w:p>
    <w:p w:rsidR="00A42015" w:rsidRDefault="00A42015" w:rsidP="00320BDB">
      <w:pPr>
        <w:jc w:val="center"/>
        <w:rPr>
          <w:rFonts w:asciiTheme="majorBidi" w:hAnsiTheme="majorBidi" w:cstheme="majorBidi"/>
          <w:sz w:val="26"/>
          <w:szCs w:val="26"/>
        </w:rPr>
      </w:pPr>
    </w:p>
    <w:p w:rsidR="00A42015" w:rsidRDefault="00A42015" w:rsidP="00320BDB">
      <w:pPr>
        <w:jc w:val="center"/>
        <w:rPr>
          <w:rFonts w:asciiTheme="majorBidi" w:hAnsiTheme="majorBidi" w:cstheme="majorBidi"/>
          <w:sz w:val="26"/>
          <w:szCs w:val="26"/>
        </w:rPr>
      </w:pPr>
    </w:p>
    <w:p w:rsidR="00A42015" w:rsidRDefault="00A42015" w:rsidP="00320BDB">
      <w:pPr>
        <w:jc w:val="center"/>
        <w:rPr>
          <w:rFonts w:asciiTheme="majorBidi" w:hAnsiTheme="majorBidi" w:cstheme="majorBidi"/>
          <w:sz w:val="26"/>
          <w:szCs w:val="26"/>
        </w:rPr>
      </w:pPr>
    </w:p>
    <w:p w:rsidR="00A42015" w:rsidRPr="00A42015" w:rsidRDefault="00A42015" w:rsidP="00320BDB">
      <w:pPr>
        <w:jc w:val="center"/>
        <w:rPr>
          <w:rFonts w:asciiTheme="majorBidi" w:hAnsiTheme="majorBidi" w:cstheme="majorBidi"/>
          <w:sz w:val="26"/>
          <w:szCs w:val="26"/>
          <w:rtl/>
        </w:rPr>
      </w:pPr>
    </w:p>
    <w:bookmarkEnd w:id="0"/>
    <w:bookmarkEnd w:id="1"/>
    <w:bookmarkEnd w:id="2"/>
    <w:bookmarkEnd w:id="3"/>
    <w:p w:rsidR="005F6905" w:rsidRPr="00A42015" w:rsidRDefault="00A42015" w:rsidP="00A42015">
      <w:pPr>
        <w:pStyle w:val="BodyText3"/>
        <w:bidi w:val="0"/>
        <w:jc w:val="center"/>
        <w:rPr>
          <w:rFonts w:asciiTheme="majorBidi" w:hAnsiTheme="majorBidi" w:cstheme="majorBidi"/>
          <w:color w:val="000000"/>
          <w:sz w:val="26"/>
          <w:szCs w:val="26"/>
          <w:lang w:val="en-GB"/>
        </w:rPr>
      </w:pPr>
      <w:r w:rsidRPr="00A42015">
        <w:rPr>
          <w:rFonts w:asciiTheme="majorBidi" w:hAnsiTheme="majorBidi" w:cstheme="majorBidi"/>
          <w:noProof/>
          <w:sz w:val="26"/>
          <w:szCs w:val="26"/>
          <w:lang w:eastAsia="en-US"/>
        </w:rPr>
        <w:drawing>
          <wp:inline distT="0" distB="0" distL="0" distR="0" wp14:anchorId="15C10539" wp14:editId="28F20BAA">
            <wp:extent cx="952500" cy="11811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0" cy="1181100"/>
                    </a:xfrm>
                    <a:prstGeom prst="rect">
                      <a:avLst/>
                    </a:prstGeom>
                    <a:noFill/>
                    <a:ln>
                      <a:noFill/>
                    </a:ln>
                  </pic:spPr>
                </pic:pic>
              </a:graphicData>
            </a:graphic>
          </wp:inline>
        </w:drawing>
      </w:r>
    </w:p>
    <w:sectPr w:rsidR="005F6905" w:rsidRPr="00A42015" w:rsidSect="00A42015">
      <w:type w:val="continuous"/>
      <w:pgSz w:w="11907" w:h="16840" w:code="9"/>
      <w:pgMar w:top="1134" w:right="1134" w:bottom="1134" w:left="1134" w:header="720" w:footer="0" w:gutter="0"/>
      <w:pgNumType w:start="1"/>
      <w:cols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608" w:rsidRDefault="002A5608">
      <w:pPr>
        <w:rPr>
          <w:rtl/>
        </w:rPr>
      </w:pPr>
      <w:r>
        <w:separator/>
      </w:r>
    </w:p>
  </w:endnote>
  <w:endnote w:type="continuationSeparator" w:id="0">
    <w:p w:rsidR="002A5608" w:rsidRDefault="002A5608">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60581934"/>
      <w:docPartObj>
        <w:docPartGallery w:val="Page Numbers (Bottom of Page)"/>
        <w:docPartUnique/>
      </w:docPartObj>
    </w:sdtPr>
    <w:sdtEndPr/>
    <w:sdtContent>
      <w:p w:rsidR="00A42015" w:rsidRDefault="00A42015">
        <w:pPr>
          <w:pStyle w:val="Footer"/>
          <w:jc w:val="center"/>
        </w:pPr>
        <w:r>
          <w:fldChar w:fldCharType="begin"/>
        </w:r>
        <w:r>
          <w:instrText xml:space="preserve"> PAGE   \* MERGEFORMAT </w:instrText>
        </w:r>
        <w:r>
          <w:fldChar w:fldCharType="separate"/>
        </w:r>
        <w:r w:rsidR="00AC6B9E">
          <w:rPr>
            <w:noProof/>
            <w:rtl/>
          </w:rPr>
          <w:t>4</w:t>
        </w:r>
        <w:r>
          <w:rPr>
            <w:noProof/>
          </w:rPr>
          <w:fldChar w:fldCharType="end"/>
        </w:r>
      </w:p>
    </w:sdtContent>
  </w:sdt>
  <w:p w:rsidR="0083352E" w:rsidRDefault="00833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608" w:rsidRDefault="002A5608">
      <w:pPr>
        <w:rPr>
          <w:rtl/>
        </w:rPr>
      </w:pPr>
      <w:r>
        <w:separator/>
      </w:r>
    </w:p>
  </w:footnote>
  <w:footnote w:type="continuationSeparator" w:id="0">
    <w:p w:rsidR="002A5608" w:rsidRDefault="002A5608">
      <w:pPr>
        <w:rPr>
          <w:rtl/>
        </w:rPr>
      </w:pPr>
      <w:r>
        <w:continuationSeparator/>
      </w:r>
    </w:p>
  </w:footnote>
  <w:footnote w:id="1">
    <w:p w:rsidR="008F43F9" w:rsidRPr="00A42015" w:rsidRDefault="008F43F9" w:rsidP="008F43F9">
      <w:pPr>
        <w:pStyle w:val="FootnoteText"/>
        <w:bidi w:val="0"/>
        <w:rPr>
          <w:sz w:val="22"/>
          <w:szCs w:val="22"/>
        </w:rPr>
      </w:pPr>
      <w:r w:rsidRPr="00A42015">
        <w:rPr>
          <w:rStyle w:val="FootnoteReference"/>
          <w:sz w:val="22"/>
          <w:szCs w:val="22"/>
        </w:rPr>
        <w:footnoteRef/>
      </w:r>
      <w:r w:rsidRPr="00A42015">
        <w:rPr>
          <w:sz w:val="22"/>
          <w:szCs w:val="22"/>
          <w:rtl/>
        </w:rPr>
        <w:t xml:space="preserve"> </w:t>
      </w:r>
      <w:r w:rsidRPr="00A42015">
        <w:rPr>
          <w:sz w:val="22"/>
          <w:szCs w:val="22"/>
        </w:rPr>
        <w:t xml:space="preserve"> Data excluded those parts of Jerusalem that were annexed by Israeli occupation in 1967.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60B9"/>
    <w:multiLevelType w:val="hybridMultilevel"/>
    <w:tmpl w:val="2FD44D9C"/>
    <w:lvl w:ilvl="0" w:tplc="04010001">
      <w:start w:val="1"/>
      <w:numFmt w:val="bullet"/>
      <w:lvlText w:val=""/>
      <w:lvlJc w:val="left"/>
      <w:pPr>
        <w:tabs>
          <w:tab w:val="num" w:pos="360"/>
        </w:tabs>
        <w:ind w:left="360" w:right="360" w:hanging="360"/>
      </w:pPr>
      <w:rPr>
        <w:rFonts w:ascii="Symbol" w:hAnsi="Symbol" w:cs="Times New Roman" w:hint="default"/>
      </w:rPr>
    </w:lvl>
    <w:lvl w:ilvl="1" w:tplc="04010003">
      <w:start w:val="1"/>
      <w:numFmt w:val="bullet"/>
      <w:lvlText w:val="o"/>
      <w:lvlJc w:val="left"/>
      <w:pPr>
        <w:tabs>
          <w:tab w:val="num" w:pos="1440"/>
        </w:tabs>
        <w:ind w:left="1440" w:right="1440" w:hanging="360"/>
      </w:pPr>
      <w:rPr>
        <w:rFonts w:ascii="Courier New" w:hAnsi="Courier New" w:cs="Courier New" w:hint="default"/>
      </w:rPr>
    </w:lvl>
    <w:lvl w:ilvl="2" w:tplc="04010005">
      <w:start w:val="1"/>
      <w:numFmt w:val="bullet"/>
      <w:lvlText w:val=""/>
      <w:lvlJc w:val="left"/>
      <w:pPr>
        <w:tabs>
          <w:tab w:val="num" w:pos="2160"/>
        </w:tabs>
        <w:ind w:left="2160" w:right="2160" w:hanging="360"/>
      </w:pPr>
      <w:rPr>
        <w:rFonts w:ascii="Wingdings" w:hAnsi="Wingdings" w:cs="Times New Roman" w:hint="default"/>
      </w:rPr>
    </w:lvl>
    <w:lvl w:ilvl="3" w:tplc="04010001">
      <w:start w:val="1"/>
      <w:numFmt w:val="bullet"/>
      <w:lvlText w:val=""/>
      <w:lvlJc w:val="left"/>
      <w:pPr>
        <w:tabs>
          <w:tab w:val="num" w:pos="2880"/>
        </w:tabs>
        <w:ind w:left="2880" w:right="2880" w:hanging="360"/>
      </w:pPr>
      <w:rPr>
        <w:rFonts w:ascii="Symbol" w:hAnsi="Symbol" w:cs="Times New Roman" w:hint="default"/>
      </w:rPr>
    </w:lvl>
    <w:lvl w:ilvl="4" w:tplc="04010003">
      <w:start w:val="1"/>
      <w:numFmt w:val="bullet"/>
      <w:lvlText w:val="o"/>
      <w:lvlJc w:val="left"/>
      <w:pPr>
        <w:tabs>
          <w:tab w:val="num" w:pos="3600"/>
        </w:tabs>
        <w:ind w:left="3600" w:right="3600" w:hanging="360"/>
      </w:pPr>
      <w:rPr>
        <w:rFonts w:ascii="Courier New" w:hAnsi="Courier New" w:cs="Courier New" w:hint="default"/>
      </w:rPr>
    </w:lvl>
    <w:lvl w:ilvl="5" w:tplc="04010005">
      <w:start w:val="1"/>
      <w:numFmt w:val="bullet"/>
      <w:lvlText w:val=""/>
      <w:lvlJc w:val="left"/>
      <w:pPr>
        <w:tabs>
          <w:tab w:val="num" w:pos="4320"/>
        </w:tabs>
        <w:ind w:left="4320" w:right="4320" w:hanging="360"/>
      </w:pPr>
      <w:rPr>
        <w:rFonts w:ascii="Wingdings" w:hAnsi="Wingdings" w:cs="Times New Roman" w:hint="default"/>
      </w:rPr>
    </w:lvl>
    <w:lvl w:ilvl="6" w:tplc="04010001">
      <w:start w:val="1"/>
      <w:numFmt w:val="bullet"/>
      <w:lvlText w:val=""/>
      <w:lvlJc w:val="left"/>
      <w:pPr>
        <w:tabs>
          <w:tab w:val="num" w:pos="5040"/>
        </w:tabs>
        <w:ind w:left="5040" w:right="5040" w:hanging="360"/>
      </w:pPr>
      <w:rPr>
        <w:rFonts w:ascii="Symbol" w:hAnsi="Symbol" w:cs="Times New Roman" w:hint="default"/>
      </w:rPr>
    </w:lvl>
    <w:lvl w:ilvl="7" w:tplc="04010003">
      <w:start w:val="1"/>
      <w:numFmt w:val="bullet"/>
      <w:lvlText w:val="o"/>
      <w:lvlJc w:val="left"/>
      <w:pPr>
        <w:tabs>
          <w:tab w:val="num" w:pos="5760"/>
        </w:tabs>
        <w:ind w:left="5760" w:right="5760" w:hanging="360"/>
      </w:pPr>
      <w:rPr>
        <w:rFonts w:ascii="Courier New" w:hAnsi="Courier New" w:cs="Courier New" w:hint="default"/>
      </w:rPr>
    </w:lvl>
    <w:lvl w:ilvl="8" w:tplc="04010005">
      <w:start w:val="1"/>
      <w:numFmt w:val="bullet"/>
      <w:lvlText w:val=""/>
      <w:lvlJc w:val="left"/>
      <w:pPr>
        <w:tabs>
          <w:tab w:val="num" w:pos="6480"/>
        </w:tabs>
        <w:ind w:left="6480" w:right="6480" w:hanging="360"/>
      </w:pPr>
      <w:rPr>
        <w:rFonts w:ascii="Wingdings" w:hAnsi="Wingdings" w:cs="Times New Roman" w:hint="default"/>
      </w:rPr>
    </w:lvl>
  </w:abstractNum>
  <w:abstractNum w:abstractNumId="1" w15:restartNumberingAfterBreak="0">
    <w:nsid w:val="552823CD"/>
    <w:multiLevelType w:val="hybridMultilevel"/>
    <w:tmpl w:val="0A4AF536"/>
    <w:lvl w:ilvl="0" w:tplc="986602D6">
      <w:numFmt w:val="bullet"/>
      <w:lvlText w:val="-"/>
      <w:lvlJc w:val="left"/>
      <w:pPr>
        <w:ind w:left="76" w:hanging="360"/>
      </w:pPr>
      <w:rPr>
        <w:rFonts w:ascii="Times New Roman" w:eastAsia="Times New Roman" w:hAnsi="Times New Roman"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2" w15:restartNumberingAfterBreak="0">
    <w:nsid w:val="56263055"/>
    <w:multiLevelType w:val="hybridMultilevel"/>
    <w:tmpl w:val="E146F380"/>
    <w:lvl w:ilvl="0" w:tplc="04010001">
      <w:start w:val="1"/>
      <w:numFmt w:val="bullet"/>
      <w:lvlText w:val=""/>
      <w:lvlJc w:val="left"/>
      <w:pPr>
        <w:tabs>
          <w:tab w:val="num" w:pos="720"/>
        </w:tabs>
        <w:ind w:left="720" w:right="720" w:hanging="360"/>
      </w:pPr>
      <w:rPr>
        <w:rFonts w:ascii="Symbol" w:hAnsi="Symbol" w:cs="Times New Roman" w:hint="default"/>
      </w:rPr>
    </w:lvl>
    <w:lvl w:ilvl="1" w:tplc="04010003">
      <w:start w:val="1"/>
      <w:numFmt w:val="bullet"/>
      <w:lvlText w:val="o"/>
      <w:lvlJc w:val="left"/>
      <w:pPr>
        <w:tabs>
          <w:tab w:val="num" w:pos="1440"/>
        </w:tabs>
        <w:ind w:left="1440" w:right="1440" w:hanging="360"/>
      </w:pPr>
      <w:rPr>
        <w:rFonts w:ascii="Courier New" w:hAnsi="Courier New" w:cs="Courier New" w:hint="default"/>
      </w:rPr>
    </w:lvl>
    <w:lvl w:ilvl="2" w:tplc="04010005">
      <w:start w:val="1"/>
      <w:numFmt w:val="bullet"/>
      <w:lvlText w:val=""/>
      <w:lvlJc w:val="left"/>
      <w:pPr>
        <w:tabs>
          <w:tab w:val="num" w:pos="2160"/>
        </w:tabs>
        <w:ind w:left="2160" w:right="2160" w:hanging="360"/>
      </w:pPr>
      <w:rPr>
        <w:rFonts w:ascii="Wingdings" w:hAnsi="Wingdings" w:cs="Times New Roman" w:hint="default"/>
      </w:rPr>
    </w:lvl>
    <w:lvl w:ilvl="3" w:tplc="04010001">
      <w:start w:val="1"/>
      <w:numFmt w:val="bullet"/>
      <w:lvlText w:val=""/>
      <w:lvlJc w:val="left"/>
      <w:pPr>
        <w:tabs>
          <w:tab w:val="num" w:pos="2880"/>
        </w:tabs>
        <w:ind w:left="2880" w:right="2880" w:hanging="360"/>
      </w:pPr>
      <w:rPr>
        <w:rFonts w:ascii="Symbol" w:hAnsi="Symbol" w:cs="Times New Roman" w:hint="default"/>
      </w:rPr>
    </w:lvl>
    <w:lvl w:ilvl="4" w:tplc="04010003">
      <w:start w:val="1"/>
      <w:numFmt w:val="bullet"/>
      <w:lvlText w:val="o"/>
      <w:lvlJc w:val="left"/>
      <w:pPr>
        <w:tabs>
          <w:tab w:val="num" w:pos="3600"/>
        </w:tabs>
        <w:ind w:left="3600" w:right="3600" w:hanging="360"/>
      </w:pPr>
      <w:rPr>
        <w:rFonts w:ascii="Courier New" w:hAnsi="Courier New" w:cs="Courier New" w:hint="default"/>
      </w:rPr>
    </w:lvl>
    <w:lvl w:ilvl="5" w:tplc="04010005">
      <w:start w:val="1"/>
      <w:numFmt w:val="bullet"/>
      <w:lvlText w:val=""/>
      <w:lvlJc w:val="left"/>
      <w:pPr>
        <w:tabs>
          <w:tab w:val="num" w:pos="4320"/>
        </w:tabs>
        <w:ind w:left="4320" w:right="4320" w:hanging="360"/>
      </w:pPr>
      <w:rPr>
        <w:rFonts w:ascii="Wingdings" w:hAnsi="Wingdings" w:cs="Times New Roman" w:hint="default"/>
      </w:rPr>
    </w:lvl>
    <w:lvl w:ilvl="6" w:tplc="04010001">
      <w:start w:val="1"/>
      <w:numFmt w:val="bullet"/>
      <w:lvlText w:val=""/>
      <w:lvlJc w:val="left"/>
      <w:pPr>
        <w:tabs>
          <w:tab w:val="num" w:pos="5040"/>
        </w:tabs>
        <w:ind w:left="5040" w:right="5040" w:hanging="360"/>
      </w:pPr>
      <w:rPr>
        <w:rFonts w:ascii="Symbol" w:hAnsi="Symbol" w:cs="Times New Roman" w:hint="default"/>
      </w:rPr>
    </w:lvl>
    <w:lvl w:ilvl="7" w:tplc="04010003">
      <w:start w:val="1"/>
      <w:numFmt w:val="bullet"/>
      <w:lvlText w:val="o"/>
      <w:lvlJc w:val="left"/>
      <w:pPr>
        <w:tabs>
          <w:tab w:val="num" w:pos="5760"/>
        </w:tabs>
        <w:ind w:left="5760" w:right="5760" w:hanging="360"/>
      </w:pPr>
      <w:rPr>
        <w:rFonts w:ascii="Courier New" w:hAnsi="Courier New" w:cs="Courier New" w:hint="default"/>
      </w:rPr>
    </w:lvl>
    <w:lvl w:ilvl="8" w:tplc="04010005">
      <w:start w:val="1"/>
      <w:numFmt w:val="bullet"/>
      <w:lvlText w:val=""/>
      <w:lvlJc w:val="left"/>
      <w:pPr>
        <w:tabs>
          <w:tab w:val="num" w:pos="6480"/>
        </w:tabs>
        <w:ind w:left="6480" w:right="6480" w:hanging="360"/>
      </w:pPr>
      <w:rPr>
        <w:rFonts w:ascii="Wingdings" w:hAnsi="Wingding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ar-SA" w:vendorID="64" w:dllVersion="131078" w:nlCheck="1" w:checkStyle="0"/>
  <w:proofState w:spelling="clean" w:grammar="clean"/>
  <w:defaultTabStop w:val="720"/>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4FF"/>
    <w:rsid w:val="0000017C"/>
    <w:rsid w:val="00000DBC"/>
    <w:rsid w:val="0000211F"/>
    <w:rsid w:val="00005C70"/>
    <w:rsid w:val="000067D6"/>
    <w:rsid w:val="0001198D"/>
    <w:rsid w:val="00011C24"/>
    <w:rsid w:val="00012CF5"/>
    <w:rsid w:val="000137B8"/>
    <w:rsid w:val="00013EA4"/>
    <w:rsid w:val="00014A4F"/>
    <w:rsid w:val="00014C50"/>
    <w:rsid w:val="000164D3"/>
    <w:rsid w:val="0002304F"/>
    <w:rsid w:val="00023AB1"/>
    <w:rsid w:val="000256FF"/>
    <w:rsid w:val="00025EB8"/>
    <w:rsid w:val="00026E1C"/>
    <w:rsid w:val="000305FC"/>
    <w:rsid w:val="00033CDA"/>
    <w:rsid w:val="000347AB"/>
    <w:rsid w:val="00035321"/>
    <w:rsid w:val="00035CA4"/>
    <w:rsid w:val="00036D8C"/>
    <w:rsid w:val="0004104C"/>
    <w:rsid w:val="00041970"/>
    <w:rsid w:val="0004466A"/>
    <w:rsid w:val="00045F99"/>
    <w:rsid w:val="00046C5D"/>
    <w:rsid w:val="0004722F"/>
    <w:rsid w:val="000527E8"/>
    <w:rsid w:val="00054052"/>
    <w:rsid w:val="00057C0C"/>
    <w:rsid w:val="00061E68"/>
    <w:rsid w:val="00062BE3"/>
    <w:rsid w:val="00062C41"/>
    <w:rsid w:val="0007098C"/>
    <w:rsid w:val="00070F24"/>
    <w:rsid w:val="00074F82"/>
    <w:rsid w:val="00075EA6"/>
    <w:rsid w:val="00080649"/>
    <w:rsid w:val="000849DA"/>
    <w:rsid w:val="00086E06"/>
    <w:rsid w:val="0009359A"/>
    <w:rsid w:val="0009389A"/>
    <w:rsid w:val="00093C8C"/>
    <w:rsid w:val="00097B7E"/>
    <w:rsid w:val="000A3D5D"/>
    <w:rsid w:val="000A6528"/>
    <w:rsid w:val="000B006F"/>
    <w:rsid w:val="000B0EF1"/>
    <w:rsid w:val="000B3075"/>
    <w:rsid w:val="000B3533"/>
    <w:rsid w:val="000B6195"/>
    <w:rsid w:val="000B7753"/>
    <w:rsid w:val="000B7E61"/>
    <w:rsid w:val="000C0087"/>
    <w:rsid w:val="000C2184"/>
    <w:rsid w:val="000C3FD7"/>
    <w:rsid w:val="000C520F"/>
    <w:rsid w:val="000C57D1"/>
    <w:rsid w:val="000C7A84"/>
    <w:rsid w:val="000D1431"/>
    <w:rsid w:val="000D2E9D"/>
    <w:rsid w:val="000D4079"/>
    <w:rsid w:val="000D5E26"/>
    <w:rsid w:val="000E4E50"/>
    <w:rsid w:val="000F022D"/>
    <w:rsid w:val="000F0721"/>
    <w:rsid w:val="000F14EC"/>
    <w:rsid w:val="000F2E15"/>
    <w:rsid w:val="000F5D7E"/>
    <w:rsid w:val="000F6BC8"/>
    <w:rsid w:val="000F7BE9"/>
    <w:rsid w:val="0010174E"/>
    <w:rsid w:val="00103C89"/>
    <w:rsid w:val="0010763D"/>
    <w:rsid w:val="00114433"/>
    <w:rsid w:val="00116DFD"/>
    <w:rsid w:val="0011718B"/>
    <w:rsid w:val="00117A1A"/>
    <w:rsid w:val="0012286D"/>
    <w:rsid w:val="00125E43"/>
    <w:rsid w:val="0013033E"/>
    <w:rsid w:val="00130E34"/>
    <w:rsid w:val="001315DF"/>
    <w:rsid w:val="00132F5B"/>
    <w:rsid w:val="0013429D"/>
    <w:rsid w:val="0013529F"/>
    <w:rsid w:val="00135A51"/>
    <w:rsid w:val="00136E7A"/>
    <w:rsid w:val="00140A31"/>
    <w:rsid w:val="00143515"/>
    <w:rsid w:val="00143C98"/>
    <w:rsid w:val="0014681A"/>
    <w:rsid w:val="0015144B"/>
    <w:rsid w:val="00152BA9"/>
    <w:rsid w:val="001543CD"/>
    <w:rsid w:val="0015517B"/>
    <w:rsid w:val="00161C74"/>
    <w:rsid w:val="001636DC"/>
    <w:rsid w:val="00165C1F"/>
    <w:rsid w:val="00165F94"/>
    <w:rsid w:val="0016638B"/>
    <w:rsid w:val="0017516B"/>
    <w:rsid w:val="0017751F"/>
    <w:rsid w:val="0018257E"/>
    <w:rsid w:val="00185060"/>
    <w:rsid w:val="00191175"/>
    <w:rsid w:val="00193B75"/>
    <w:rsid w:val="001940B1"/>
    <w:rsid w:val="00195E8C"/>
    <w:rsid w:val="00196586"/>
    <w:rsid w:val="001A0FAC"/>
    <w:rsid w:val="001A1762"/>
    <w:rsid w:val="001A18B5"/>
    <w:rsid w:val="001A2AC3"/>
    <w:rsid w:val="001A2E89"/>
    <w:rsid w:val="001A6945"/>
    <w:rsid w:val="001B1E13"/>
    <w:rsid w:val="001B210C"/>
    <w:rsid w:val="001B3359"/>
    <w:rsid w:val="001B6706"/>
    <w:rsid w:val="001B6DA6"/>
    <w:rsid w:val="001B7EBB"/>
    <w:rsid w:val="001C3E4B"/>
    <w:rsid w:val="001C5427"/>
    <w:rsid w:val="001C5533"/>
    <w:rsid w:val="001C5A5C"/>
    <w:rsid w:val="001D3018"/>
    <w:rsid w:val="001D33AC"/>
    <w:rsid w:val="001D7CD3"/>
    <w:rsid w:val="001E4796"/>
    <w:rsid w:val="001F2309"/>
    <w:rsid w:val="001F6DDB"/>
    <w:rsid w:val="002003C6"/>
    <w:rsid w:val="00200F0C"/>
    <w:rsid w:val="002010F2"/>
    <w:rsid w:val="00201883"/>
    <w:rsid w:val="002030FA"/>
    <w:rsid w:val="00211E20"/>
    <w:rsid w:val="00212DEF"/>
    <w:rsid w:val="002146A8"/>
    <w:rsid w:val="002208AE"/>
    <w:rsid w:val="00222CC0"/>
    <w:rsid w:val="00224666"/>
    <w:rsid w:val="0022523C"/>
    <w:rsid w:val="0022735B"/>
    <w:rsid w:val="002276E1"/>
    <w:rsid w:val="0023067E"/>
    <w:rsid w:val="00232576"/>
    <w:rsid w:val="00233B4E"/>
    <w:rsid w:val="00234423"/>
    <w:rsid w:val="00240209"/>
    <w:rsid w:val="00241EF6"/>
    <w:rsid w:val="00246013"/>
    <w:rsid w:val="0024791B"/>
    <w:rsid w:val="002556DF"/>
    <w:rsid w:val="00257FB8"/>
    <w:rsid w:val="00260633"/>
    <w:rsid w:val="0026202B"/>
    <w:rsid w:val="00263DFB"/>
    <w:rsid w:val="00264C5B"/>
    <w:rsid w:val="00266766"/>
    <w:rsid w:val="002668D8"/>
    <w:rsid w:val="00267EF8"/>
    <w:rsid w:val="00272709"/>
    <w:rsid w:val="002753E8"/>
    <w:rsid w:val="00275B71"/>
    <w:rsid w:val="00275E2A"/>
    <w:rsid w:val="00276F66"/>
    <w:rsid w:val="00280477"/>
    <w:rsid w:val="00280F45"/>
    <w:rsid w:val="002829BC"/>
    <w:rsid w:val="00283122"/>
    <w:rsid w:val="00286F56"/>
    <w:rsid w:val="00287743"/>
    <w:rsid w:val="00290A2E"/>
    <w:rsid w:val="00293802"/>
    <w:rsid w:val="00293DDF"/>
    <w:rsid w:val="0029551D"/>
    <w:rsid w:val="00296240"/>
    <w:rsid w:val="002962BF"/>
    <w:rsid w:val="00297F42"/>
    <w:rsid w:val="002A0211"/>
    <w:rsid w:val="002A39AC"/>
    <w:rsid w:val="002A5608"/>
    <w:rsid w:val="002A578E"/>
    <w:rsid w:val="002A6829"/>
    <w:rsid w:val="002B15C6"/>
    <w:rsid w:val="002B3EFB"/>
    <w:rsid w:val="002B42DD"/>
    <w:rsid w:val="002B6E0C"/>
    <w:rsid w:val="002B7D35"/>
    <w:rsid w:val="002C6B5A"/>
    <w:rsid w:val="002C7C2B"/>
    <w:rsid w:val="002D3170"/>
    <w:rsid w:val="002D59B0"/>
    <w:rsid w:val="002E419B"/>
    <w:rsid w:val="002F0586"/>
    <w:rsid w:val="002F17F7"/>
    <w:rsid w:val="002F2ED7"/>
    <w:rsid w:val="002F41F1"/>
    <w:rsid w:val="002F524A"/>
    <w:rsid w:val="002F5D52"/>
    <w:rsid w:val="002F61CB"/>
    <w:rsid w:val="002F72B5"/>
    <w:rsid w:val="002F75CA"/>
    <w:rsid w:val="00300CA4"/>
    <w:rsid w:val="00302FEA"/>
    <w:rsid w:val="00306ED6"/>
    <w:rsid w:val="00310A36"/>
    <w:rsid w:val="003114FD"/>
    <w:rsid w:val="00311560"/>
    <w:rsid w:val="00314AD0"/>
    <w:rsid w:val="003157AE"/>
    <w:rsid w:val="00317A4E"/>
    <w:rsid w:val="00320BDB"/>
    <w:rsid w:val="00321F7E"/>
    <w:rsid w:val="00322168"/>
    <w:rsid w:val="00323AE5"/>
    <w:rsid w:val="00331532"/>
    <w:rsid w:val="00332F49"/>
    <w:rsid w:val="0033504D"/>
    <w:rsid w:val="00335A82"/>
    <w:rsid w:val="00336112"/>
    <w:rsid w:val="003368A9"/>
    <w:rsid w:val="00336DF3"/>
    <w:rsid w:val="00340976"/>
    <w:rsid w:val="0034484B"/>
    <w:rsid w:val="00344A06"/>
    <w:rsid w:val="00345D4F"/>
    <w:rsid w:val="003473EF"/>
    <w:rsid w:val="003509C5"/>
    <w:rsid w:val="0035123A"/>
    <w:rsid w:val="00351E39"/>
    <w:rsid w:val="0035356C"/>
    <w:rsid w:val="00356D18"/>
    <w:rsid w:val="00360559"/>
    <w:rsid w:val="00360586"/>
    <w:rsid w:val="00361F93"/>
    <w:rsid w:val="0036404F"/>
    <w:rsid w:val="00370B3F"/>
    <w:rsid w:val="00375C56"/>
    <w:rsid w:val="003769E6"/>
    <w:rsid w:val="00377320"/>
    <w:rsid w:val="00380EF1"/>
    <w:rsid w:val="00381439"/>
    <w:rsid w:val="003814E5"/>
    <w:rsid w:val="00383908"/>
    <w:rsid w:val="0038454B"/>
    <w:rsid w:val="003879DE"/>
    <w:rsid w:val="0039075F"/>
    <w:rsid w:val="00393AB6"/>
    <w:rsid w:val="00394218"/>
    <w:rsid w:val="00394E20"/>
    <w:rsid w:val="003A012A"/>
    <w:rsid w:val="003A0680"/>
    <w:rsid w:val="003A0A0F"/>
    <w:rsid w:val="003A2E41"/>
    <w:rsid w:val="003A50F7"/>
    <w:rsid w:val="003B0062"/>
    <w:rsid w:val="003B1E07"/>
    <w:rsid w:val="003B3D98"/>
    <w:rsid w:val="003B4711"/>
    <w:rsid w:val="003B5BE7"/>
    <w:rsid w:val="003B7EC8"/>
    <w:rsid w:val="003C2FF2"/>
    <w:rsid w:val="003D10A7"/>
    <w:rsid w:val="003D4EAB"/>
    <w:rsid w:val="003E1364"/>
    <w:rsid w:val="003E39FF"/>
    <w:rsid w:val="003E4F68"/>
    <w:rsid w:val="003F2E61"/>
    <w:rsid w:val="003F30BF"/>
    <w:rsid w:val="003F57F3"/>
    <w:rsid w:val="003F664B"/>
    <w:rsid w:val="003F7246"/>
    <w:rsid w:val="003F7417"/>
    <w:rsid w:val="003F7B97"/>
    <w:rsid w:val="00401431"/>
    <w:rsid w:val="004019C7"/>
    <w:rsid w:val="004027B0"/>
    <w:rsid w:val="004031B5"/>
    <w:rsid w:val="00403F07"/>
    <w:rsid w:val="00403FB3"/>
    <w:rsid w:val="0040512A"/>
    <w:rsid w:val="00405894"/>
    <w:rsid w:val="00410314"/>
    <w:rsid w:val="004110C8"/>
    <w:rsid w:val="00411B53"/>
    <w:rsid w:val="00414087"/>
    <w:rsid w:val="00416080"/>
    <w:rsid w:val="004167B7"/>
    <w:rsid w:val="004174D8"/>
    <w:rsid w:val="004177C4"/>
    <w:rsid w:val="00420D84"/>
    <w:rsid w:val="00424D18"/>
    <w:rsid w:val="004303C3"/>
    <w:rsid w:val="00430681"/>
    <w:rsid w:val="00431759"/>
    <w:rsid w:val="00437642"/>
    <w:rsid w:val="00440C94"/>
    <w:rsid w:val="0044597D"/>
    <w:rsid w:val="00446803"/>
    <w:rsid w:val="00447E04"/>
    <w:rsid w:val="0045103F"/>
    <w:rsid w:val="004524DE"/>
    <w:rsid w:val="00453A0B"/>
    <w:rsid w:val="00453F2D"/>
    <w:rsid w:val="00455408"/>
    <w:rsid w:val="00455D6A"/>
    <w:rsid w:val="00457A38"/>
    <w:rsid w:val="00461057"/>
    <w:rsid w:val="00462DDA"/>
    <w:rsid w:val="00465169"/>
    <w:rsid w:val="004666DD"/>
    <w:rsid w:val="004733FE"/>
    <w:rsid w:val="00473ABA"/>
    <w:rsid w:val="00475B28"/>
    <w:rsid w:val="00475EDA"/>
    <w:rsid w:val="004760ED"/>
    <w:rsid w:val="004806C5"/>
    <w:rsid w:val="00481F5F"/>
    <w:rsid w:val="00484867"/>
    <w:rsid w:val="00484950"/>
    <w:rsid w:val="00486787"/>
    <w:rsid w:val="0048731E"/>
    <w:rsid w:val="004A22DD"/>
    <w:rsid w:val="004A2ACB"/>
    <w:rsid w:val="004A337F"/>
    <w:rsid w:val="004A61B3"/>
    <w:rsid w:val="004A748F"/>
    <w:rsid w:val="004B1738"/>
    <w:rsid w:val="004B263B"/>
    <w:rsid w:val="004B449A"/>
    <w:rsid w:val="004B7342"/>
    <w:rsid w:val="004C45FE"/>
    <w:rsid w:val="004D1276"/>
    <w:rsid w:val="004D1C13"/>
    <w:rsid w:val="004D2500"/>
    <w:rsid w:val="004D5852"/>
    <w:rsid w:val="004E040B"/>
    <w:rsid w:val="004E266D"/>
    <w:rsid w:val="004E6504"/>
    <w:rsid w:val="004F2544"/>
    <w:rsid w:val="004F31D3"/>
    <w:rsid w:val="004F5088"/>
    <w:rsid w:val="004F54BB"/>
    <w:rsid w:val="004F5800"/>
    <w:rsid w:val="004F5B34"/>
    <w:rsid w:val="0050269D"/>
    <w:rsid w:val="00502EAB"/>
    <w:rsid w:val="005037FC"/>
    <w:rsid w:val="00504878"/>
    <w:rsid w:val="00505526"/>
    <w:rsid w:val="00506158"/>
    <w:rsid w:val="00507E17"/>
    <w:rsid w:val="00511BEA"/>
    <w:rsid w:val="0051356A"/>
    <w:rsid w:val="0051738C"/>
    <w:rsid w:val="005177E3"/>
    <w:rsid w:val="00520955"/>
    <w:rsid w:val="0052195E"/>
    <w:rsid w:val="005242BB"/>
    <w:rsid w:val="005329FE"/>
    <w:rsid w:val="00534235"/>
    <w:rsid w:val="0053653B"/>
    <w:rsid w:val="00536B9B"/>
    <w:rsid w:val="00536EC7"/>
    <w:rsid w:val="0053776F"/>
    <w:rsid w:val="00537AA5"/>
    <w:rsid w:val="00540ECF"/>
    <w:rsid w:val="00541CF0"/>
    <w:rsid w:val="0054269C"/>
    <w:rsid w:val="00543EE6"/>
    <w:rsid w:val="005447D5"/>
    <w:rsid w:val="0054481E"/>
    <w:rsid w:val="00545222"/>
    <w:rsid w:val="00550DED"/>
    <w:rsid w:val="0055202F"/>
    <w:rsid w:val="00553E2C"/>
    <w:rsid w:val="00553F92"/>
    <w:rsid w:val="005547B6"/>
    <w:rsid w:val="00555FE3"/>
    <w:rsid w:val="005564B0"/>
    <w:rsid w:val="00557DBC"/>
    <w:rsid w:val="005612F4"/>
    <w:rsid w:val="00561BE1"/>
    <w:rsid w:val="00561CE5"/>
    <w:rsid w:val="005625D3"/>
    <w:rsid w:val="00563DE3"/>
    <w:rsid w:val="0056546F"/>
    <w:rsid w:val="00566553"/>
    <w:rsid w:val="00573B2C"/>
    <w:rsid w:val="00573C5F"/>
    <w:rsid w:val="0057670C"/>
    <w:rsid w:val="00581BF2"/>
    <w:rsid w:val="00584131"/>
    <w:rsid w:val="00584C74"/>
    <w:rsid w:val="00586254"/>
    <w:rsid w:val="00586AEA"/>
    <w:rsid w:val="005874C7"/>
    <w:rsid w:val="00591FF5"/>
    <w:rsid w:val="00593496"/>
    <w:rsid w:val="005935F8"/>
    <w:rsid w:val="00593E78"/>
    <w:rsid w:val="00596AD5"/>
    <w:rsid w:val="0059746C"/>
    <w:rsid w:val="005A07BE"/>
    <w:rsid w:val="005A3F94"/>
    <w:rsid w:val="005A6C3B"/>
    <w:rsid w:val="005A6DC7"/>
    <w:rsid w:val="005A6ECC"/>
    <w:rsid w:val="005A7B20"/>
    <w:rsid w:val="005B0B8F"/>
    <w:rsid w:val="005B28DF"/>
    <w:rsid w:val="005C0CC6"/>
    <w:rsid w:val="005D04C3"/>
    <w:rsid w:val="005D1220"/>
    <w:rsid w:val="005D1369"/>
    <w:rsid w:val="005D2751"/>
    <w:rsid w:val="005D6001"/>
    <w:rsid w:val="005E4C26"/>
    <w:rsid w:val="005E775C"/>
    <w:rsid w:val="005F105A"/>
    <w:rsid w:val="005F2A3D"/>
    <w:rsid w:val="005F3B3A"/>
    <w:rsid w:val="005F5C43"/>
    <w:rsid w:val="005F6905"/>
    <w:rsid w:val="005F7A54"/>
    <w:rsid w:val="00603EF3"/>
    <w:rsid w:val="0060626E"/>
    <w:rsid w:val="0060691F"/>
    <w:rsid w:val="0060712D"/>
    <w:rsid w:val="0061020B"/>
    <w:rsid w:val="00610F1C"/>
    <w:rsid w:val="00611AE9"/>
    <w:rsid w:val="00611B3E"/>
    <w:rsid w:val="00611C88"/>
    <w:rsid w:val="006128BC"/>
    <w:rsid w:val="00613221"/>
    <w:rsid w:val="00613449"/>
    <w:rsid w:val="00616C78"/>
    <w:rsid w:val="00621C24"/>
    <w:rsid w:val="006246D9"/>
    <w:rsid w:val="00627493"/>
    <w:rsid w:val="006274A1"/>
    <w:rsid w:val="00630280"/>
    <w:rsid w:val="00632573"/>
    <w:rsid w:val="00633AF8"/>
    <w:rsid w:val="0064403B"/>
    <w:rsid w:val="006441CD"/>
    <w:rsid w:val="00652C97"/>
    <w:rsid w:val="006552CB"/>
    <w:rsid w:val="00655ED3"/>
    <w:rsid w:val="006570D2"/>
    <w:rsid w:val="0066113B"/>
    <w:rsid w:val="006647D8"/>
    <w:rsid w:val="006648CF"/>
    <w:rsid w:val="00664EB2"/>
    <w:rsid w:val="00665BEA"/>
    <w:rsid w:val="0066642C"/>
    <w:rsid w:val="00676FDA"/>
    <w:rsid w:val="00680981"/>
    <w:rsid w:val="0068302B"/>
    <w:rsid w:val="006844E1"/>
    <w:rsid w:val="00684BAD"/>
    <w:rsid w:val="00684BAF"/>
    <w:rsid w:val="00684F18"/>
    <w:rsid w:val="00685BFD"/>
    <w:rsid w:val="00685D77"/>
    <w:rsid w:val="0068789D"/>
    <w:rsid w:val="006914F2"/>
    <w:rsid w:val="00692A21"/>
    <w:rsid w:val="00692E95"/>
    <w:rsid w:val="006966E7"/>
    <w:rsid w:val="00696C61"/>
    <w:rsid w:val="006970B6"/>
    <w:rsid w:val="006A0997"/>
    <w:rsid w:val="006A405F"/>
    <w:rsid w:val="006A4F7A"/>
    <w:rsid w:val="006B4D0A"/>
    <w:rsid w:val="006B5344"/>
    <w:rsid w:val="006B5C74"/>
    <w:rsid w:val="006B7487"/>
    <w:rsid w:val="006B7B2C"/>
    <w:rsid w:val="006C211F"/>
    <w:rsid w:val="006C46F6"/>
    <w:rsid w:val="006C49CD"/>
    <w:rsid w:val="006C572A"/>
    <w:rsid w:val="006C6ABA"/>
    <w:rsid w:val="006C79F6"/>
    <w:rsid w:val="006E2BE5"/>
    <w:rsid w:val="006F2156"/>
    <w:rsid w:val="006F29F0"/>
    <w:rsid w:val="006F522E"/>
    <w:rsid w:val="006F55A2"/>
    <w:rsid w:val="006F5AEC"/>
    <w:rsid w:val="006F6963"/>
    <w:rsid w:val="006F72D6"/>
    <w:rsid w:val="006F78A9"/>
    <w:rsid w:val="00701B26"/>
    <w:rsid w:val="007067CF"/>
    <w:rsid w:val="00707268"/>
    <w:rsid w:val="007074FF"/>
    <w:rsid w:val="00707B95"/>
    <w:rsid w:val="00715889"/>
    <w:rsid w:val="00716DC2"/>
    <w:rsid w:val="007200AA"/>
    <w:rsid w:val="00720BC3"/>
    <w:rsid w:val="007238C6"/>
    <w:rsid w:val="00725074"/>
    <w:rsid w:val="00727081"/>
    <w:rsid w:val="00727502"/>
    <w:rsid w:val="00731091"/>
    <w:rsid w:val="00731CA5"/>
    <w:rsid w:val="00732063"/>
    <w:rsid w:val="00733E7D"/>
    <w:rsid w:val="00740233"/>
    <w:rsid w:val="00742B66"/>
    <w:rsid w:val="00743DA0"/>
    <w:rsid w:val="00743F32"/>
    <w:rsid w:val="0074412F"/>
    <w:rsid w:val="007442B1"/>
    <w:rsid w:val="00744FBC"/>
    <w:rsid w:val="00745348"/>
    <w:rsid w:val="00747625"/>
    <w:rsid w:val="00747D46"/>
    <w:rsid w:val="00750BA1"/>
    <w:rsid w:val="00750EE2"/>
    <w:rsid w:val="00752F3E"/>
    <w:rsid w:val="00755124"/>
    <w:rsid w:val="00755BF6"/>
    <w:rsid w:val="007568E8"/>
    <w:rsid w:val="00757173"/>
    <w:rsid w:val="00757350"/>
    <w:rsid w:val="00757CB8"/>
    <w:rsid w:val="00764770"/>
    <w:rsid w:val="0076510B"/>
    <w:rsid w:val="00766D61"/>
    <w:rsid w:val="00772ABD"/>
    <w:rsid w:val="00772D31"/>
    <w:rsid w:val="00773CD6"/>
    <w:rsid w:val="0077464E"/>
    <w:rsid w:val="00774CB7"/>
    <w:rsid w:val="00775550"/>
    <w:rsid w:val="00776654"/>
    <w:rsid w:val="0077682A"/>
    <w:rsid w:val="00777480"/>
    <w:rsid w:val="00777506"/>
    <w:rsid w:val="00782826"/>
    <w:rsid w:val="00782831"/>
    <w:rsid w:val="00783A00"/>
    <w:rsid w:val="007849E1"/>
    <w:rsid w:val="007854F0"/>
    <w:rsid w:val="0078689C"/>
    <w:rsid w:val="007878EE"/>
    <w:rsid w:val="0079419B"/>
    <w:rsid w:val="00795AF4"/>
    <w:rsid w:val="007A0739"/>
    <w:rsid w:val="007A138F"/>
    <w:rsid w:val="007A3B6E"/>
    <w:rsid w:val="007A3E74"/>
    <w:rsid w:val="007A651A"/>
    <w:rsid w:val="007B12CD"/>
    <w:rsid w:val="007B6F00"/>
    <w:rsid w:val="007B7D51"/>
    <w:rsid w:val="007C0011"/>
    <w:rsid w:val="007C2328"/>
    <w:rsid w:val="007C38C3"/>
    <w:rsid w:val="007C4FBB"/>
    <w:rsid w:val="007D562A"/>
    <w:rsid w:val="007D6316"/>
    <w:rsid w:val="007D662A"/>
    <w:rsid w:val="007E05F6"/>
    <w:rsid w:val="007E5C11"/>
    <w:rsid w:val="007E6BFA"/>
    <w:rsid w:val="007E7F19"/>
    <w:rsid w:val="007F18DA"/>
    <w:rsid w:val="007F3C9F"/>
    <w:rsid w:val="007F4EA0"/>
    <w:rsid w:val="007F76BD"/>
    <w:rsid w:val="00801D84"/>
    <w:rsid w:val="008033EA"/>
    <w:rsid w:val="00804AC1"/>
    <w:rsid w:val="008062DE"/>
    <w:rsid w:val="00812CD8"/>
    <w:rsid w:val="00814F4B"/>
    <w:rsid w:val="00816920"/>
    <w:rsid w:val="00817228"/>
    <w:rsid w:val="00817F9B"/>
    <w:rsid w:val="00820855"/>
    <w:rsid w:val="008222A5"/>
    <w:rsid w:val="00822B2D"/>
    <w:rsid w:val="0082642A"/>
    <w:rsid w:val="00826EBD"/>
    <w:rsid w:val="00830392"/>
    <w:rsid w:val="00830E7B"/>
    <w:rsid w:val="00831CA3"/>
    <w:rsid w:val="0083352E"/>
    <w:rsid w:val="008350CF"/>
    <w:rsid w:val="008355ED"/>
    <w:rsid w:val="0083581C"/>
    <w:rsid w:val="00836A7A"/>
    <w:rsid w:val="00837357"/>
    <w:rsid w:val="008377D4"/>
    <w:rsid w:val="008408AA"/>
    <w:rsid w:val="0084336A"/>
    <w:rsid w:val="008472FC"/>
    <w:rsid w:val="00850EDF"/>
    <w:rsid w:val="00853DE1"/>
    <w:rsid w:val="00856DA5"/>
    <w:rsid w:val="0086460E"/>
    <w:rsid w:val="00867208"/>
    <w:rsid w:val="00874637"/>
    <w:rsid w:val="00876440"/>
    <w:rsid w:val="00877507"/>
    <w:rsid w:val="00877695"/>
    <w:rsid w:val="00881C7B"/>
    <w:rsid w:val="0088304D"/>
    <w:rsid w:val="008835EA"/>
    <w:rsid w:val="00883955"/>
    <w:rsid w:val="0089015F"/>
    <w:rsid w:val="00891B02"/>
    <w:rsid w:val="00892AFB"/>
    <w:rsid w:val="00892DA5"/>
    <w:rsid w:val="00896D3A"/>
    <w:rsid w:val="00896F08"/>
    <w:rsid w:val="00897570"/>
    <w:rsid w:val="008A1783"/>
    <w:rsid w:val="008A2F77"/>
    <w:rsid w:val="008A2FA7"/>
    <w:rsid w:val="008A432A"/>
    <w:rsid w:val="008A604E"/>
    <w:rsid w:val="008A7094"/>
    <w:rsid w:val="008B05D0"/>
    <w:rsid w:val="008C244F"/>
    <w:rsid w:val="008C2B44"/>
    <w:rsid w:val="008C2B4A"/>
    <w:rsid w:val="008C5DB3"/>
    <w:rsid w:val="008C6D02"/>
    <w:rsid w:val="008D0572"/>
    <w:rsid w:val="008D6D1F"/>
    <w:rsid w:val="008D7ADE"/>
    <w:rsid w:val="008E25B0"/>
    <w:rsid w:val="008E42CE"/>
    <w:rsid w:val="008E52C5"/>
    <w:rsid w:val="008E58D5"/>
    <w:rsid w:val="008E7FEE"/>
    <w:rsid w:val="008F00BC"/>
    <w:rsid w:val="008F1785"/>
    <w:rsid w:val="008F1B65"/>
    <w:rsid w:val="008F2CF3"/>
    <w:rsid w:val="008F37EF"/>
    <w:rsid w:val="008F43F9"/>
    <w:rsid w:val="008F58EF"/>
    <w:rsid w:val="008F7D41"/>
    <w:rsid w:val="008F7ED3"/>
    <w:rsid w:val="00902825"/>
    <w:rsid w:val="00902AF1"/>
    <w:rsid w:val="009045EC"/>
    <w:rsid w:val="0090540A"/>
    <w:rsid w:val="00906B4F"/>
    <w:rsid w:val="0091044D"/>
    <w:rsid w:val="00910550"/>
    <w:rsid w:val="009107F4"/>
    <w:rsid w:val="009115E7"/>
    <w:rsid w:val="00912ACC"/>
    <w:rsid w:val="00913FE6"/>
    <w:rsid w:val="00916121"/>
    <w:rsid w:val="00916C99"/>
    <w:rsid w:val="00916D47"/>
    <w:rsid w:val="00921949"/>
    <w:rsid w:val="00922020"/>
    <w:rsid w:val="009225A7"/>
    <w:rsid w:val="00922C8C"/>
    <w:rsid w:val="00923D93"/>
    <w:rsid w:val="00923EA6"/>
    <w:rsid w:val="00925442"/>
    <w:rsid w:val="00927C20"/>
    <w:rsid w:val="00931869"/>
    <w:rsid w:val="009329D4"/>
    <w:rsid w:val="0093491B"/>
    <w:rsid w:val="00934F61"/>
    <w:rsid w:val="00936E4E"/>
    <w:rsid w:val="00941D3C"/>
    <w:rsid w:val="00946848"/>
    <w:rsid w:val="0094791C"/>
    <w:rsid w:val="009532B0"/>
    <w:rsid w:val="0095362A"/>
    <w:rsid w:val="00953999"/>
    <w:rsid w:val="00953B2E"/>
    <w:rsid w:val="00957C28"/>
    <w:rsid w:val="00960295"/>
    <w:rsid w:val="0096274D"/>
    <w:rsid w:val="009668BC"/>
    <w:rsid w:val="009670AE"/>
    <w:rsid w:val="00967C2D"/>
    <w:rsid w:val="00970AE3"/>
    <w:rsid w:val="00970E24"/>
    <w:rsid w:val="00971AA3"/>
    <w:rsid w:val="00973D90"/>
    <w:rsid w:val="00975418"/>
    <w:rsid w:val="00975E44"/>
    <w:rsid w:val="00975FEF"/>
    <w:rsid w:val="009776CE"/>
    <w:rsid w:val="00977C9C"/>
    <w:rsid w:val="009804D1"/>
    <w:rsid w:val="009822B9"/>
    <w:rsid w:val="00982E00"/>
    <w:rsid w:val="009834AF"/>
    <w:rsid w:val="00984096"/>
    <w:rsid w:val="009841B8"/>
    <w:rsid w:val="009858E9"/>
    <w:rsid w:val="009869F9"/>
    <w:rsid w:val="0099001D"/>
    <w:rsid w:val="0099021D"/>
    <w:rsid w:val="00991165"/>
    <w:rsid w:val="009930BA"/>
    <w:rsid w:val="00995DEB"/>
    <w:rsid w:val="009A12CD"/>
    <w:rsid w:val="009A1B2F"/>
    <w:rsid w:val="009A3280"/>
    <w:rsid w:val="009A3925"/>
    <w:rsid w:val="009A456C"/>
    <w:rsid w:val="009A4AB1"/>
    <w:rsid w:val="009A6F5B"/>
    <w:rsid w:val="009B17A1"/>
    <w:rsid w:val="009B32B9"/>
    <w:rsid w:val="009B54BF"/>
    <w:rsid w:val="009B7E41"/>
    <w:rsid w:val="009C0D6F"/>
    <w:rsid w:val="009C41F5"/>
    <w:rsid w:val="009C5DF6"/>
    <w:rsid w:val="009C6882"/>
    <w:rsid w:val="009D0ABA"/>
    <w:rsid w:val="009D2E46"/>
    <w:rsid w:val="009D3AB0"/>
    <w:rsid w:val="009D3D40"/>
    <w:rsid w:val="009D584F"/>
    <w:rsid w:val="009E2901"/>
    <w:rsid w:val="009E6A01"/>
    <w:rsid w:val="009E7E3A"/>
    <w:rsid w:val="009F0676"/>
    <w:rsid w:val="009F2419"/>
    <w:rsid w:val="009F276E"/>
    <w:rsid w:val="009F36A0"/>
    <w:rsid w:val="009F3D8B"/>
    <w:rsid w:val="009F6CAD"/>
    <w:rsid w:val="00A1545A"/>
    <w:rsid w:val="00A20063"/>
    <w:rsid w:val="00A207DC"/>
    <w:rsid w:val="00A24B61"/>
    <w:rsid w:val="00A27C88"/>
    <w:rsid w:val="00A32060"/>
    <w:rsid w:val="00A32138"/>
    <w:rsid w:val="00A37022"/>
    <w:rsid w:val="00A37D5B"/>
    <w:rsid w:val="00A42015"/>
    <w:rsid w:val="00A4469E"/>
    <w:rsid w:val="00A45F56"/>
    <w:rsid w:val="00A51245"/>
    <w:rsid w:val="00A5212F"/>
    <w:rsid w:val="00A52413"/>
    <w:rsid w:val="00A5263B"/>
    <w:rsid w:val="00A52E02"/>
    <w:rsid w:val="00A54E5D"/>
    <w:rsid w:val="00A57FE6"/>
    <w:rsid w:val="00A612EC"/>
    <w:rsid w:val="00A63113"/>
    <w:rsid w:val="00A63CD4"/>
    <w:rsid w:val="00A6632D"/>
    <w:rsid w:val="00A6633E"/>
    <w:rsid w:val="00A700F8"/>
    <w:rsid w:val="00A71FEB"/>
    <w:rsid w:val="00A72F1B"/>
    <w:rsid w:val="00A74156"/>
    <w:rsid w:val="00A76251"/>
    <w:rsid w:val="00A80359"/>
    <w:rsid w:val="00A80835"/>
    <w:rsid w:val="00A81E72"/>
    <w:rsid w:val="00A83719"/>
    <w:rsid w:val="00A83F7C"/>
    <w:rsid w:val="00A841DF"/>
    <w:rsid w:val="00A86E27"/>
    <w:rsid w:val="00A90C4D"/>
    <w:rsid w:val="00A9150E"/>
    <w:rsid w:val="00A94360"/>
    <w:rsid w:val="00A94C43"/>
    <w:rsid w:val="00AA28BA"/>
    <w:rsid w:val="00AA561C"/>
    <w:rsid w:val="00AB34F7"/>
    <w:rsid w:val="00AB3C87"/>
    <w:rsid w:val="00AB5CB7"/>
    <w:rsid w:val="00AB67AC"/>
    <w:rsid w:val="00AC01DA"/>
    <w:rsid w:val="00AC2400"/>
    <w:rsid w:val="00AC2872"/>
    <w:rsid w:val="00AC5B2E"/>
    <w:rsid w:val="00AC6B9E"/>
    <w:rsid w:val="00AD24A4"/>
    <w:rsid w:val="00AD2C16"/>
    <w:rsid w:val="00AD78BD"/>
    <w:rsid w:val="00AE0956"/>
    <w:rsid w:val="00AE5560"/>
    <w:rsid w:val="00AE5D1C"/>
    <w:rsid w:val="00AE73BB"/>
    <w:rsid w:val="00AE7806"/>
    <w:rsid w:val="00AF1E58"/>
    <w:rsid w:val="00AF2A02"/>
    <w:rsid w:val="00AF3A7B"/>
    <w:rsid w:val="00AF3AEA"/>
    <w:rsid w:val="00AF4B59"/>
    <w:rsid w:val="00B01586"/>
    <w:rsid w:val="00B01A3E"/>
    <w:rsid w:val="00B02CAA"/>
    <w:rsid w:val="00B06169"/>
    <w:rsid w:val="00B10006"/>
    <w:rsid w:val="00B152B1"/>
    <w:rsid w:val="00B16A44"/>
    <w:rsid w:val="00B208C4"/>
    <w:rsid w:val="00B22406"/>
    <w:rsid w:val="00B25E69"/>
    <w:rsid w:val="00B273ED"/>
    <w:rsid w:val="00B30F67"/>
    <w:rsid w:val="00B41665"/>
    <w:rsid w:val="00B51EC9"/>
    <w:rsid w:val="00B57826"/>
    <w:rsid w:val="00B57E92"/>
    <w:rsid w:val="00B61962"/>
    <w:rsid w:val="00B65377"/>
    <w:rsid w:val="00B65FE7"/>
    <w:rsid w:val="00B737CE"/>
    <w:rsid w:val="00B7492E"/>
    <w:rsid w:val="00B76881"/>
    <w:rsid w:val="00B80B84"/>
    <w:rsid w:val="00B8222E"/>
    <w:rsid w:val="00B858EC"/>
    <w:rsid w:val="00B87706"/>
    <w:rsid w:val="00B917D7"/>
    <w:rsid w:val="00B92CD8"/>
    <w:rsid w:val="00B9453E"/>
    <w:rsid w:val="00B950FC"/>
    <w:rsid w:val="00B956A0"/>
    <w:rsid w:val="00B95AE3"/>
    <w:rsid w:val="00B960BA"/>
    <w:rsid w:val="00B96742"/>
    <w:rsid w:val="00B97BC1"/>
    <w:rsid w:val="00BA2E03"/>
    <w:rsid w:val="00BA3D2C"/>
    <w:rsid w:val="00BA6417"/>
    <w:rsid w:val="00BA74B1"/>
    <w:rsid w:val="00BB2798"/>
    <w:rsid w:val="00BB46E6"/>
    <w:rsid w:val="00BB4953"/>
    <w:rsid w:val="00BB4D87"/>
    <w:rsid w:val="00BB5B96"/>
    <w:rsid w:val="00BC2F63"/>
    <w:rsid w:val="00BC3C40"/>
    <w:rsid w:val="00BC58FC"/>
    <w:rsid w:val="00BC79A3"/>
    <w:rsid w:val="00BD2AD0"/>
    <w:rsid w:val="00BD4D43"/>
    <w:rsid w:val="00BD5BBA"/>
    <w:rsid w:val="00BD63A0"/>
    <w:rsid w:val="00BE1563"/>
    <w:rsid w:val="00BE305B"/>
    <w:rsid w:val="00BE3A2B"/>
    <w:rsid w:val="00BE6841"/>
    <w:rsid w:val="00BE6B4E"/>
    <w:rsid w:val="00BE7116"/>
    <w:rsid w:val="00BE7F5C"/>
    <w:rsid w:val="00BF034D"/>
    <w:rsid w:val="00BF2317"/>
    <w:rsid w:val="00BF2FEE"/>
    <w:rsid w:val="00BF506E"/>
    <w:rsid w:val="00BF54F2"/>
    <w:rsid w:val="00BF60F6"/>
    <w:rsid w:val="00C03092"/>
    <w:rsid w:val="00C0447F"/>
    <w:rsid w:val="00C07B6D"/>
    <w:rsid w:val="00C10B43"/>
    <w:rsid w:val="00C119A8"/>
    <w:rsid w:val="00C1216B"/>
    <w:rsid w:val="00C1427E"/>
    <w:rsid w:val="00C1577C"/>
    <w:rsid w:val="00C164F6"/>
    <w:rsid w:val="00C16DF4"/>
    <w:rsid w:val="00C20A4A"/>
    <w:rsid w:val="00C2319F"/>
    <w:rsid w:val="00C25EAB"/>
    <w:rsid w:val="00C262C7"/>
    <w:rsid w:val="00C27508"/>
    <w:rsid w:val="00C30169"/>
    <w:rsid w:val="00C32250"/>
    <w:rsid w:val="00C33F20"/>
    <w:rsid w:val="00C341C8"/>
    <w:rsid w:val="00C34BD4"/>
    <w:rsid w:val="00C3596A"/>
    <w:rsid w:val="00C401CB"/>
    <w:rsid w:val="00C41652"/>
    <w:rsid w:val="00C42D7C"/>
    <w:rsid w:val="00C43F43"/>
    <w:rsid w:val="00C44EEC"/>
    <w:rsid w:val="00C455E8"/>
    <w:rsid w:val="00C46615"/>
    <w:rsid w:val="00C510FB"/>
    <w:rsid w:val="00C53A6F"/>
    <w:rsid w:val="00C5503B"/>
    <w:rsid w:val="00C614DC"/>
    <w:rsid w:val="00C61A5C"/>
    <w:rsid w:val="00C625C3"/>
    <w:rsid w:val="00C635AD"/>
    <w:rsid w:val="00C63BB4"/>
    <w:rsid w:val="00C64F91"/>
    <w:rsid w:val="00C65B35"/>
    <w:rsid w:val="00C66ACC"/>
    <w:rsid w:val="00C67906"/>
    <w:rsid w:val="00C71667"/>
    <w:rsid w:val="00C71FFB"/>
    <w:rsid w:val="00C74545"/>
    <w:rsid w:val="00C752EE"/>
    <w:rsid w:val="00C81135"/>
    <w:rsid w:val="00C8195A"/>
    <w:rsid w:val="00C83205"/>
    <w:rsid w:val="00C93649"/>
    <w:rsid w:val="00C95E01"/>
    <w:rsid w:val="00C96C79"/>
    <w:rsid w:val="00C9733C"/>
    <w:rsid w:val="00CA2B03"/>
    <w:rsid w:val="00CB00C6"/>
    <w:rsid w:val="00CB1C2D"/>
    <w:rsid w:val="00CB2C1F"/>
    <w:rsid w:val="00CB2F0E"/>
    <w:rsid w:val="00CB6E9C"/>
    <w:rsid w:val="00CB6FE9"/>
    <w:rsid w:val="00CC0817"/>
    <w:rsid w:val="00CC2BDC"/>
    <w:rsid w:val="00CC2F7D"/>
    <w:rsid w:val="00CC3773"/>
    <w:rsid w:val="00CC6AEF"/>
    <w:rsid w:val="00CD07AD"/>
    <w:rsid w:val="00CD3E19"/>
    <w:rsid w:val="00CD3E2D"/>
    <w:rsid w:val="00CD70AE"/>
    <w:rsid w:val="00CE0ABB"/>
    <w:rsid w:val="00CE1DB1"/>
    <w:rsid w:val="00CE27F8"/>
    <w:rsid w:val="00CE6679"/>
    <w:rsid w:val="00CE6DE5"/>
    <w:rsid w:val="00CF0148"/>
    <w:rsid w:val="00CF671D"/>
    <w:rsid w:val="00CF737D"/>
    <w:rsid w:val="00D036D6"/>
    <w:rsid w:val="00D03859"/>
    <w:rsid w:val="00D058C4"/>
    <w:rsid w:val="00D076B0"/>
    <w:rsid w:val="00D1009E"/>
    <w:rsid w:val="00D12546"/>
    <w:rsid w:val="00D215AC"/>
    <w:rsid w:val="00D21698"/>
    <w:rsid w:val="00D22A29"/>
    <w:rsid w:val="00D26BBA"/>
    <w:rsid w:val="00D3607E"/>
    <w:rsid w:val="00D36502"/>
    <w:rsid w:val="00D376E9"/>
    <w:rsid w:val="00D5608D"/>
    <w:rsid w:val="00D5656D"/>
    <w:rsid w:val="00D60EC0"/>
    <w:rsid w:val="00D6240F"/>
    <w:rsid w:val="00D633A7"/>
    <w:rsid w:val="00D6415A"/>
    <w:rsid w:val="00D65901"/>
    <w:rsid w:val="00D66064"/>
    <w:rsid w:val="00D666B1"/>
    <w:rsid w:val="00D673B1"/>
    <w:rsid w:val="00D67F6D"/>
    <w:rsid w:val="00D70A00"/>
    <w:rsid w:val="00D718E8"/>
    <w:rsid w:val="00D74DC5"/>
    <w:rsid w:val="00D7637A"/>
    <w:rsid w:val="00D773A4"/>
    <w:rsid w:val="00D85044"/>
    <w:rsid w:val="00D87E5F"/>
    <w:rsid w:val="00D92EF4"/>
    <w:rsid w:val="00D96390"/>
    <w:rsid w:val="00D97903"/>
    <w:rsid w:val="00DA34E8"/>
    <w:rsid w:val="00DA53AD"/>
    <w:rsid w:val="00DA68C0"/>
    <w:rsid w:val="00DB0884"/>
    <w:rsid w:val="00DB08B7"/>
    <w:rsid w:val="00DB63AE"/>
    <w:rsid w:val="00DB64BF"/>
    <w:rsid w:val="00DC279C"/>
    <w:rsid w:val="00DC365A"/>
    <w:rsid w:val="00DC3ADD"/>
    <w:rsid w:val="00DC3BFD"/>
    <w:rsid w:val="00DC5ACC"/>
    <w:rsid w:val="00DC721A"/>
    <w:rsid w:val="00DD07A7"/>
    <w:rsid w:val="00DD1086"/>
    <w:rsid w:val="00DD4FD3"/>
    <w:rsid w:val="00DD50B7"/>
    <w:rsid w:val="00DE0C98"/>
    <w:rsid w:val="00DE24F6"/>
    <w:rsid w:val="00DE2A2B"/>
    <w:rsid w:val="00DF0581"/>
    <w:rsid w:val="00DF267D"/>
    <w:rsid w:val="00DF4940"/>
    <w:rsid w:val="00DF53BB"/>
    <w:rsid w:val="00DF545C"/>
    <w:rsid w:val="00DF577F"/>
    <w:rsid w:val="00DF5C20"/>
    <w:rsid w:val="00E00C23"/>
    <w:rsid w:val="00E0242E"/>
    <w:rsid w:val="00E07034"/>
    <w:rsid w:val="00E07A1C"/>
    <w:rsid w:val="00E07C85"/>
    <w:rsid w:val="00E102F3"/>
    <w:rsid w:val="00E10BE2"/>
    <w:rsid w:val="00E123ED"/>
    <w:rsid w:val="00E12BCD"/>
    <w:rsid w:val="00E136C3"/>
    <w:rsid w:val="00E13E60"/>
    <w:rsid w:val="00E15896"/>
    <w:rsid w:val="00E171AB"/>
    <w:rsid w:val="00E17C94"/>
    <w:rsid w:val="00E216BE"/>
    <w:rsid w:val="00E23FF2"/>
    <w:rsid w:val="00E25212"/>
    <w:rsid w:val="00E26376"/>
    <w:rsid w:val="00E26944"/>
    <w:rsid w:val="00E300CA"/>
    <w:rsid w:val="00E32E3B"/>
    <w:rsid w:val="00E33BF0"/>
    <w:rsid w:val="00E34CDA"/>
    <w:rsid w:val="00E34EDB"/>
    <w:rsid w:val="00E34F9E"/>
    <w:rsid w:val="00E431D7"/>
    <w:rsid w:val="00E43B07"/>
    <w:rsid w:val="00E4607F"/>
    <w:rsid w:val="00E52337"/>
    <w:rsid w:val="00E5354D"/>
    <w:rsid w:val="00E612AD"/>
    <w:rsid w:val="00E625BA"/>
    <w:rsid w:val="00E63E54"/>
    <w:rsid w:val="00E65814"/>
    <w:rsid w:val="00E66BBE"/>
    <w:rsid w:val="00E676A0"/>
    <w:rsid w:val="00E71EFD"/>
    <w:rsid w:val="00E74C96"/>
    <w:rsid w:val="00E767F1"/>
    <w:rsid w:val="00E76C95"/>
    <w:rsid w:val="00E77595"/>
    <w:rsid w:val="00E81AC2"/>
    <w:rsid w:val="00E86BF0"/>
    <w:rsid w:val="00E901BB"/>
    <w:rsid w:val="00E90472"/>
    <w:rsid w:val="00E91576"/>
    <w:rsid w:val="00E9161B"/>
    <w:rsid w:val="00E93707"/>
    <w:rsid w:val="00EA11EA"/>
    <w:rsid w:val="00EA1DF0"/>
    <w:rsid w:val="00EA3939"/>
    <w:rsid w:val="00EB0EC3"/>
    <w:rsid w:val="00EB36CD"/>
    <w:rsid w:val="00EB3924"/>
    <w:rsid w:val="00EB7A54"/>
    <w:rsid w:val="00EC0AB8"/>
    <w:rsid w:val="00EC25AA"/>
    <w:rsid w:val="00EC6E7D"/>
    <w:rsid w:val="00ED0027"/>
    <w:rsid w:val="00ED14AC"/>
    <w:rsid w:val="00ED2444"/>
    <w:rsid w:val="00ED3F0F"/>
    <w:rsid w:val="00ED5CA8"/>
    <w:rsid w:val="00ED69A6"/>
    <w:rsid w:val="00ED73D9"/>
    <w:rsid w:val="00EE169C"/>
    <w:rsid w:val="00EE3E4A"/>
    <w:rsid w:val="00EE46F7"/>
    <w:rsid w:val="00EF1875"/>
    <w:rsid w:val="00EF206C"/>
    <w:rsid w:val="00EF459B"/>
    <w:rsid w:val="00F02515"/>
    <w:rsid w:val="00F037C6"/>
    <w:rsid w:val="00F05185"/>
    <w:rsid w:val="00F05EC3"/>
    <w:rsid w:val="00F0706E"/>
    <w:rsid w:val="00F138FE"/>
    <w:rsid w:val="00F14AF8"/>
    <w:rsid w:val="00F16940"/>
    <w:rsid w:val="00F247B9"/>
    <w:rsid w:val="00F24DFC"/>
    <w:rsid w:val="00F25D98"/>
    <w:rsid w:val="00F26B1A"/>
    <w:rsid w:val="00F37059"/>
    <w:rsid w:val="00F37673"/>
    <w:rsid w:val="00F406FA"/>
    <w:rsid w:val="00F41B47"/>
    <w:rsid w:val="00F41FB1"/>
    <w:rsid w:val="00F44A0C"/>
    <w:rsid w:val="00F44DA5"/>
    <w:rsid w:val="00F4667E"/>
    <w:rsid w:val="00F51CDE"/>
    <w:rsid w:val="00F537AC"/>
    <w:rsid w:val="00F53BA7"/>
    <w:rsid w:val="00F53CB3"/>
    <w:rsid w:val="00F5630F"/>
    <w:rsid w:val="00F57222"/>
    <w:rsid w:val="00F572F6"/>
    <w:rsid w:val="00F64CEC"/>
    <w:rsid w:val="00F6714E"/>
    <w:rsid w:val="00F67A63"/>
    <w:rsid w:val="00F71DC8"/>
    <w:rsid w:val="00F71FE4"/>
    <w:rsid w:val="00F7258B"/>
    <w:rsid w:val="00F72D23"/>
    <w:rsid w:val="00F737A4"/>
    <w:rsid w:val="00F752E7"/>
    <w:rsid w:val="00F756D3"/>
    <w:rsid w:val="00F80D85"/>
    <w:rsid w:val="00F811FF"/>
    <w:rsid w:val="00F848DC"/>
    <w:rsid w:val="00F86EE7"/>
    <w:rsid w:val="00F90C3B"/>
    <w:rsid w:val="00FA1DE2"/>
    <w:rsid w:val="00FA3240"/>
    <w:rsid w:val="00FA454A"/>
    <w:rsid w:val="00FB118B"/>
    <w:rsid w:val="00FB14C2"/>
    <w:rsid w:val="00FB1E0B"/>
    <w:rsid w:val="00FB53DD"/>
    <w:rsid w:val="00FB78E6"/>
    <w:rsid w:val="00FC19ED"/>
    <w:rsid w:val="00FC2BF3"/>
    <w:rsid w:val="00FC4E8A"/>
    <w:rsid w:val="00FD0D90"/>
    <w:rsid w:val="00FD2E15"/>
    <w:rsid w:val="00FE5861"/>
    <w:rsid w:val="00FE75EF"/>
    <w:rsid w:val="00FE7AA0"/>
    <w:rsid w:val="00FE7EE6"/>
    <w:rsid w:val="00FF34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478061"/>
  <w15:chartTrackingRefBased/>
  <w15:docId w15:val="{E42C55A1-05EA-4143-BA21-279784F6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outlineLvl w:val="0"/>
    </w:pPr>
    <w:rPr>
      <w:b/>
      <w:bCs/>
      <w:lang w:eastAsia="en-US"/>
    </w:rPr>
  </w:style>
  <w:style w:type="paragraph" w:styleId="Heading2">
    <w:name w:val="heading 2"/>
    <w:basedOn w:val="Normal"/>
    <w:next w:val="Normal"/>
    <w:qFormat/>
    <w:pPr>
      <w:keepNext/>
      <w:outlineLvl w:val="1"/>
    </w:pPr>
    <w:rPr>
      <w:b/>
      <w:bCs/>
      <w:lang w:val="en-GB"/>
    </w:rPr>
  </w:style>
  <w:style w:type="paragraph" w:styleId="Heading6">
    <w:name w:val="heading 6"/>
    <w:basedOn w:val="Normal"/>
    <w:next w:val="Normal"/>
    <w:qFormat/>
    <w:pPr>
      <w:keepNext/>
      <w:outlineLvl w:val="5"/>
    </w:pPr>
    <w:rPr>
      <w:b/>
      <w:bCs/>
      <w:sz w:val="28"/>
      <w:szCs w:val="28"/>
      <w:lang w:val="en-GB"/>
    </w:rPr>
  </w:style>
  <w:style w:type="paragraph" w:styleId="Heading8">
    <w:name w:val="heading 8"/>
    <w:basedOn w:val="Normal"/>
    <w:next w:val="Normal"/>
    <w:qFormat/>
    <w:pPr>
      <w:keepNext/>
      <w:jc w:val="both"/>
      <w:outlineLvl w:val="7"/>
    </w:pPr>
    <w:rPr>
      <w:b/>
      <w:bCs/>
      <w:lang w:val="en-GB"/>
    </w:rPr>
  </w:style>
  <w:style w:type="paragraph" w:styleId="Heading9">
    <w:name w:val="heading 9"/>
    <w:basedOn w:val="Normal"/>
    <w:next w:val="Normal"/>
    <w:qFormat/>
    <w:pPr>
      <w:keepNext/>
      <w:jc w:val="center"/>
      <w:outlineLvl w:val="8"/>
    </w:pPr>
    <w:rPr>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hAnsi="Cambria" w:cs="Times New Roman"/>
      <w:b/>
      <w:bCs/>
      <w:kern w:val="32"/>
      <w:sz w:val="32"/>
      <w:szCs w:val="32"/>
      <w:lang w:val="x-none" w:eastAsia="ar-SA" w:bidi="ar-SA"/>
    </w:rPr>
  </w:style>
  <w:style w:type="character" w:customStyle="1" w:styleId="Heading2Char">
    <w:name w:val="Heading 2 Char"/>
    <w:rPr>
      <w:rFonts w:ascii="Cambria" w:hAnsi="Cambria" w:cs="Times New Roman"/>
      <w:b/>
      <w:bCs/>
      <w:i/>
      <w:iCs/>
      <w:sz w:val="28"/>
      <w:szCs w:val="28"/>
      <w:lang w:val="x-none" w:eastAsia="ar-SA" w:bidi="ar-SA"/>
    </w:rPr>
  </w:style>
  <w:style w:type="character" w:customStyle="1" w:styleId="Heading6Char">
    <w:name w:val="Heading 6 Char"/>
    <w:rPr>
      <w:rFonts w:ascii="Times New Roman" w:hAnsi="Times New Roman" w:cs="Times New Roman"/>
      <w:b/>
      <w:bCs/>
      <w:lang w:val="x-none" w:eastAsia="ar-SA" w:bidi="ar-SA"/>
    </w:rPr>
  </w:style>
  <w:style w:type="character" w:customStyle="1" w:styleId="Heading8Char">
    <w:name w:val="Heading 8 Char"/>
    <w:rPr>
      <w:rFonts w:ascii="Times New Roman" w:hAnsi="Times New Roman" w:cs="Times New Roman"/>
      <w:i/>
      <w:iCs/>
      <w:sz w:val="24"/>
      <w:szCs w:val="24"/>
      <w:lang w:val="x-none" w:eastAsia="ar-SA" w:bidi="ar-SA"/>
    </w:rPr>
  </w:style>
  <w:style w:type="character" w:customStyle="1" w:styleId="Heading9Char">
    <w:name w:val="Heading 9 Char"/>
    <w:rPr>
      <w:rFonts w:ascii="Cambria" w:hAnsi="Cambria" w:cs="Times New Roman"/>
      <w:lang w:val="x-none" w:eastAsia="ar-SA" w:bidi="ar-SA"/>
    </w:rPr>
  </w:style>
  <w:style w:type="paragraph" w:styleId="Header">
    <w:name w:val="header"/>
    <w:basedOn w:val="Normal"/>
    <w:uiPriority w:val="99"/>
    <w:pPr>
      <w:tabs>
        <w:tab w:val="center" w:pos="4320"/>
        <w:tab w:val="right" w:pos="8640"/>
      </w:tabs>
    </w:pPr>
    <w:rPr>
      <w:sz w:val="20"/>
      <w:szCs w:val="20"/>
      <w:lang w:eastAsia="en-US"/>
    </w:rPr>
  </w:style>
  <w:style w:type="character" w:customStyle="1" w:styleId="HeaderChar">
    <w:name w:val="Header Char"/>
    <w:uiPriority w:val="99"/>
    <w:rPr>
      <w:rFonts w:ascii="Times New Roman" w:hAnsi="Times New Roman" w:cs="Times New Roman"/>
      <w:sz w:val="24"/>
      <w:szCs w:val="24"/>
      <w:lang w:val="x-none" w:eastAsia="ar-SA" w:bidi="ar-SA"/>
    </w:rPr>
  </w:style>
  <w:style w:type="paragraph" w:styleId="FootnoteText">
    <w:name w:val="footnote text"/>
    <w:basedOn w:val="Normal"/>
    <w:rPr>
      <w:sz w:val="20"/>
      <w:szCs w:val="20"/>
      <w:lang w:eastAsia="en-US"/>
    </w:rPr>
  </w:style>
  <w:style w:type="character" w:customStyle="1" w:styleId="FootnoteTextChar">
    <w:name w:val="Footnote Text Char"/>
    <w:rPr>
      <w:rFonts w:ascii="Times New Roman" w:hAnsi="Times New Roman" w:cs="Times New Roman"/>
      <w:sz w:val="20"/>
      <w:szCs w:val="20"/>
      <w:lang w:val="x-none" w:eastAsia="ar-SA" w:bidi="ar-SA"/>
    </w:rPr>
  </w:style>
  <w:style w:type="character" w:styleId="FootnoteReference">
    <w:name w:val="footnote reference"/>
    <w:semiHidden/>
    <w:rPr>
      <w:rFonts w:ascii="Times New Roman" w:hAnsi="Times New Roman" w:cs="Times New Roman"/>
      <w:vertAlign w:val="superscript"/>
    </w:rPr>
  </w:style>
  <w:style w:type="paragraph" w:styleId="BodyText">
    <w:name w:val="Body Text"/>
    <w:basedOn w:val="Normal"/>
    <w:semiHidden/>
    <w:rPr>
      <w:sz w:val="20"/>
      <w:szCs w:val="20"/>
      <w:lang w:eastAsia="en-US"/>
    </w:rPr>
  </w:style>
  <w:style w:type="character" w:customStyle="1" w:styleId="BodyTextChar">
    <w:name w:val="Body Text Char"/>
    <w:rPr>
      <w:rFonts w:ascii="Times New Roman" w:hAnsi="Times New Roman" w:cs="Times New Roman"/>
      <w:sz w:val="24"/>
      <w:szCs w:val="24"/>
      <w:lang w:val="x-none" w:eastAsia="ar-SA" w:bidi="ar-SA"/>
    </w:rPr>
  </w:style>
  <w:style w:type="paragraph" w:styleId="Footer">
    <w:name w:val="footer"/>
    <w:basedOn w:val="Normal"/>
    <w:uiPriority w:val="99"/>
    <w:pPr>
      <w:tabs>
        <w:tab w:val="center" w:pos="4153"/>
        <w:tab w:val="right" w:pos="8306"/>
      </w:tabs>
    </w:pPr>
  </w:style>
  <w:style w:type="character" w:customStyle="1" w:styleId="FooterChar">
    <w:name w:val="Footer Char"/>
    <w:uiPriority w:val="99"/>
    <w:rPr>
      <w:rFonts w:ascii="Times New Roman" w:hAnsi="Times New Roman" w:cs="Times New Roman"/>
      <w:sz w:val="24"/>
      <w:szCs w:val="24"/>
      <w:lang w:val="x-none" w:eastAsia="ar-SA" w:bidi="ar-SA"/>
    </w:rPr>
  </w:style>
  <w:style w:type="character" w:styleId="PageNumber">
    <w:name w:val="page number"/>
    <w:semiHidden/>
    <w:rPr>
      <w:rFonts w:ascii="Times New Roman" w:hAnsi="Times New Roman" w:cs="Times New Roman"/>
    </w:rPr>
  </w:style>
  <w:style w:type="paragraph" w:styleId="BodyTextIndent">
    <w:name w:val="Body Text Indent"/>
    <w:basedOn w:val="Normal"/>
    <w:semiHidden/>
    <w:pPr>
      <w:spacing w:after="120" w:line="480" w:lineRule="auto"/>
    </w:pPr>
  </w:style>
  <w:style w:type="character" w:customStyle="1" w:styleId="BodyText2Char">
    <w:name w:val="Body Text 2 Char"/>
    <w:rPr>
      <w:rFonts w:ascii="Times New Roman" w:hAnsi="Times New Roman" w:cs="Times New Roman"/>
      <w:sz w:val="24"/>
      <w:szCs w:val="24"/>
      <w:lang w:val="x-none" w:eastAsia="ar-SA" w:bidi="ar-SA"/>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val="x-none" w:eastAsia="ar-SA" w:bidi="ar-SA"/>
    </w:rPr>
  </w:style>
  <w:style w:type="paragraph" w:styleId="BodyText3">
    <w:name w:val="Body Text 3"/>
    <w:basedOn w:val="Normal"/>
    <w:semiHidden/>
    <w:pPr>
      <w:spacing w:after="120"/>
    </w:pPr>
    <w:rPr>
      <w:sz w:val="16"/>
      <w:szCs w:val="16"/>
    </w:rPr>
  </w:style>
  <w:style w:type="character" w:customStyle="1" w:styleId="BodyText3Char">
    <w:name w:val="Body Text 3 Char"/>
    <w:rPr>
      <w:rFonts w:ascii="Times New Roman" w:hAnsi="Times New Roman" w:cs="Times New Roman"/>
      <w:sz w:val="16"/>
      <w:szCs w:val="16"/>
      <w:lang w:val="x-none" w:eastAsia="ar-SA" w:bidi="ar-SA"/>
    </w:rPr>
  </w:style>
  <w:style w:type="character" w:styleId="Hyperlink">
    <w:name w:val="Hyperlink"/>
    <w:semiHidden/>
    <w:rPr>
      <w:rFonts w:ascii="Times New Roman" w:hAnsi="Times New Roman" w:cs="Times New Roman"/>
      <w:color w:val="0000FF"/>
      <w:u w:val="single"/>
    </w:rPr>
  </w:style>
  <w:style w:type="paragraph" w:styleId="BodyText2">
    <w:name w:val="Body Text 2"/>
    <w:basedOn w:val="Normal"/>
    <w:semiHidden/>
    <w:pPr>
      <w:bidi w:val="0"/>
      <w:jc w:val="both"/>
    </w:pPr>
  </w:style>
  <w:style w:type="table" w:styleId="TableGrid">
    <w:name w:val="Table Grid"/>
    <w:basedOn w:val="TableNormal"/>
    <w:uiPriority w:val="59"/>
    <w:rsid w:val="003F7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922020"/>
    <w:rPr>
      <w:sz w:val="16"/>
      <w:szCs w:val="16"/>
    </w:rPr>
  </w:style>
  <w:style w:type="paragraph" w:styleId="CommentText">
    <w:name w:val="annotation text"/>
    <w:basedOn w:val="Normal"/>
    <w:link w:val="CommentTextChar"/>
    <w:uiPriority w:val="99"/>
    <w:semiHidden/>
    <w:unhideWhenUsed/>
    <w:rsid w:val="00922020"/>
    <w:rPr>
      <w:sz w:val="20"/>
      <w:szCs w:val="20"/>
      <w:lang w:val="x-none"/>
    </w:rPr>
  </w:style>
  <w:style w:type="character" w:customStyle="1" w:styleId="CommentTextChar">
    <w:name w:val="Comment Text Char"/>
    <w:link w:val="CommentText"/>
    <w:uiPriority w:val="99"/>
    <w:semiHidden/>
    <w:rsid w:val="00922020"/>
    <w:rPr>
      <w:lang w:eastAsia="ar-SA"/>
    </w:rPr>
  </w:style>
  <w:style w:type="paragraph" w:styleId="CommentSubject">
    <w:name w:val="annotation subject"/>
    <w:basedOn w:val="CommentText"/>
    <w:next w:val="CommentText"/>
    <w:link w:val="CommentSubjectChar"/>
    <w:uiPriority w:val="99"/>
    <w:semiHidden/>
    <w:unhideWhenUsed/>
    <w:rsid w:val="00922020"/>
    <w:rPr>
      <w:b/>
      <w:bCs/>
    </w:rPr>
  </w:style>
  <w:style w:type="character" w:customStyle="1" w:styleId="CommentSubjectChar">
    <w:name w:val="Comment Subject Char"/>
    <w:link w:val="CommentSubject"/>
    <w:uiPriority w:val="99"/>
    <w:semiHidden/>
    <w:rsid w:val="00922020"/>
    <w:rPr>
      <w:b/>
      <w:bCs/>
      <w:lang w:eastAsia="ar-SA"/>
    </w:rPr>
  </w:style>
  <w:style w:type="paragraph" w:customStyle="1" w:styleId="Default">
    <w:name w:val="Default"/>
    <w:rsid w:val="00975FEF"/>
    <w:pPr>
      <w:widowControl w:val="0"/>
      <w:autoSpaceDE w:val="0"/>
      <w:autoSpaceDN w:val="0"/>
      <w:adjustRightInd w:val="0"/>
    </w:pPr>
    <w:rPr>
      <w:color w:val="000000"/>
      <w:sz w:val="24"/>
      <w:szCs w:val="24"/>
      <w:lang w:val="en-GB" w:eastAsia="en-GB"/>
    </w:rPr>
  </w:style>
  <w:style w:type="paragraph" w:styleId="HTMLPreformatted">
    <w:name w:val="HTML Preformatted"/>
    <w:basedOn w:val="Normal"/>
    <w:link w:val="HTMLPreformattedChar"/>
    <w:uiPriority w:val="99"/>
    <w:semiHidden/>
    <w:unhideWhenUsed/>
    <w:rsid w:val="006F6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6F6963"/>
    <w:rPr>
      <w:rFonts w:ascii="Courier New" w:hAnsi="Courier New" w:cs="Courier New"/>
    </w:rPr>
  </w:style>
  <w:style w:type="character" w:customStyle="1" w:styleId="tlid-translation">
    <w:name w:val="tlid-translation"/>
    <w:basedOn w:val="DefaultParagraphFont"/>
    <w:rsid w:val="008D7ADE"/>
  </w:style>
  <w:style w:type="character" w:customStyle="1" w:styleId="y2iqfc">
    <w:name w:val="y2iqfc"/>
    <w:basedOn w:val="DefaultParagraphFont"/>
    <w:rsid w:val="005D1369"/>
  </w:style>
  <w:style w:type="paragraph" w:styleId="EndnoteText">
    <w:name w:val="endnote text"/>
    <w:basedOn w:val="Normal"/>
    <w:link w:val="EndnoteTextChar"/>
    <w:uiPriority w:val="99"/>
    <w:semiHidden/>
    <w:unhideWhenUsed/>
    <w:rsid w:val="00C625C3"/>
    <w:rPr>
      <w:sz w:val="20"/>
      <w:szCs w:val="20"/>
    </w:rPr>
  </w:style>
  <w:style w:type="character" w:customStyle="1" w:styleId="EndnoteTextChar">
    <w:name w:val="Endnote Text Char"/>
    <w:link w:val="EndnoteText"/>
    <w:uiPriority w:val="99"/>
    <w:semiHidden/>
    <w:rsid w:val="00C625C3"/>
    <w:rPr>
      <w:lang w:eastAsia="ar-SA"/>
    </w:rPr>
  </w:style>
  <w:style w:type="character" w:styleId="EndnoteReference">
    <w:name w:val="endnote reference"/>
    <w:uiPriority w:val="99"/>
    <w:semiHidden/>
    <w:unhideWhenUsed/>
    <w:rsid w:val="00C625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4022">
      <w:bodyDiv w:val="1"/>
      <w:marLeft w:val="0"/>
      <w:marRight w:val="0"/>
      <w:marTop w:val="0"/>
      <w:marBottom w:val="0"/>
      <w:divBdr>
        <w:top w:val="none" w:sz="0" w:space="0" w:color="auto"/>
        <w:left w:val="none" w:sz="0" w:space="0" w:color="auto"/>
        <w:bottom w:val="none" w:sz="0" w:space="0" w:color="auto"/>
        <w:right w:val="none" w:sz="0" w:space="0" w:color="auto"/>
      </w:divBdr>
    </w:div>
    <w:div w:id="112555224">
      <w:bodyDiv w:val="1"/>
      <w:marLeft w:val="0"/>
      <w:marRight w:val="0"/>
      <w:marTop w:val="0"/>
      <w:marBottom w:val="0"/>
      <w:divBdr>
        <w:top w:val="none" w:sz="0" w:space="0" w:color="auto"/>
        <w:left w:val="none" w:sz="0" w:space="0" w:color="auto"/>
        <w:bottom w:val="none" w:sz="0" w:space="0" w:color="auto"/>
        <w:right w:val="none" w:sz="0" w:space="0" w:color="auto"/>
      </w:divBdr>
    </w:div>
    <w:div w:id="389157531">
      <w:bodyDiv w:val="1"/>
      <w:marLeft w:val="0"/>
      <w:marRight w:val="0"/>
      <w:marTop w:val="0"/>
      <w:marBottom w:val="0"/>
      <w:divBdr>
        <w:top w:val="none" w:sz="0" w:space="0" w:color="auto"/>
        <w:left w:val="none" w:sz="0" w:space="0" w:color="auto"/>
        <w:bottom w:val="none" w:sz="0" w:space="0" w:color="auto"/>
        <w:right w:val="none" w:sz="0" w:space="0" w:color="auto"/>
      </w:divBdr>
    </w:div>
    <w:div w:id="480733593">
      <w:bodyDiv w:val="1"/>
      <w:marLeft w:val="0"/>
      <w:marRight w:val="0"/>
      <w:marTop w:val="0"/>
      <w:marBottom w:val="0"/>
      <w:divBdr>
        <w:top w:val="none" w:sz="0" w:space="0" w:color="auto"/>
        <w:left w:val="none" w:sz="0" w:space="0" w:color="auto"/>
        <w:bottom w:val="none" w:sz="0" w:space="0" w:color="auto"/>
        <w:right w:val="none" w:sz="0" w:space="0" w:color="auto"/>
      </w:divBdr>
    </w:div>
    <w:div w:id="704063936">
      <w:bodyDiv w:val="1"/>
      <w:marLeft w:val="0"/>
      <w:marRight w:val="0"/>
      <w:marTop w:val="0"/>
      <w:marBottom w:val="0"/>
      <w:divBdr>
        <w:top w:val="none" w:sz="0" w:space="0" w:color="auto"/>
        <w:left w:val="none" w:sz="0" w:space="0" w:color="auto"/>
        <w:bottom w:val="none" w:sz="0" w:space="0" w:color="auto"/>
        <w:right w:val="none" w:sz="0" w:space="0" w:color="auto"/>
      </w:divBdr>
    </w:div>
    <w:div w:id="750585828">
      <w:bodyDiv w:val="1"/>
      <w:marLeft w:val="0"/>
      <w:marRight w:val="0"/>
      <w:marTop w:val="0"/>
      <w:marBottom w:val="0"/>
      <w:divBdr>
        <w:top w:val="none" w:sz="0" w:space="0" w:color="auto"/>
        <w:left w:val="none" w:sz="0" w:space="0" w:color="auto"/>
        <w:bottom w:val="none" w:sz="0" w:space="0" w:color="auto"/>
        <w:right w:val="none" w:sz="0" w:space="0" w:color="auto"/>
      </w:divBdr>
      <w:divsChild>
        <w:div w:id="877938831">
          <w:marLeft w:val="0"/>
          <w:marRight w:val="0"/>
          <w:marTop w:val="0"/>
          <w:marBottom w:val="0"/>
          <w:divBdr>
            <w:top w:val="none" w:sz="0" w:space="0" w:color="auto"/>
            <w:left w:val="none" w:sz="0" w:space="0" w:color="auto"/>
            <w:bottom w:val="none" w:sz="0" w:space="0" w:color="auto"/>
            <w:right w:val="none" w:sz="0" w:space="0" w:color="auto"/>
          </w:divBdr>
          <w:divsChild>
            <w:div w:id="422646953">
              <w:marLeft w:val="0"/>
              <w:marRight w:val="0"/>
              <w:marTop w:val="0"/>
              <w:marBottom w:val="0"/>
              <w:divBdr>
                <w:top w:val="none" w:sz="0" w:space="0" w:color="auto"/>
                <w:left w:val="none" w:sz="0" w:space="0" w:color="auto"/>
                <w:bottom w:val="none" w:sz="0" w:space="0" w:color="auto"/>
                <w:right w:val="none" w:sz="0" w:space="0" w:color="auto"/>
              </w:divBdr>
              <w:divsChild>
                <w:div w:id="984744554">
                  <w:marLeft w:val="0"/>
                  <w:marRight w:val="0"/>
                  <w:marTop w:val="0"/>
                  <w:marBottom w:val="0"/>
                  <w:divBdr>
                    <w:top w:val="none" w:sz="0" w:space="0" w:color="auto"/>
                    <w:left w:val="none" w:sz="0" w:space="0" w:color="auto"/>
                    <w:bottom w:val="none" w:sz="0" w:space="0" w:color="auto"/>
                    <w:right w:val="none" w:sz="0" w:space="0" w:color="auto"/>
                  </w:divBdr>
                  <w:divsChild>
                    <w:div w:id="1021662732">
                      <w:marLeft w:val="0"/>
                      <w:marRight w:val="0"/>
                      <w:marTop w:val="0"/>
                      <w:marBottom w:val="0"/>
                      <w:divBdr>
                        <w:top w:val="none" w:sz="0" w:space="0" w:color="auto"/>
                        <w:left w:val="none" w:sz="0" w:space="0" w:color="auto"/>
                        <w:bottom w:val="none" w:sz="0" w:space="0" w:color="auto"/>
                        <w:right w:val="none" w:sz="0" w:space="0" w:color="auto"/>
                      </w:divBdr>
                      <w:divsChild>
                        <w:div w:id="1534226471">
                          <w:marLeft w:val="0"/>
                          <w:marRight w:val="0"/>
                          <w:marTop w:val="0"/>
                          <w:marBottom w:val="0"/>
                          <w:divBdr>
                            <w:top w:val="none" w:sz="0" w:space="0" w:color="auto"/>
                            <w:left w:val="none" w:sz="0" w:space="0" w:color="auto"/>
                            <w:bottom w:val="none" w:sz="0" w:space="0" w:color="auto"/>
                            <w:right w:val="none" w:sz="0" w:space="0" w:color="auto"/>
                          </w:divBdr>
                          <w:divsChild>
                            <w:div w:id="501824095">
                              <w:marLeft w:val="0"/>
                              <w:marRight w:val="0"/>
                              <w:marTop w:val="0"/>
                              <w:marBottom w:val="0"/>
                              <w:divBdr>
                                <w:top w:val="none" w:sz="0" w:space="0" w:color="auto"/>
                                <w:left w:val="none" w:sz="0" w:space="0" w:color="auto"/>
                                <w:bottom w:val="none" w:sz="0" w:space="0" w:color="auto"/>
                                <w:right w:val="none" w:sz="0" w:space="0" w:color="auto"/>
                              </w:divBdr>
                              <w:divsChild>
                                <w:div w:id="1730877119">
                                  <w:marLeft w:val="0"/>
                                  <w:marRight w:val="0"/>
                                  <w:marTop w:val="0"/>
                                  <w:marBottom w:val="0"/>
                                  <w:divBdr>
                                    <w:top w:val="none" w:sz="0" w:space="0" w:color="auto"/>
                                    <w:left w:val="none" w:sz="0" w:space="0" w:color="auto"/>
                                    <w:bottom w:val="none" w:sz="0" w:space="0" w:color="auto"/>
                                    <w:right w:val="none" w:sz="0" w:space="0" w:color="auto"/>
                                  </w:divBdr>
                                  <w:divsChild>
                                    <w:div w:id="377095838">
                                      <w:marLeft w:val="0"/>
                                      <w:marRight w:val="60"/>
                                      <w:marTop w:val="0"/>
                                      <w:marBottom w:val="0"/>
                                      <w:divBdr>
                                        <w:top w:val="none" w:sz="0" w:space="0" w:color="auto"/>
                                        <w:left w:val="none" w:sz="0" w:space="0" w:color="auto"/>
                                        <w:bottom w:val="none" w:sz="0" w:space="0" w:color="auto"/>
                                        <w:right w:val="none" w:sz="0" w:space="0" w:color="auto"/>
                                      </w:divBdr>
                                      <w:divsChild>
                                        <w:div w:id="2118407201">
                                          <w:marLeft w:val="0"/>
                                          <w:marRight w:val="0"/>
                                          <w:marTop w:val="0"/>
                                          <w:marBottom w:val="0"/>
                                          <w:divBdr>
                                            <w:top w:val="none" w:sz="0" w:space="0" w:color="auto"/>
                                            <w:left w:val="none" w:sz="0" w:space="0" w:color="auto"/>
                                            <w:bottom w:val="none" w:sz="0" w:space="0" w:color="auto"/>
                                            <w:right w:val="none" w:sz="0" w:space="0" w:color="auto"/>
                                          </w:divBdr>
                                          <w:divsChild>
                                            <w:div w:id="408814198">
                                              <w:marLeft w:val="0"/>
                                              <w:marRight w:val="0"/>
                                              <w:marTop w:val="0"/>
                                              <w:marBottom w:val="120"/>
                                              <w:divBdr>
                                                <w:top w:val="single" w:sz="6" w:space="0" w:color="F5F5F5"/>
                                                <w:left w:val="single" w:sz="6" w:space="0" w:color="F5F5F5"/>
                                                <w:bottom w:val="single" w:sz="6" w:space="0" w:color="F5F5F5"/>
                                                <w:right w:val="single" w:sz="6" w:space="0" w:color="F5F5F5"/>
                                              </w:divBdr>
                                              <w:divsChild>
                                                <w:div w:id="148986176">
                                                  <w:marLeft w:val="0"/>
                                                  <w:marRight w:val="0"/>
                                                  <w:marTop w:val="0"/>
                                                  <w:marBottom w:val="0"/>
                                                  <w:divBdr>
                                                    <w:top w:val="none" w:sz="0" w:space="0" w:color="auto"/>
                                                    <w:left w:val="none" w:sz="0" w:space="0" w:color="auto"/>
                                                    <w:bottom w:val="none" w:sz="0" w:space="0" w:color="auto"/>
                                                    <w:right w:val="none" w:sz="0" w:space="0" w:color="auto"/>
                                                  </w:divBdr>
                                                  <w:divsChild>
                                                    <w:div w:id="20247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1917460">
      <w:bodyDiv w:val="1"/>
      <w:marLeft w:val="0"/>
      <w:marRight w:val="0"/>
      <w:marTop w:val="0"/>
      <w:marBottom w:val="0"/>
      <w:divBdr>
        <w:top w:val="none" w:sz="0" w:space="0" w:color="auto"/>
        <w:left w:val="none" w:sz="0" w:space="0" w:color="auto"/>
        <w:bottom w:val="none" w:sz="0" w:space="0" w:color="auto"/>
        <w:right w:val="none" w:sz="0" w:space="0" w:color="auto"/>
      </w:divBdr>
      <w:divsChild>
        <w:div w:id="9726618">
          <w:marLeft w:val="0"/>
          <w:marRight w:val="0"/>
          <w:marTop w:val="0"/>
          <w:marBottom w:val="0"/>
          <w:divBdr>
            <w:top w:val="none" w:sz="0" w:space="0" w:color="auto"/>
            <w:left w:val="none" w:sz="0" w:space="0" w:color="auto"/>
            <w:bottom w:val="none" w:sz="0" w:space="0" w:color="auto"/>
            <w:right w:val="none" w:sz="0" w:space="0" w:color="auto"/>
          </w:divBdr>
          <w:divsChild>
            <w:div w:id="1891455515">
              <w:marLeft w:val="0"/>
              <w:marRight w:val="0"/>
              <w:marTop w:val="0"/>
              <w:marBottom w:val="0"/>
              <w:divBdr>
                <w:top w:val="none" w:sz="0" w:space="0" w:color="auto"/>
                <w:left w:val="none" w:sz="0" w:space="0" w:color="auto"/>
                <w:bottom w:val="none" w:sz="0" w:space="0" w:color="auto"/>
                <w:right w:val="none" w:sz="0" w:space="0" w:color="auto"/>
              </w:divBdr>
              <w:divsChild>
                <w:div w:id="1329601824">
                  <w:marLeft w:val="0"/>
                  <w:marRight w:val="0"/>
                  <w:marTop w:val="0"/>
                  <w:marBottom w:val="0"/>
                  <w:divBdr>
                    <w:top w:val="none" w:sz="0" w:space="0" w:color="auto"/>
                    <w:left w:val="none" w:sz="0" w:space="0" w:color="auto"/>
                    <w:bottom w:val="none" w:sz="0" w:space="0" w:color="auto"/>
                    <w:right w:val="none" w:sz="0" w:space="0" w:color="auto"/>
                  </w:divBdr>
                  <w:divsChild>
                    <w:div w:id="604776613">
                      <w:marLeft w:val="0"/>
                      <w:marRight w:val="0"/>
                      <w:marTop w:val="0"/>
                      <w:marBottom w:val="0"/>
                      <w:divBdr>
                        <w:top w:val="none" w:sz="0" w:space="0" w:color="auto"/>
                        <w:left w:val="none" w:sz="0" w:space="0" w:color="auto"/>
                        <w:bottom w:val="none" w:sz="0" w:space="0" w:color="auto"/>
                        <w:right w:val="none" w:sz="0" w:space="0" w:color="auto"/>
                      </w:divBdr>
                      <w:divsChild>
                        <w:div w:id="1164274223">
                          <w:marLeft w:val="0"/>
                          <w:marRight w:val="0"/>
                          <w:marTop w:val="0"/>
                          <w:marBottom w:val="0"/>
                          <w:divBdr>
                            <w:top w:val="none" w:sz="0" w:space="0" w:color="auto"/>
                            <w:left w:val="none" w:sz="0" w:space="0" w:color="auto"/>
                            <w:bottom w:val="none" w:sz="0" w:space="0" w:color="auto"/>
                            <w:right w:val="none" w:sz="0" w:space="0" w:color="auto"/>
                          </w:divBdr>
                          <w:divsChild>
                            <w:div w:id="130681008">
                              <w:marLeft w:val="0"/>
                              <w:marRight w:val="0"/>
                              <w:marTop w:val="0"/>
                              <w:marBottom w:val="0"/>
                              <w:divBdr>
                                <w:top w:val="none" w:sz="0" w:space="0" w:color="auto"/>
                                <w:left w:val="none" w:sz="0" w:space="0" w:color="auto"/>
                                <w:bottom w:val="none" w:sz="0" w:space="0" w:color="auto"/>
                                <w:right w:val="none" w:sz="0" w:space="0" w:color="auto"/>
                              </w:divBdr>
                              <w:divsChild>
                                <w:div w:id="1240481349">
                                  <w:marLeft w:val="0"/>
                                  <w:marRight w:val="0"/>
                                  <w:marTop w:val="0"/>
                                  <w:marBottom w:val="0"/>
                                  <w:divBdr>
                                    <w:top w:val="none" w:sz="0" w:space="0" w:color="auto"/>
                                    <w:left w:val="none" w:sz="0" w:space="0" w:color="auto"/>
                                    <w:bottom w:val="none" w:sz="0" w:space="0" w:color="auto"/>
                                    <w:right w:val="none" w:sz="0" w:space="0" w:color="auto"/>
                                  </w:divBdr>
                                  <w:divsChild>
                                    <w:div w:id="1954053507">
                                      <w:marLeft w:val="0"/>
                                      <w:marRight w:val="0"/>
                                      <w:marTop w:val="0"/>
                                      <w:marBottom w:val="0"/>
                                      <w:divBdr>
                                        <w:top w:val="none" w:sz="0" w:space="0" w:color="auto"/>
                                        <w:left w:val="none" w:sz="0" w:space="0" w:color="auto"/>
                                        <w:bottom w:val="none" w:sz="0" w:space="0" w:color="auto"/>
                                        <w:right w:val="none" w:sz="0" w:space="0" w:color="auto"/>
                                      </w:divBdr>
                                      <w:divsChild>
                                        <w:div w:id="2110738704">
                                          <w:marLeft w:val="0"/>
                                          <w:marRight w:val="0"/>
                                          <w:marTop w:val="0"/>
                                          <w:marBottom w:val="495"/>
                                          <w:divBdr>
                                            <w:top w:val="none" w:sz="0" w:space="0" w:color="auto"/>
                                            <w:left w:val="none" w:sz="0" w:space="0" w:color="auto"/>
                                            <w:bottom w:val="none" w:sz="0" w:space="0" w:color="auto"/>
                                            <w:right w:val="none" w:sz="0" w:space="0" w:color="auto"/>
                                          </w:divBdr>
                                          <w:divsChild>
                                            <w:div w:id="11761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3129372">
      <w:bodyDiv w:val="1"/>
      <w:marLeft w:val="0"/>
      <w:marRight w:val="0"/>
      <w:marTop w:val="0"/>
      <w:marBottom w:val="0"/>
      <w:divBdr>
        <w:top w:val="none" w:sz="0" w:space="0" w:color="auto"/>
        <w:left w:val="none" w:sz="0" w:space="0" w:color="auto"/>
        <w:bottom w:val="none" w:sz="0" w:space="0" w:color="auto"/>
        <w:right w:val="none" w:sz="0" w:space="0" w:color="auto"/>
      </w:divBdr>
    </w:div>
    <w:div w:id="1059591974">
      <w:bodyDiv w:val="1"/>
      <w:marLeft w:val="0"/>
      <w:marRight w:val="0"/>
      <w:marTop w:val="0"/>
      <w:marBottom w:val="0"/>
      <w:divBdr>
        <w:top w:val="none" w:sz="0" w:space="0" w:color="auto"/>
        <w:left w:val="none" w:sz="0" w:space="0" w:color="auto"/>
        <w:bottom w:val="none" w:sz="0" w:space="0" w:color="auto"/>
        <w:right w:val="none" w:sz="0" w:space="0" w:color="auto"/>
      </w:divBdr>
    </w:div>
    <w:div w:id="1090811688">
      <w:bodyDiv w:val="1"/>
      <w:marLeft w:val="0"/>
      <w:marRight w:val="0"/>
      <w:marTop w:val="0"/>
      <w:marBottom w:val="0"/>
      <w:divBdr>
        <w:top w:val="none" w:sz="0" w:space="0" w:color="auto"/>
        <w:left w:val="none" w:sz="0" w:space="0" w:color="auto"/>
        <w:bottom w:val="none" w:sz="0" w:space="0" w:color="auto"/>
        <w:right w:val="none" w:sz="0" w:space="0" w:color="auto"/>
      </w:divBdr>
    </w:div>
    <w:div w:id="1247573406">
      <w:bodyDiv w:val="1"/>
      <w:marLeft w:val="0"/>
      <w:marRight w:val="0"/>
      <w:marTop w:val="0"/>
      <w:marBottom w:val="0"/>
      <w:divBdr>
        <w:top w:val="none" w:sz="0" w:space="0" w:color="auto"/>
        <w:left w:val="none" w:sz="0" w:space="0" w:color="auto"/>
        <w:bottom w:val="none" w:sz="0" w:space="0" w:color="auto"/>
        <w:right w:val="none" w:sz="0" w:space="0" w:color="auto"/>
      </w:divBdr>
    </w:div>
    <w:div w:id="1464884314">
      <w:bodyDiv w:val="1"/>
      <w:marLeft w:val="0"/>
      <w:marRight w:val="0"/>
      <w:marTop w:val="0"/>
      <w:marBottom w:val="0"/>
      <w:divBdr>
        <w:top w:val="none" w:sz="0" w:space="0" w:color="auto"/>
        <w:left w:val="none" w:sz="0" w:space="0" w:color="auto"/>
        <w:bottom w:val="none" w:sz="0" w:space="0" w:color="auto"/>
        <w:right w:val="none" w:sz="0" w:space="0" w:color="auto"/>
      </w:divBdr>
    </w:div>
    <w:div w:id="1592856753">
      <w:bodyDiv w:val="1"/>
      <w:marLeft w:val="0"/>
      <w:marRight w:val="0"/>
      <w:marTop w:val="0"/>
      <w:marBottom w:val="0"/>
      <w:divBdr>
        <w:top w:val="none" w:sz="0" w:space="0" w:color="auto"/>
        <w:left w:val="none" w:sz="0" w:space="0" w:color="auto"/>
        <w:bottom w:val="none" w:sz="0" w:space="0" w:color="auto"/>
        <w:right w:val="none" w:sz="0" w:space="0" w:color="auto"/>
      </w:divBdr>
      <w:divsChild>
        <w:div w:id="1549730325">
          <w:marLeft w:val="0"/>
          <w:marRight w:val="0"/>
          <w:marTop w:val="0"/>
          <w:marBottom w:val="0"/>
          <w:divBdr>
            <w:top w:val="none" w:sz="0" w:space="0" w:color="auto"/>
            <w:left w:val="none" w:sz="0" w:space="0" w:color="auto"/>
            <w:bottom w:val="none" w:sz="0" w:space="0" w:color="auto"/>
            <w:right w:val="none" w:sz="0" w:space="0" w:color="auto"/>
          </w:divBdr>
          <w:divsChild>
            <w:div w:id="18904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140291">
      <w:bodyDiv w:val="1"/>
      <w:marLeft w:val="0"/>
      <w:marRight w:val="0"/>
      <w:marTop w:val="0"/>
      <w:marBottom w:val="0"/>
      <w:divBdr>
        <w:top w:val="none" w:sz="0" w:space="0" w:color="auto"/>
        <w:left w:val="none" w:sz="0" w:space="0" w:color="auto"/>
        <w:bottom w:val="none" w:sz="0" w:space="0" w:color="auto"/>
        <w:right w:val="none" w:sz="0" w:space="0" w:color="auto"/>
      </w:divBdr>
    </w:div>
    <w:div w:id="187427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221130927538654"/>
          <c:y val="0.11931818181818182"/>
          <c:w val="0.78205317974829114"/>
          <c:h val="0.66429238598696294"/>
        </c:manualLayout>
      </c:layout>
      <c:barChart>
        <c:barDir val="col"/>
        <c:grouping val="clustered"/>
        <c:varyColors val="0"/>
        <c:ser>
          <c:idx val="0"/>
          <c:order val="0"/>
          <c:tx>
            <c:strRef>
              <c:f>Sheet1!$A$2</c:f>
              <c:strCache>
                <c:ptCount val="1"/>
                <c:pt idx="0">
                  <c:v>Male</c:v>
                </c:pt>
              </c:strCache>
            </c:strRef>
          </c:tx>
          <c:spPr>
            <a:solidFill>
              <a:srgbClr val="99CCFF"/>
            </a:solidFill>
            <a:ln w="12699">
              <a:solidFill>
                <a:srgbClr val="000000"/>
              </a:solidFill>
              <a:prstDash val="solid"/>
            </a:ln>
          </c:spPr>
          <c:invertIfNegative val="0"/>
          <c:dLbls>
            <c:dLbl>
              <c:idx val="1"/>
              <c:spPr>
                <a:noFill/>
                <a:ln w="25398">
                  <a:noFill/>
                </a:ln>
              </c:spPr>
              <c:txPr>
                <a:bodyPr/>
                <a:lstStyle/>
                <a:p>
                  <a:pPr>
                    <a:defRPr sz="800" b="1" i="0" u="none" strike="noStrike" baseline="0">
                      <a:solidFill>
                        <a:srgbClr val="000000"/>
                      </a:solidFill>
                      <a:latin typeface="Arial"/>
                      <a:ea typeface="Arial"/>
                      <a:cs typeface="Arial"/>
                    </a:defRPr>
                  </a:pPr>
                  <a:endParaRPr lang="ar-SA"/>
                </a:p>
              </c:txPr>
              <c:showLegendKey val="0"/>
              <c:showVal val="1"/>
              <c:showCatName val="0"/>
              <c:showSerName val="0"/>
              <c:showPercent val="0"/>
              <c:showBubbleSize val="0"/>
              <c:extLst>
                <c:ext xmlns:c16="http://schemas.microsoft.com/office/drawing/2014/chart" uri="{C3380CC4-5D6E-409C-BE32-E72D297353CC}">
                  <c16:uniqueId val="{00000000-0B45-4421-9395-B14E6CE2EC39}"/>
                </c:ext>
              </c:extLst>
            </c:dLbl>
            <c:spPr>
              <a:noFill/>
              <a:ln w="25398">
                <a:noFill/>
              </a:ln>
            </c:spPr>
            <c:txPr>
              <a:bodyPr wrap="square" lIns="38100" tIns="19050" rIns="38100" bIns="19050" anchor="ctr">
                <a:spAutoFit/>
              </a:bodyPr>
              <a:lstStyle/>
              <a:p>
                <a:pPr>
                  <a:defRPr sz="800" b="1" i="0" u="none" strike="noStrike" baseline="0">
                    <a:solidFill>
                      <a:srgbClr val="000000"/>
                    </a:solidFill>
                    <a:latin typeface="Arial"/>
                    <a:ea typeface="Arial"/>
                    <a:cs typeface="Arial"/>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West Bank</c:v>
                </c:pt>
                <c:pt idx="1">
                  <c:v>Gaza Strip</c:v>
                </c:pt>
              </c:strCache>
            </c:strRef>
          </c:cat>
          <c:val>
            <c:numRef>
              <c:f>Sheet1!$B$2:$C$2</c:f>
              <c:numCache>
                <c:formatCode>General</c:formatCode>
                <c:ptCount val="2"/>
                <c:pt idx="0">
                  <c:v>85.6</c:v>
                </c:pt>
                <c:pt idx="1">
                  <c:v>56.6</c:v>
                </c:pt>
              </c:numCache>
            </c:numRef>
          </c:val>
          <c:extLst>
            <c:ext xmlns:c16="http://schemas.microsoft.com/office/drawing/2014/chart" uri="{C3380CC4-5D6E-409C-BE32-E72D297353CC}">
              <c16:uniqueId val="{00000001-0B45-4421-9395-B14E6CE2EC39}"/>
            </c:ext>
          </c:extLst>
        </c:ser>
        <c:ser>
          <c:idx val="1"/>
          <c:order val="1"/>
          <c:tx>
            <c:strRef>
              <c:f>Sheet1!$A$3</c:f>
              <c:strCache>
                <c:ptCount val="1"/>
                <c:pt idx="0">
                  <c:v>Female</c:v>
                </c:pt>
              </c:strCache>
            </c:strRef>
          </c:tx>
          <c:spPr>
            <a:solidFill>
              <a:srgbClr val="FF6600"/>
            </a:solidFill>
            <a:ln w="12699">
              <a:solidFill>
                <a:srgbClr val="000000"/>
              </a:solidFill>
              <a:prstDash val="solid"/>
            </a:ln>
          </c:spPr>
          <c:invertIfNegative val="0"/>
          <c:dLbls>
            <c:dLbl>
              <c:idx val="1"/>
              <c:spPr>
                <a:noFill/>
                <a:ln w="25398">
                  <a:noFill/>
                </a:ln>
              </c:spPr>
              <c:txPr>
                <a:bodyPr/>
                <a:lstStyle/>
                <a:p>
                  <a:pPr>
                    <a:defRPr sz="800" b="1" i="0" u="none" strike="noStrike" baseline="0">
                      <a:solidFill>
                        <a:srgbClr val="000000"/>
                      </a:solidFill>
                      <a:latin typeface="Arial"/>
                      <a:ea typeface="Arial"/>
                      <a:cs typeface="Arial"/>
                    </a:defRPr>
                  </a:pPr>
                  <a:endParaRPr lang="ar-SA"/>
                </a:p>
              </c:txPr>
              <c:showLegendKey val="0"/>
              <c:showVal val="1"/>
              <c:showCatName val="0"/>
              <c:showSerName val="0"/>
              <c:showPercent val="0"/>
              <c:showBubbleSize val="0"/>
              <c:extLst>
                <c:ext xmlns:c16="http://schemas.microsoft.com/office/drawing/2014/chart" uri="{C3380CC4-5D6E-409C-BE32-E72D297353CC}">
                  <c16:uniqueId val="{00000002-0B45-4421-9395-B14E6CE2EC39}"/>
                </c:ext>
              </c:extLst>
            </c:dLbl>
            <c:spPr>
              <a:noFill/>
              <a:ln w="25398">
                <a:noFill/>
              </a:ln>
            </c:spPr>
            <c:txPr>
              <a:bodyPr wrap="square" lIns="38100" tIns="19050" rIns="38100" bIns="19050" anchor="ctr">
                <a:spAutoFit/>
              </a:bodyPr>
              <a:lstStyle/>
              <a:p>
                <a:pPr>
                  <a:defRPr sz="800" b="1" i="0" u="none" strike="noStrike" baseline="0">
                    <a:solidFill>
                      <a:srgbClr val="000000"/>
                    </a:solidFill>
                    <a:latin typeface="Arial"/>
                    <a:ea typeface="Arial"/>
                    <a:cs typeface="Arial"/>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West Bank</c:v>
                </c:pt>
                <c:pt idx="1">
                  <c:v>Gaza Strip</c:v>
                </c:pt>
              </c:strCache>
            </c:strRef>
          </c:cat>
          <c:val>
            <c:numRef>
              <c:f>Sheet1!$B$3:$C$3</c:f>
              <c:numCache>
                <c:formatCode>General</c:formatCode>
                <c:ptCount val="2"/>
                <c:pt idx="0">
                  <c:v>80.8</c:v>
                </c:pt>
                <c:pt idx="1">
                  <c:v>58.9</c:v>
                </c:pt>
              </c:numCache>
            </c:numRef>
          </c:val>
          <c:extLst>
            <c:ext xmlns:c16="http://schemas.microsoft.com/office/drawing/2014/chart" uri="{C3380CC4-5D6E-409C-BE32-E72D297353CC}">
              <c16:uniqueId val="{00000003-0B45-4421-9395-B14E6CE2EC39}"/>
            </c:ext>
          </c:extLst>
        </c:ser>
        <c:dLbls>
          <c:showLegendKey val="0"/>
          <c:showVal val="0"/>
          <c:showCatName val="0"/>
          <c:showSerName val="0"/>
          <c:showPercent val="0"/>
          <c:showBubbleSize val="0"/>
        </c:dLbls>
        <c:gapWidth val="150"/>
        <c:axId val="171285656"/>
        <c:axId val="1"/>
      </c:barChart>
      <c:catAx>
        <c:axId val="171285656"/>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en-US"/>
                  <a:t>Region</a:t>
                </a:r>
              </a:p>
            </c:rich>
          </c:tx>
          <c:layout>
            <c:manualLayout>
              <c:xMode val="edge"/>
              <c:yMode val="edge"/>
              <c:x val="0.45777628860222264"/>
              <c:y val="0.88125984251968503"/>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ar-SA"/>
          </a:p>
        </c:txPr>
        <c:crossAx val="1"/>
        <c:crosses val="autoZero"/>
        <c:auto val="1"/>
        <c:lblAlgn val="ctr"/>
        <c:lblOffset val="100"/>
        <c:tickLblSkip val="1"/>
        <c:tickMarkSkip val="1"/>
        <c:noMultiLvlLbl val="0"/>
      </c:catAx>
      <c:valAx>
        <c:axId val="1"/>
        <c:scaling>
          <c:orientation val="minMax"/>
        </c:scaling>
        <c:delete val="0"/>
        <c:axPos val="l"/>
        <c:title>
          <c:tx>
            <c:rich>
              <a:bodyPr/>
              <a:lstStyle/>
              <a:p>
                <a:pPr>
                  <a:defRPr sz="800" b="1" i="0" u="none" strike="noStrike" baseline="0">
                    <a:solidFill>
                      <a:srgbClr val="000000"/>
                    </a:solidFill>
                    <a:latin typeface="Arial"/>
                    <a:ea typeface="Arial"/>
                    <a:cs typeface="Arial"/>
                  </a:defRPr>
                </a:pPr>
                <a:r>
                  <a:rPr lang="en-US"/>
                  <a:t>Percentage</a:t>
                </a:r>
              </a:p>
            </c:rich>
          </c:tx>
          <c:layout>
            <c:manualLayout>
              <c:xMode val="edge"/>
              <c:yMode val="edge"/>
              <c:x val="2.9650602185365128E-2"/>
              <c:y val="0.34090930300379119"/>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ar-SA"/>
          </a:p>
        </c:txPr>
        <c:crossAx val="171285656"/>
        <c:crosses val="autoZero"/>
        <c:crossBetween val="between"/>
        <c:majorUnit val="20"/>
      </c:valAx>
      <c:spPr>
        <a:noFill/>
        <a:ln w="12699">
          <a:solidFill>
            <a:srgbClr val="FFFFFF"/>
          </a:solidFill>
          <a:prstDash val="solid"/>
        </a:ln>
      </c:spPr>
    </c:plotArea>
    <c:legend>
      <c:legendPos val="r"/>
      <c:layout>
        <c:manualLayout>
          <c:xMode val="edge"/>
          <c:yMode val="edge"/>
          <c:x val="0.48897079354442397"/>
          <c:y val="1.7045785943423739E-2"/>
          <c:w val="0.3419117291189665"/>
          <c:h val="0.13636337124526099"/>
        </c:manualLayout>
      </c:layout>
      <c:overlay val="0"/>
      <c:spPr>
        <a:noFill/>
        <a:ln w="3175">
          <a:solidFill>
            <a:srgbClr val="000000"/>
          </a:solidFill>
          <a:prstDash val="solid"/>
        </a:ln>
      </c:spPr>
      <c:txPr>
        <a:bodyPr/>
        <a:lstStyle/>
        <a:p>
          <a:pPr>
            <a:defRPr sz="735" b="1" i="0" u="none" strike="noStrike" baseline="0">
              <a:solidFill>
                <a:srgbClr val="000000"/>
              </a:solidFill>
              <a:latin typeface="Arial"/>
              <a:ea typeface="Arial"/>
              <a:cs typeface="Arial"/>
            </a:defRPr>
          </a:pPr>
          <a:endParaRPr lang="ar-SA"/>
        </a:p>
      </c:txPr>
    </c:legend>
    <c:plotVisOnly val="1"/>
    <c:dispBlanksAs val="gap"/>
    <c:showDLblsOverMax val="0"/>
  </c:chart>
  <c:spPr>
    <a:noFill/>
    <a:ln>
      <a:solidFill>
        <a:srgbClr val="000000"/>
      </a:solidFill>
    </a:ln>
  </c:spPr>
  <c:txPr>
    <a:bodyPr/>
    <a:lstStyle/>
    <a:p>
      <a:pPr>
        <a:defRPr sz="800" b="1" i="0" u="none" strike="noStrike" baseline="0">
          <a:solidFill>
            <a:srgbClr val="000000"/>
          </a:solidFill>
          <a:latin typeface="Arial"/>
          <a:ea typeface="Arial"/>
          <a:cs typeface="Arial"/>
        </a:defRPr>
      </a:pPr>
      <a:endParaRPr lang="ar-S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52054794520548"/>
          <c:y val="0.20895522388059701"/>
          <c:w val="0.78424657534246578"/>
          <c:h val="0.58706467661691542"/>
        </c:manualLayout>
      </c:layout>
      <c:lineChart>
        <c:grouping val="stacked"/>
        <c:varyColors val="0"/>
        <c:ser>
          <c:idx val="0"/>
          <c:order val="0"/>
          <c:tx>
            <c:strRef>
              <c:f>Sheet1!$A$2</c:f>
              <c:strCache>
                <c:ptCount val="1"/>
                <c:pt idx="0">
                  <c:v>Fixed line</c:v>
                </c:pt>
              </c:strCache>
            </c:strRef>
          </c:tx>
          <c:spPr>
            <a:ln w="38098">
              <a:solidFill>
                <a:srgbClr val="0066CC"/>
              </a:solidFill>
              <a:prstDash val="solid"/>
            </a:ln>
          </c:spPr>
          <c:marker>
            <c:symbol val="diamond"/>
            <c:size val="8"/>
            <c:spPr>
              <a:solidFill>
                <a:srgbClr val="3366FF"/>
              </a:solidFill>
              <a:ln>
                <a:solidFill>
                  <a:srgbClr val="3366FF"/>
                </a:solidFill>
                <a:prstDash val="solid"/>
              </a:ln>
            </c:spPr>
          </c:marker>
          <c:dLbls>
            <c:dLbl>
              <c:idx val="1"/>
              <c:delete val="1"/>
              <c:extLst>
                <c:ext xmlns:c15="http://schemas.microsoft.com/office/drawing/2012/chart" uri="{CE6537A1-D6FC-4f65-9D91-7224C49458BB}"/>
                <c:ext xmlns:c16="http://schemas.microsoft.com/office/drawing/2014/chart" uri="{C3380CC4-5D6E-409C-BE32-E72D297353CC}">
                  <c16:uniqueId val="{00000006-7FC5-4502-B4D4-A8EF2F29BD41}"/>
                </c:ext>
              </c:extLst>
            </c:dLbl>
            <c:dLbl>
              <c:idx val="2"/>
              <c:delete val="1"/>
              <c:extLst>
                <c:ext xmlns:c15="http://schemas.microsoft.com/office/drawing/2012/chart" uri="{CE6537A1-D6FC-4f65-9D91-7224C49458BB}"/>
                <c:ext xmlns:c16="http://schemas.microsoft.com/office/drawing/2014/chart" uri="{C3380CC4-5D6E-409C-BE32-E72D297353CC}">
                  <c16:uniqueId val="{00000005-7FC5-4502-B4D4-A8EF2F29BD41}"/>
                </c:ext>
              </c:extLst>
            </c:dLbl>
            <c:dLbl>
              <c:idx val="3"/>
              <c:delete val="1"/>
              <c:extLst>
                <c:ext xmlns:c15="http://schemas.microsoft.com/office/drawing/2012/chart" uri="{CE6537A1-D6FC-4f65-9D91-7224C49458BB}"/>
                <c:ext xmlns:c16="http://schemas.microsoft.com/office/drawing/2014/chart" uri="{C3380CC4-5D6E-409C-BE32-E72D297353CC}">
                  <c16:uniqueId val="{00000004-7FC5-4502-B4D4-A8EF2F29BD41}"/>
                </c:ext>
              </c:extLst>
            </c:dLbl>
            <c:dLbl>
              <c:idx val="4"/>
              <c:delete val="1"/>
              <c:extLst>
                <c:ext xmlns:c15="http://schemas.microsoft.com/office/drawing/2012/chart" uri="{CE6537A1-D6FC-4f65-9D91-7224C49458BB}"/>
                <c:ext xmlns:c16="http://schemas.microsoft.com/office/drawing/2014/chart" uri="{C3380CC4-5D6E-409C-BE32-E72D297353CC}">
                  <c16:uniqueId val="{00000003-7FC5-4502-B4D4-A8EF2F29BD41}"/>
                </c:ext>
              </c:extLst>
            </c:dLbl>
            <c:dLbl>
              <c:idx val="5"/>
              <c:delete val="1"/>
              <c:extLst>
                <c:ext xmlns:c15="http://schemas.microsoft.com/office/drawing/2012/chart" uri="{CE6537A1-D6FC-4f65-9D91-7224C49458BB}"/>
                <c:ext xmlns:c16="http://schemas.microsoft.com/office/drawing/2014/chart" uri="{C3380CC4-5D6E-409C-BE32-E72D297353CC}">
                  <c16:uniqueId val="{00000002-7FC5-4502-B4D4-A8EF2F29BD41}"/>
                </c:ext>
              </c:extLst>
            </c:dLbl>
            <c:dLbl>
              <c:idx val="6"/>
              <c:delete val="1"/>
              <c:extLst>
                <c:ext xmlns:c15="http://schemas.microsoft.com/office/drawing/2012/chart" uri="{CE6537A1-D6FC-4f65-9D91-7224C49458BB}"/>
                <c:ext xmlns:c16="http://schemas.microsoft.com/office/drawing/2014/chart" uri="{C3380CC4-5D6E-409C-BE32-E72D297353CC}">
                  <c16:uniqueId val="{00000001-7FC5-4502-B4D4-A8EF2F29BD41}"/>
                </c:ext>
              </c:extLst>
            </c:dLbl>
            <c:dLbl>
              <c:idx val="7"/>
              <c:layout>
                <c:manualLayout>
                  <c:x val="-1.90400184447308E-2"/>
                  <c:y val="-0.14056634764751463"/>
                </c:manualLayout>
              </c:layout>
              <c:spPr>
                <a:noFill/>
                <a:ln w="25399">
                  <a:noFill/>
                </a:ln>
              </c:spPr>
              <c:txPr>
                <a:bodyPr/>
                <a:lstStyle/>
                <a:p>
                  <a:pPr>
                    <a:defRPr sz="800" b="0" i="0" u="none" strike="noStrike" baseline="0">
                      <a:solidFill>
                        <a:srgbClr val="000000"/>
                      </a:solidFill>
                      <a:latin typeface="Arial"/>
                      <a:ea typeface="Arial"/>
                      <a:cs typeface="Arial"/>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FC5-4502-B4D4-A8EF2F29BD41}"/>
                </c:ext>
              </c:extLst>
            </c:dLbl>
            <c:spPr>
              <a:noFill/>
              <a:ln w="25399">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ar-SA"/>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2010</c:v>
                </c:pt>
                <c:pt idx="1">
                  <c:v>2012</c:v>
                </c:pt>
                <c:pt idx="2">
                  <c:v>2014</c:v>
                </c:pt>
                <c:pt idx="3">
                  <c:v>2016</c:v>
                </c:pt>
                <c:pt idx="4">
                  <c:v>2018</c:v>
                </c:pt>
                <c:pt idx="5">
                  <c:v>2020</c:v>
                </c:pt>
                <c:pt idx="6">
                  <c:v>2021</c:v>
                </c:pt>
                <c:pt idx="7">
                  <c:v>2022</c:v>
                </c:pt>
              </c:numCache>
            </c:numRef>
          </c:cat>
          <c:val>
            <c:numRef>
              <c:f>Sheet1!$B$2:$I$2</c:f>
              <c:numCache>
                <c:formatCode>General</c:formatCode>
                <c:ptCount val="8"/>
                <c:pt idx="0">
                  <c:v>360.4</c:v>
                </c:pt>
                <c:pt idx="1">
                  <c:v>393.9</c:v>
                </c:pt>
                <c:pt idx="2">
                  <c:v>403.1</c:v>
                </c:pt>
                <c:pt idx="3" formatCode="0.0">
                  <c:v>432</c:v>
                </c:pt>
                <c:pt idx="4">
                  <c:v>469.7</c:v>
                </c:pt>
                <c:pt idx="5">
                  <c:v>466.3</c:v>
                </c:pt>
                <c:pt idx="6">
                  <c:v>485.8</c:v>
                </c:pt>
                <c:pt idx="7">
                  <c:v>457.7</c:v>
                </c:pt>
              </c:numCache>
            </c:numRef>
          </c:val>
          <c:smooth val="0"/>
          <c:extLst>
            <c:ext xmlns:c16="http://schemas.microsoft.com/office/drawing/2014/chart" uri="{C3380CC4-5D6E-409C-BE32-E72D297353CC}">
              <c16:uniqueId val="{00000007-7FC5-4502-B4D4-A8EF2F29BD41}"/>
            </c:ext>
          </c:extLst>
        </c:ser>
        <c:ser>
          <c:idx val="1"/>
          <c:order val="1"/>
          <c:tx>
            <c:strRef>
              <c:f>Sheet1!$A$3</c:f>
              <c:strCache>
                <c:ptCount val="1"/>
                <c:pt idx="0">
                  <c:v>Cellular Mobile line</c:v>
                </c:pt>
              </c:strCache>
            </c:strRef>
          </c:tx>
          <c:spPr>
            <a:ln w="38098">
              <a:solidFill>
                <a:srgbClr val="800000"/>
              </a:solidFill>
              <a:prstDash val="solid"/>
            </a:ln>
          </c:spPr>
          <c:marker>
            <c:symbol val="square"/>
            <c:size val="6"/>
            <c:spPr>
              <a:solidFill>
                <a:srgbClr val="800000"/>
              </a:solidFill>
              <a:ln>
                <a:solidFill>
                  <a:srgbClr val="800000"/>
                </a:solidFill>
                <a:prstDash val="solid"/>
              </a:ln>
            </c:spPr>
          </c:marker>
          <c:dLbls>
            <c:dLbl>
              <c:idx val="0"/>
              <c:layout>
                <c:manualLayout>
                  <c:x val="-3.7746885464083058E-2"/>
                  <c:y val="-0.1440568029724868"/>
                </c:manualLayout>
              </c:layout>
              <c:spPr>
                <a:noFill/>
                <a:ln w="25399">
                  <a:noFill/>
                </a:ln>
              </c:spPr>
              <c:txPr>
                <a:bodyPr/>
                <a:lstStyle/>
                <a:p>
                  <a:pPr>
                    <a:defRPr sz="800" b="0" i="0" u="none" strike="noStrike" baseline="0">
                      <a:solidFill>
                        <a:srgbClr val="000000"/>
                      </a:solidFill>
                      <a:latin typeface="Arial"/>
                      <a:ea typeface="Arial"/>
                      <a:cs typeface="Arial"/>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FC5-4502-B4D4-A8EF2F29BD41}"/>
                </c:ext>
              </c:extLst>
            </c:dLbl>
            <c:dLbl>
              <c:idx val="1"/>
              <c:delete val="1"/>
              <c:extLst>
                <c:ext xmlns:c15="http://schemas.microsoft.com/office/drawing/2012/chart" uri="{CE6537A1-D6FC-4f65-9D91-7224C49458BB}"/>
                <c:ext xmlns:c16="http://schemas.microsoft.com/office/drawing/2014/chart" uri="{C3380CC4-5D6E-409C-BE32-E72D297353CC}">
                  <c16:uniqueId val="{0000000A-7FC5-4502-B4D4-A8EF2F29BD41}"/>
                </c:ext>
              </c:extLst>
            </c:dLbl>
            <c:dLbl>
              <c:idx val="2"/>
              <c:delete val="1"/>
              <c:extLst>
                <c:ext xmlns:c15="http://schemas.microsoft.com/office/drawing/2012/chart" uri="{CE6537A1-D6FC-4f65-9D91-7224C49458BB}"/>
                <c:ext xmlns:c16="http://schemas.microsoft.com/office/drawing/2014/chart" uri="{C3380CC4-5D6E-409C-BE32-E72D297353CC}">
                  <c16:uniqueId val="{0000000C-7FC5-4502-B4D4-A8EF2F29BD41}"/>
                </c:ext>
              </c:extLst>
            </c:dLbl>
            <c:dLbl>
              <c:idx val="3"/>
              <c:delete val="1"/>
              <c:extLst>
                <c:ext xmlns:c15="http://schemas.microsoft.com/office/drawing/2012/chart" uri="{CE6537A1-D6FC-4f65-9D91-7224C49458BB}"/>
                <c:ext xmlns:c16="http://schemas.microsoft.com/office/drawing/2014/chart" uri="{C3380CC4-5D6E-409C-BE32-E72D297353CC}">
                  <c16:uniqueId val="{0000000D-7FC5-4502-B4D4-A8EF2F29BD41}"/>
                </c:ext>
              </c:extLst>
            </c:dLbl>
            <c:dLbl>
              <c:idx val="4"/>
              <c:delete val="1"/>
              <c:extLst>
                <c:ext xmlns:c15="http://schemas.microsoft.com/office/drawing/2012/chart" uri="{CE6537A1-D6FC-4f65-9D91-7224C49458BB}"/>
                <c:ext xmlns:c16="http://schemas.microsoft.com/office/drawing/2014/chart" uri="{C3380CC4-5D6E-409C-BE32-E72D297353CC}">
                  <c16:uniqueId val="{0000000E-7FC5-4502-B4D4-A8EF2F29BD41}"/>
                </c:ext>
              </c:extLst>
            </c:dLbl>
            <c:dLbl>
              <c:idx val="5"/>
              <c:delete val="1"/>
              <c:extLst>
                <c:ext xmlns:c15="http://schemas.microsoft.com/office/drawing/2012/chart" uri="{CE6537A1-D6FC-4f65-9D91-7224C49458BB}"/>
                <c:ext xmlns:c16="http://schemas.microsoft.com/office/drawing/2014/chart" uri="{C3380CC4-5D6E-409C-BE32-E72D297353CC}">
                  <c16:uniqueId val="{0000000F-7FC5-4502-B4D4-A8EF2F29BD41}"/>
                </c:ext>
              </c:extLst>
            </c:dLbl>
            <c:dLbl>
              <c:idx val="6"/>
              <c:delete val="1"/>
              <c:extLst>
                <c:ext xmlns:c15="http://schemas.microsoft.com/office/drawing/2012/chart" uri="{CE6537A1-D6FC-4f65-9D91-7224C49458BB}"/>
                <c:ext xmlns:c16="http://schemas.microsoft.com/office/drawing/2014/chart" uri="{C3380CC4-5D6E-409C-BE32-E72D297353CC}">
                  <c16:uniqueId val="{00000009-7FC5-4502-B4D4-A8EF2F29BD41}"/>
                </c:ext>
              </c:extLst>
            </c:dLbl>
            <c:dLbl>
              <c:idx val="7"/>
              <c:layout>
                <c:manualLayout>
                  <c:x val="-2.9313991047470567E-2"/>
                  <c:y val="-0.11928446731525044"/>
                </c:manualLayout>
              </c:layout>
              <c:spPr>
                <a:noFill/>
                <a:ln w="25399">
                  <a:noFill/>
                </a:ln>
              </c:spPr>
              <c:txPr>
                <a:bodyPr/>
                <a:lstStyle/>
                <a:p>
                  <a:pPr>
                    <a:defRPr sz="800" b="0" i="0" u="none" strike="noStrike" baseline="0">
                      <a:solidFill>
                        <a:srgbClr val="000000"/>
                      </a:solidFill>
                      <a:latin typeface="Arial"/>
                      <a:ea typeface="Arial"/>
                      <a:cs typeface="Arial"/>
                    </a:defRPr>
                  </a:pPr>
                  <a:endParaRPr lang="ar-SA"/>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FC5-4502-B4D4-A8EF2F29BD41}"/>
                </c:ext>
              </c:extLst>
            </c:dLbl>
            <c:spPr>
              <a:noFill/>
              <a:ln w="25399">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2010</c:v>
                </c:pt>
                <c:pt idx="1">
                  <c:v>2012</c:v>
                </c:pt>
                <c:pt idx="2">
                  <c:v>2014</c:v>
                </c:pt>
                <c:pt idx="3">
                  <c:v>2016</c:v>
                </c:pt>
                <c:pt idx="4">
                  <c:v>2018</c:v>
                </c:pt>
                <c:pt idx="5">
                  <c:v>2020</c:v>
                </c:pt>
                <c:pt idx="6">
                  <c:v>2021</c:v>
                </c:pt>
                <c:pt idx="7">
                  <c:v>2022</c:v>
                </c:pt>
              </c:numCache>
            </c:numRef>
          </c:cat>
          <c:val>
            <c:numRef>
              <c:f>Sheet1!$B$3:$I$3</c:f>
              <c:numCache>
                <c:formatCode>#,##0</c:formatCode>
                <c:ptCount val="8"/>
                <c:pt idx="0">
                  <c:v>2604</c:v>
                </c:pt>
                <c:pt idx="1">
                  <c:v>3190</c:v>
                </c:pt>
                <c:pt idx="2">
                  <c:v>3291</c:v>
                </c:pt>
                <c:pt idx="3">
                  <c:v>3708</c:v>
                </c:pt>
                <c:pt idx="4">
                  <c:v>4294</c:v>
                </c:pt>
                <c:pt idx="5" formatCode="General">
                  <c:v>4062</c:v>
                </c:pt>
                <c:pt idx="6">
                  <c:v>4053</c:v>
                </c:pt>
                <c:pt idx="7">
                  <c:v>4387</c:v>
                </c:pt>
              </c:numCache>
            </c:numRef>
          </c:val>
          <c:smooth val="0"/>
          <c:extLst>
            <c:ext xmlns:c16="http://schemas.microsoft.com/office/drawing/2014/chart" uri="{C3380CC4-5D6E-409C-BE32-E72D297353CC}">
              <c16:uniqueId val="{00000010-7FC5-4502-B4D4-A8EF2F29BD41}"/>
            </c:ext>
          </c:extLst>
        </c:ser>
        <c:dLbls>
          <c:showLegendKey val="0"/>
          <c:showVal val="0"/>
          <c:showCatName val="0"/>
          <c:showSerName val="0"/>
          <c:showPercent val="0"/>
          <c:showBubbleSize val="0"/>
        </c:dLbls>
        <c:marker val="1"/>
        <c:smooth val="0"/>
        <c:axId val="196535848"/>
        <c:axId val="1"/>
      </c:lineChart>
      <c:catAx>
        <c:axId val="196535848"/>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en-US"/>
                  <a:t>Year</a:t>
                </a:r>
              </a:p>
            </c:rich>
          </c:tx>
          <c:layout>
            <c:manualLayout>
              <c:xMode val="edge"/>
              <c:yMode val="edge"/>
              <c:x val="0.53424657534246578"/>
              <c:y val="0.89552238805970152"/>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ar-SA"/>
          </a:p>
        </c:txPr>
        <c:crossAx val="1"/>
        <c:crosses val="autoZero"/>
        <c:auto val="1"/>
        <c:lblAlgn val="ctr"/>
        <c:lblOffset val="100"/>
        <c:tickLblSkip val="1"/>
        <c:tickMarkSkip val="1"/>
        <c:noMultiLvlLbl val="0"/>
      </c:catAx>
      <c:valAx>
        <c:axId val="1"/>
        <c:scaling>
          <c:orientation val="minMax"/>
        </c:scaling>
        <c:delete val="0"/>
        <c:axPos val="l"/>
        <c:title>
          <c:tx>
            <c:rich>
              <a:bodyPr/>
              <a:lstStyle/>
              <a:p>
                <a:pPr>
                  <a:defRPr sz="800" b="1" i="0" u="none" strike="noStrike" baseline="0">
                    <a:solidFill>
                      <a:srgbClr val="000000"/>
                    </a:solidFill>
                    <a:latin typeface="Arial"/>
                    <a:ea typeface="Arial"/>
                    <a:cs typeface="Arial"/>
                  </a:defRPr>
                </a:pPr>
                <a:r>
                  <a:rPr lang="en-US"/>
                  <a:t>Number (Thousands)</a:t>
                </a:r>
              </a:p>
            </c:rich>
          </c:tx>
          <c:layout>
            <c:manualLayout>
              <c:xMode val="edge"/>
              <c:yMode val="edge"/>
              <c:x val="0"/>
              <c:y val="0.18407960199004975"/>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ar-SA"/>
          </a:p>
        </c:txPr>
        <c:crossAx val="196535848"/>
        <c:crosses val="autoZero"/>
        <c:crossBetween val="between"/>
      </c:valAx>
      <c:spPr>
        <a:noFill/>
        <a:ln w="25399">
          <a:noFill/>
        </a:ln>
      </c:spPr>
    </c:plotArea>
    <c:legend>
      <c:legendPos val="b"/>
      <c:layout>
        <c:manualLayout>
          <c:xMode val="edge"/>
          <c:yMode val="edge"/>
          <c:x val="0.12671232876712329"/>
          <c:y val="1.4925373134328358E-2"/>
          <c:w val="0.8595890410958904"/>
          <c:h val="0.17910447761194029"/>
        </c:manualLayout>
      </c:layout>
      <c:overlay val="0"/>
      <c:spPr>
        <a:noFill/>
        <a:ln w="25399">
          <a:noFill/>
        </a:ln>
      </c:spPr>
      <c:txPr>
        <a:bodyPr/>
        <a:lstStyle/>
        <a:p>
          <a:pPr>
            <a:defRPr sz="735" b="0" i="0" u="none" strike="noStrike" baseline="0">
              <a:solidFill>
                <a:srgbClr val="000000"/>
              </a:solidFill>
              <a:latin typeface="Arial"/>
              <a:ea typeface="Arial"/>
              <a:cs typeface="Arial"/>
            </a:defRPr>
          </a:pPr>
          <a:endParaRPr lang="ar-SA"/>
        </a:p>
      </c:txPr>
    </c:legend>
    <c:plotVisOnly val="1"/>
    <c:dispBlanksAs val="zero"/>
    <c:showDLblsOverMax val="0"/>
  </c:chart>
  <c:spPr>
    <a:noFill/>
    <a:ln>
      <a:noFill/>
    </a:ln>
  </c:spPr>
  <c:txPr>
    <a:bodyPr/>
    <a:lstStyle/>
    <a:p>
      <a:pPr>
        <a:defRPr sz="850" b="1" i="0" u="none" strike="noStrike" baseline="0">
          <a:solidFill>
            <a:srgbClr val="000000"/>
          </a:solidFill>
          <a:latin typeface="Calibri"/>
          <a:ea typeface="Calibri"/>
          <a:cs typeface="Calibri"/>
        </a:defRPr>
      </a:pPr>
      <a:endParaRPr lang="ar-S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35691318327975"/>
          <c:y val="0.11290322580645161"/>
          <c:w val="0.8038585209003215"/>
          <c:h val="0.57526881720430112"/>
        </c:manualLayout>
      </c:layout>
      <c:barChart>
        <c:barDir val="col"/>
        <c:grouping val="clustered"/>
        <c:varyColors val="0"/>
        <c:ser>
          <c:idx val="0"/>
          <c:order val="0"/>
          <c:tx>
            <c:strRef>
              <c:f>Sheet1!$A$2</c:f>
              <c:strCache>
                <c:ptCount val="1"/>
                <c:pt idx="0">
                  <c:v>عدد مشتركي الانترنت فائق السرعة</c:v>
                </c:pt>
              </c:strCache>
            </c:strRef>
          </c:tx>
          <c:spPr>
            <a:solidFill>
              <a:srgbClr val="9999FF"/>
            </a:solidFill>
            <a:ln w="12699">
              <a:solidFill>
                <a:srgbClr val="000000"/>
              </a:solidFill>
              <a:prstDash val="solid"/>
            </a:ln>
          </c:spPr>
          <c:invertIfNegative val="0"/>
          <c:dLbls>
            <c:spPr>
              <a:noFill/>
              <a:ln w="25398">
                <a:noFill/>
              </a:ln>
            </c:spPr>
            <c:txPr>
              <a:bodyPr wrap="square" lIns="38100" tIns="19050" rIns="38100" bIns="19050" anchor="ctr">
                <a:spAutoFit/>
              </a:bodyPr>
              <a:lstStyle/>
              <a:p>
                <a:pPr>
                  <a:defRPr sz="800" b="1" i="0" u="none" strike="noStrike" baseline="0">
                    <a:solidFill>
                      <a:srgbClr val="000000"/>
                    </a:solidFill>
                    <a:latin typeface="Arial"/>
                    <a:ea typeface="Arial"/>
                    <a:cs typeface="Arial"/>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Sheet1!$B$1:$I$1</c:f>
              <c:numCache>
                <c:formatCode>General</c:formatCode>
                <c:ptCount val="8"/>
                <c:pt idx="0">
                  <c:v>2010</c:v>
                </c:pt>
                <c:pt idx="1">
                  <c:v>2012</c:v>
                </c:pt>
                <c:pt idx="2">
                  <c:v>2014</c:v>
                </c:pt>
                <c:pt idx="3">
                  <c:v>2016</c:v>
                </c:pt>
                <c:pt idx="4">
                  <c:v>2018</c:v>
                </c:pt>
                <c:pt idx="5">
                  <c:v>2020</c:v>
                </c:pt>
                <c:pt idx="6">
                  <c:v>2021</c:v>
                </c:pt>
                <c:pt idx="7">
                  <c:v>2022</c:v>
                </c:pt>
              </c:numCache>
            </c:numRef>
          </c:cat>
          <c:val>
            <c:numRef>
              <c:f>Sheet1!$B$2:$I$2</c:f>
              <c:numCache>
                <c:formatCode>General</c:formatCode>
                <c:ptCount val="8"/>
                <c:pt idx="0">
                  <c:v>119</c:v>
                </c:pt>
                <c:pt idx="1">
                  <c:v>185</c:v>
                </c:pt>
                <c:pt idx="2">
                  <c:v>235</c:v>
                </c:pt>
                <c:pt idx="3">
                  <c:v>321</c:v>
                </c:pt>
                <c:pt idx="4">
                  <c:v>361</c:v>
                </c:pt>
                <c:pt idx="5">
                  <c:v>372</c:v>
                </c:pt>
                <c:pt idx="6">
                  <c:v>403</c:v>
                </c:pt>
                <c:pt idx="7">
                  <c:v>358</c:v>
                </c:pt>
              </c:numCache>
            </c:numRef>
          </c:val>
          <c:extLst>
            <c:ext xmlns:c16="http://schemas.microsoft.com/office/drawing/2014/chart" uri="{C3380CC4-5D6E-409C-BE32-E72D297353CC}">
              <c16:uniqueId val="{00000000-D9F1-4686-9955-F46D7AAE3760}"/>
            </c:ext>
          </c:extLst>
        </c:ser>
        <c:dLbls>
          <c:showLegendKey val="0"/>
          <c:showVal val="0"/>
          <c:showCatName val="0"/>
          <c:showSerName val="0"/>
          <c:showPercent val="0"/>
          <c:showBubbleSize val="0"/>
        </c:dLbls>
        <c:gapWidth val="150"/>
        <c:axId val="196323488"/>
        <c:axId val="1"/>
      </c:barChart>
      <c:catAx>
        <c:axId val="196323488"/>
        <c:scaling>
          <c:orientation val="minMax"/>
        </c:scaling>
        <c:delete val="0"/>
        <c:axPos val="b"/>
        <c:title>
          <c:tx>
            <c:rich>
              <a:bodyPr/>
              <a:lstStyle/>
              <a:p>
                <a:pPr>
                  <a:defRPr sz="900" b="1" i="0" u="none" strike="noStrike" baseline="0">
                    <a:solidFill>
                      <a:srgbClr val="000000"/>
                    </a:solidFill>
                    <a:latin typeface="Calibri"/>
                    <a:ea typeface="Calibri"/>
                    <a:cs typeface="Calibri"/>
                  </a:defRPr>
                </a:pPr>
                <a:r>
                  <a:rPr lang="en-US"/>
                  <a:t>Year</a:t>
                </a:r>
              </a:p>
            </c:rich>
          </c:tx>
          <c:layout>
            <c:manualLayout>
              <c:xMode val="edge"/>
              <c:yMode val="edge"/>
              <c:x val="0.5562700964630225"/>
              <c:y val="0.82795698924731187"/>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ar-SA"/>
          </a:p>
        </c:txPr>
        <c:crossAx val="1"/>
        <c:crosses val="autoZero"/>
        <c:auto val="1"/>
        <c:lblAlgn val="ctr"/>
        <c:lblOffset val="100"/>
        <c:tickLblSkip val="1"/>
        <c:tickMarkSkip val="1"/>
        <c:noMultiLvlLbl val="0"/>
      </c:catAx>
      <c:valAx>
        <c:axId val="1"/>
        <c:scaling>
          <c:orientation val="minMax"/>
        </c:scaling>
        <c:delete val="0"/>
        <c:axPos val="l"/>
        <c:title>
          <c:tx>
            <c:rich>
              <a:bodyPr/>
              <a:lstStyle/>
              <a:p>
                <a:pPr>
                  <a:defRPr sz="800" b="1" i="0" u="none" strike="noStrike" baseline="0">
                    <a:solidFill>
                      <a:srgbClr val="000000"/>
                    </a:solidFill>
                    <a:latin typeface="Arial"/>
                    <a:ea typeface="Arial"/>
                    <a:cs typeface="Arial"/>
                  </a:defRPr>
                </a:pPr>
                <a:r>
                  <a:rPr lang="en-US"/>
                  <a:t>Number (Thousands</a:t>
                </a:r>
              </a:p>
            </c:rich>
          </c:tx>
          <c:layout>
            <c:manualLayout>
              <c:xMode val="edge"/>
              <c:yMode val="edge"/>
              <c:x val="3.8585209003215437E-2"/>
              <c:y val="8.0645161290322578E-2"/>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ar-SA"/>
          </a:p>
        </c:txPr>
        <c:crossAx val="196323488"/>
        <c:crosses val="autoZero"/>
        <c:crossBetween val="between"/>
      </c:valAx>
      <c:spPr>
        <a:solidFill>
          <a:srgbClr val="FFFFFF"/>
        </a:solidFill>
        <a:ln w="25398">
          <a:noFill/>
        </a:ln>
      </c:spPr>
    </c:plotArea>
    <c:plotVisOnly val="1"/>
    <c:dispBlanksAs val="gap"/>
    <c:showDLblsOverMax val="0"/>
  </c:chart>
  <c:spPr>
    <a:noFill/>
    <a:ln>
      <a:noFill/>
    </a:ln>
  </c:spPr>
  <c:txPr>
    <a:bodyPr/>
    <a:lstStyle/>
    <a:p>
      <a:pPr>
        <a:defRPr sz="825" b="1" i="0" u="none" strike="noStrike" baseline="0">
          <a:solidFill>
            <a:srgbClr val="000000"/>
          </a:solidFill>
          <a:latin typeface="Calibri"/>
          <a:ea typeface="Calibri"/>
          <a:cs typeface="Calibri"/>
        </a:defRPr>
      </a:pPr>
      <a:endParaRPr lang="ar-S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668548666143419"/>
          <c:y val="0.2638888888888889"/>
          <c:w val="0.81520891882083868"/>
          <c:h val="0.48463798085845328"/>
        </c:manualLayout>
      </c:layout>
      <c:barChart>
        <c:barDir val="col"/>
        <c:grouping val="clustered"/>
        <c:varyColors val="0"/>
        <c:ser>
          <c:idx val="0"/>
          <c:order val="0"/>
          <c:tx>
            <c:strRef>
              <c:f>Sheet1!$A$2</c:f>
              <c:strCache>
                <c:ptCount val="1"/>
                <c:pt idx="0">
                  <c:v>West Bank</c:v>
                </c:pt>
              </c:strCache>
            </c:strRef>
          </c:tx>
          <c:spPr>
            <a:solidFill>
              <a:srgbClr val="9999FF"/>
            </a:solidFill>
            <a:ln w="11865">
              <a:solidFill>
                <a:srgbClr val="000000"/>
              </a:solidFill>
              <a:prstDash val="solid"/>
            </a:ln>
          </c:spPr>
          <c:invertIfNegative val="0"/>
          <c:dLbls>
            <c:dLbl>
              <c:idx val="1"/>
              <c:layout>
                <c:manualLayout>
                  <c:x val="-1.2042939970124289E-2"/>
                  <c:y val="-3.401245298883096E-2"/>
                </c:manualLayout>
              </c:layout>
              <c:spPr>
                <a:noFill/>
                <a:ln w="23730">
                  <a:noFill/>
                </a:ln>
              </c:spPr>
              <c:txPr>
                <a:bodyPr wrap="square" lIns="38100" tIns="19050" rIns="38100" bIns="19050" anchor="ctr">
                  <a:spAutoFit/>
                </a:bodyPr>
                <a:lstStyle/>
                <a:p>
                  <a:pPr>
                    <a:defRPr/>
                  </a:pPr>
                  <a:endParaRPr lang="ar-S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D25-4DFB-8BEA-986CA2425DC3}"/>
                </c:ext>
              </c:extLst>
            </c:dLbl>
            <c:spPr>
              <a:noFill/>
              <a:ln w="2373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Sales via the Internet</c:v>
                </c:pt>
                <c:pt idx="1">
                  <c:v>Sales via Social Media Networks</c:v>
                </c:pt>
              </c:strCache>
            </c:strRef>
          </c:cat>
          <c:val>
            <c:numRef>
              <c:f>Sheet1!$B$2:$C$2</c:f>
              <c:numCache>
                <c:formatCode>General</c:formatCode>
                <c:ptCount val="2"/>
                <c:pt idx="0">
                  <c:v>55.9</c:v>
                </c:pt>
                <c:pt idx="1">
                  <c:v>53.3</c:v>
                </c:pt>
              </c:numCache>
            </c:numRef>
          </c:val>
          <c:extLst>
            <c:ext xmlns:c16="http://schemas.microsoft.com/office/drawing/2014/chart" uri="{C3380CC4-5D6E-409C-BE32-E72D297353CC}">
              <c16:uniqueId val="{00000001-AD25-4DFB-8BEA-986CA2425DC3}"/>
            </c:ext>
          </c:extLst>
        </c:ser>
        <c:ser>
          <c:idx val="1"/>
          <c:order val="1"/>
          <c:tx>
            <c:strRef>
              <c:f>Sheet1!$A$3</c:f>
              <c:strCache>
                <c:ptCount val="1"/>
                <c:pt idx="0">
                  <c:v>Gaza Strip</c:v>
                </c:pt>
              </c:strCache>
            </c:strRef>
          </c:tx>
          <c:spPr>
            <a:solidFill>
              <a:srgbClr val="993366"/>
            </a:solidFill>
            <a:ln w="11865">
              <a:solidFill>
                <a:srgbClr val="000000"/>
              </a:solidFill>
              <a:prstDash val="solid"/>
            </a:ln>
          </c:spPr>
          <c:invertIfNegative val="0"/>
          <c:dLbls>
            <c:dLbl>
              <c:idx val="0"/>
              <c:layout>
                <c:manualLayout>
                  <c:x val="-1.8049472111805742E-3"/>
                  <c:y val="7.0989989887628169E-3"/>
                </c:manualLayout>
              </c:layout>
              <c:spPr>
                <a:noFill/>
                <a:ln w="23730">
                  <a:noFill/>
                </a:ln>
              </c:spPr>
              <c:txPr>
                <a:bodyPr wrap="square" lIns="38100" tIns="19050" rIns="38100" bIns="19050" anchor="ctr">
                  <a:spAutoFit/>
                </a:bodyPr>
                <a:lstStyle/>
                <a:p>
                  <a:pPr>
                    <a:defRPr/>
                  </a:pPr>
                  <a:endParaRPr lang="ar-SA"/>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D25-4DFB-8BEA-986CA2425DC3}"/>
                </c:ext>
              </c:extLst>
            </c:dLbl>
            <c:spPr>
              <a:noFill/>
              <a:ln w="2373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Sales via the Internet</c:v>
                </c:pt>
                <c:pt idx="1">
                  <c:v>Sales via Social Media Networks</c:v>
                </c:pt>
              </c:strCache>
            </c:strRef>
          </c:cat>
          <c:val>
            <c:numRef>
              <c:f>Sheet1!$B$3:$C$3</c:f>
              <c:numCache>
                <c:formatCode>General</c:formatCode>
                <c:ptCount val="2"/>
                <c:pt idx="0">
                  <c:v>43.7</c:v>
                </c:pt>
                <c:pt idx="1">
                  <c:v>40.9</c:v>
                </c:pt>
              </c:numCache>
            </c:numRef>
          </c:val>
          <c:extLst>
            <c:ext xmlns:c16="http://schemas.microsoft.com/office/drawing/2014/chart" uri="{C3380CC4-5D6E-409C-BE32-E72D297353CC}">
              <c16:uniqueId val="{00000003-AD25-4DFB-8BEA-986CA2425DC3}"/>
            </c:ext>
          </c:extLst>
        </c:ser>
        <c:dLbls>
          <c:showLegendKey val="0"/>
          <c:showVal val="0"/>
          <c:showCatName val="0"/>
          <c:showSerName val="0"/>
          <c:showPercent val="0"/>
          <c:showBubbleSize val="0"/>
        </c:dLbls>
        <c:gapWidth val="150"/>
        <c:axId val="196332824"/>
        <c:axId val="1"/>
      </c:barChart>
      <c:catAx>
        <c:axId val="196332824"/>
        <c:scaling>
          <c:orientation val="minMax"/>
        </c:scaling>
        <c:delete val="0"/>
        <c:axPos val="b"/>
        <c:numFmt formatCode="General" sourceLinked="1"/>
        <c:majorTickMark val="out"/>
        <c:minorTickMark val="none"/>
        <c:tickLblPos val="nextTo"/>
        <c:spPr>
          <a:ln w="2967">
            <a:solidFill>
              <a:srgbClr val="000000"/>
            </a:solidFill>
            <a:prstDash val="solid"/>
          </a:ln>
        </c:spPr>
        <c:txPr>
          <a:bodyPr rot="0" vert="horz"/>
          <a:lstStyle/>
          <a:p>
            <a:pPr>
              <a:defRPr>
                <a:solidFill>
                  <a:sysClr val="windowText" lastClr="000000"/>
                </a:solidFill>
              </a:defRPr>
            </a:pPr>
            <a:endParaRPr lang="ar-SA"/>
          </a:p>
        </c:txPr>
        <c:crossAx val="1"/>
        <c:crosses val="autoZero"/>
        <c:auto val="1"/>
        <c:lblAlgn val="ctr"/>
        <c:lblOffset val="100"/>
        <c:tickLblSkip val="1"/>
        <c:tickMarkSkip val="1"/>
        <c:noMultiLvlLbl val="0"/>
      </c:catAx>
      <c:valAx>
        <c:axId val="1"/>
        <c:scaling>
          <c:orientation val="minMax"/>
        </c:scaling>
        <c:delete val="0"/>
        <c:axPos val="l"/>
        <c:title>
          <c:tx>
            <c:rich>
              <a:bodyPr/>
              <a:lstStyle/>
              <a:p>
                <a:pPr>
                  <a:defRPr sz="747" b="1" i="0" u="none" strike="noStrike" baseline="0">
                    <a:solidFill>
                      <a:srgbClr val="000000"/>
                    </a:solidFill>
                    <a:latin typeface="Simplified Arabic"/>
                    <a:ea typeface="Simplified Arabic"/>
                    <a:cs typeface="Simplified Arabic"/>
                  </a:defRPr>
                </a:pPr>
                <a:r>
                  <a:rPr lang="en-US"/>
                  <a:t>Percentage</a:t>
                </a:r>
              </a:p>
            </c:rich>
          </c:tx>
          <c:layout>
            <c:manualLayout>
              <c:xMode val="edge"/>
              <c:yMode val="edge"/>
              <c:x val="0"/>
              <c:y val="0.38888870274194454"/>
            </c:manualLayout>
          </c:layout>
          <c:overlay val="0"/>
          <c:spPr>
            <a:noFill/>
            <a:ln w="23730">
              <a:noFill/>
            </a:ln>
          </c:spPr>
        </c:title>
        <c:numFmt formatCode="General" sourceLinked="1"/>
        <c:majorTickMark val="out"/>
        <c:minorTickMark val="none"/>
        <c:tickLblPos val="nextTo"/>
        <c:spPr>
          <a:ln w="2967">
            <a:solidFill>
              <a:srgbClr val="000000"/>
            </a:solidFill>
            <a:prstDash val="solid"/>
          </a:ln>
        </c:spPr>
        <c:txPr>
          <a:bodyPr rot="0" vert="horz"/>
          <a:lstStyle/>
          <a:p>
            <a:pPr>
              <a:defRPr/>
            </a:pPr>
            <a:endParaRPr lang="ar-SA"/>
          </a:p>
        </c:txPr>
        <c:crossAx val="196332824"/>
        <c:crosses val="autoZero"/>
        <c:crossBetween val="between"/>
      </c:valAx>
      <c:spPr>
        <a:solidFill>
          <a:srgbClr val="FFFFFF"/>
        </a:solidFill>
        <a:ln w="23730">
          <a:noFill/>
        </a:ln>
      </c:spPr>
    </c:plotArea>
    <c:legend>
      <c:legendPos val="t"/>
      <c:layout>
        <c:manualLayout>
          <c:xMode val="edge"/>
          <c:yMode val="edge"/>
          <c:x val="0.26333324613493081"/>
          <c:y val="2.0833193723125035E-2"/>
          <c:w val="0.49333333333333329"/>
          <c:h val="0.15277768470430558"/>
        </c:manualLayout>
      </c:layout>
      <c:overlay val="0"/>
      <c:spPr>
        <a:solidFill>
          <a:srgbClr val="FFFFFF"/>
        </a:solidFill>
        <a:ln w="2967">
          <a:solidFill>
            <a:srgbClr val="000000"/>
          </a:solidFill>
          <a:prstDash val="solid"/>
        </a:ln>
      </c:spPr>
    </c:legend>
    <c:plotVisOnly val="1"/>
    <c:dispBlanksAs val="gap"/>
    <c:showDLblsOverMax val="0"/>
  </c:chart>
  <c:spPr>
    <a:noFill/>
    <a:ln>
      <a:noFill/>
    </a:ln>
  </c:spPr>
  <c:txPr>
    <a:bodyPr/>
    <a:lstStyle/>
    <a:p>
      <a:pPr>
        <a:defRPr sz="747" b="1" i="0" u="none" strike="noStrike" baseline="0">
          <a:solidFill>
            <a:srgbClr val="000000"/>
          </a:solidFill>
          <a:latin typeface="Simplified Arabic" panose="02020603050405020304" pitchFamily="18" charset="-78"/>
          <a:ea typeface="Calibri"/>
          <a:cs typeface="Simplified Arabic" panose="02020603050405020304" pitchFamily="18" charset="-78"/>
        </a:defRPr>
      </a:pPr>
      <a:endParaRPr lang="ar-SA"/>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1D559-01F7-4088-B81F-4702E3722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5872</CharactersWithSpaces>
  <SharedDoc>false</SharedDoc>
  <HLinks>
    <vt:vector size="30" baseType="variant">
      <vt:variant>
        <vt:i4>3276849</vt:i4>
      </vt:variant>
      <vt:variant>
        <vt:i4>18</vt:i4>
      </vt:variant>
      <vt:variant>
        <vt:i4>0</vt:i4>
      </vt:variant>
      <vt:variant>
        <vt:i4>5</vt:i4>
      </vt:variant>
      <vt:variant>
        <vt:lpwstr>http://www.mtit.pna.ps/</vt:lpwstr>
      </vt:variant>
      <vt:variant>
        <vt:lpwstr/>
      </vt:variant>
      <vt:variant>
        <vt:i4>589931</vt:i4>
      </vt:variant>
      <vt:variant>
        <vt:i4>15</vt:i4>
      </vt:variant>
      <vt:variant>
        <vt:i4>0</vt:i4>
      </vt:variant>
      <vt:variant>
        <vt:i4>5</vt:i4>
      </vt:variant>
      <vt:variant>
        <vt:lpwstr>mailto:r@mtit.pna.ps</vt:lpwstr>
      </vt:variant>
      <vt:variant>
        <vt:lpwstr/>
      </vt:variant>
      <vt:variant>
        <vt:i4>2424865</vt:i4>
      </vt:variant>
      <vt:variant>
        <vt:i4>12</vt:i4>
      </vt:variant>
      <vt:variant>
        <vt:i4>0</vt:i4>
      </vt:variant>
      <vt:variant>
        <vt:i4>5</vt:i4>
      </vt:variant>
      <vt:variant>
        <vt:lpwstr>http://www.pcbs.gov.ps/</vt:lpwstr>
      </vt:variant>
      <vt:variant>
        <vt:lpwstr/>
      </vt:variant>
      <vt:variant>
        <vt:i4>1114227</vt:i4>
      </vt:variant>
      <vt:variant>
        <vt:i4>9</vt:i4>
      </vt:variant>
      <vt:variant>
        <vt:i4>0</vt:i4>
      </vt:variant>
      <vt:variant>
        <vt:i4>5</vt:i4>
      </vt:variant>
      <vt:variant>
        <vt:lpwstr>mailto:diwan@pcbs.gov.ps</vt:lpwstr>
      </vt:variant>
      <vt:variant>
        <vt:lpwstr/>
      </vt:variant>
      <vt:variant>
        <vt:i4>6356997</vt:i4>
      </vt:variant>
      <vt:variant>
        <vt:i4>8905</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kakhalid</dc:creator>
  <cp:keywords/>
  <cp:lastModifiedBy>Hadeel Badran</cp:lastModifiedBy>
  <cp:revision>5</cp:revision>
  <cp:lastPrinted>2023-05-16T06:22:00Z</cp:lastPrinted>
  <dcterms:created xsi:type="dcterms:W3CDTF">2023-05-16T06:46:00Z</dcterms:created>
  <dcterms:modified xsi:type="dcterms:W3CDTF">2023-05-16T07:52:00Z</dcterms:modified>
</cp:coreProperties>
</file>