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49" w:rsidRDefault="008C4849" w:rsidP="008C4849">
      <w:pPr>
        <w:bidi w:val="0"/>
        <w:spacing w:after="0"/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C4849" w:rsidRDefault="008C4849" w:rsidP="008C4849">
      <w:pPr>
        <w:bidi w:val="0"/>
        <w:spacing w:after="0"/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85A32" w:rsidRDefault="00AC0033" w:rsidP="00D85A32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  <w:r w:rsidRPr="00D85A32">
        <w:rPr>
          <w:rFonts w:eastAsia="Times New Roman"/>
          <w:color w:val="auto"/>
          <w:sz w:val="28"/>
          <w:szCs w:val="28"/>
          <w:u w:val="none"/>
        </w:rPr>
        <w:t xml:space="preserve">Palestinian Central Bureau of Statistics (PCBS) and </w:t>
      </w:r>
      <w:r w:rsidRPr="00D85A32">
        <w:rPr>
          <w:rStyle w:val="longtext"/>
          <w:sz w:val="28"/>
          <w:szCs w:val="28"/>
          <w:u w:val="none"/>
          <w:shd w:val="clear" w:color="auto" w:fill="FFFFFF"/>
        </w:rPr>
        <w:t>the Ministry of Tourism and Antiquities</w:t>
      </w:r>
      <w:r w:rsidRPr="00D85A32">
        <w:rPr>
          <w:rFonts w:eastAsia="Times New Roman"/>
          <w:color w:val="auto"/>
          <w:sz w:val="28"/>
          <w:szCs w:val="28"/>
          <w:u w:val="none"/>
        </w:rPr>
        <w:t xml:space="preserve"> (MOTA)</w:t>
      </w:r>
    </w:p>
    <w:p w:rsidR="00EF61D1" w:rsidRDefault="00EF61D1" w:rsidP="00D85A32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</w:p>
    <w:p w:rsidR="00EF61D1" w:rsidRPr="00EF61D1" w:rsidRDefault="00EF61D1" w:rsidP="00EF61D1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  <w:r w:rsidRPr="00EF61D1">
        <w:rPr>
          <w:rStyle w:val="longtext"/>
          <w:sz w:val="28"/>
          <w:szCs w:val="28"/>
          <w:u w:val="none"/>
          <w:shd w:val="clear" w:color="auto" w:fill="FFFFFF"/>
        </w:rPr>
        <w:t>World Tourism Day 27/09/2016</w:t>
      </w:r>
    </w:p>
    <w:p w:rsidR="00AC0033" w:rsidRPr="00D85A32" w:rsidRDefault="00AC0033" w:rsidP="00D85A32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  <w:r w:rsidRPr="00D85A32">
        <w:rPr>
          <w:rFonts w:eastAsia="Times New Roman"/>
          <w:color w:val="auto"/>
          <w:sz w:val="28"/>
          <w:szCs w:val="28"/>
          <w:u w:val="none"/>
        </w:rPr>
        <w:t xml:space="preserve"> </w:t>
      </w:r>
    </w:p>
    <w:p w:rsidR="008C4849" w:rsidRPr="00D85A32" w:rsidRDefault="008C4849" w:rsidP="00D85A32">
      <w:pPr>
        <w:bidi w:val="0"/>
        <w:spacing w:after="0" w:line="240" w:lineRule="auto"/>
        <w:jc w:val="center"/>
        <w:rPr>
          <w:rStyle w:val="longtext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85A32">
        <w:rPr>
          <w:rStyle w:val="longtext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More than 2 Million Visits to Tourist Sites in the West Bank in the First Half of 2016</w:t>
      </w:r>
    </w:p>
    <w:p w:rsidR="00D85A32" w:rsidRPr="00D85A32" w:rsidRDefault="00D85A32" w:rsidP="008C4849">
      <w:pPr>
        <w:shd w:val="clear" w:color="auto" w:fill="FFFFFF" w:themeFill="background1"/>
        <w:bidi w:val="0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C4849" w:rsidRPr="00E310ED" w:rsidRDefault="008C4849" w:rsidP="00D85A32">
      <w:pPr>
        <w:shd w:val="clear" w:color="auto" w:fill="FFFFFF" w:themeFill="background1"/>
        <w:bidi w:val="0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World Tourism Day on September 27, the Palestinian Central Bureau of Statistics, in collaboration with the Ministry of Tourism and Antiquities, presents the following facts on tourism in Palestine.</w:t>
      </w:r>
    </w:p>
    <w:p w:rsidR="008C4849" w:rsidRPr="00AC0033" w:rsidRDefault="008C4849" w:rsidP="008C4849">
      <w:pPr>
        <w:shd w:val="clear" w:color="auto" w:fill="FFFFFF" w:themeFill="background1"/>
        <w:bidi w:val="0"/>
        <w:spacing w:before="120" w:after="120" w:line="240" w:lineRule="auto"/>
        <w:jc w:val="both"/>
        <w:textAlignment w:val="top"/>
        <w:rPr>
          <w:rStyle w:val="longtext"/>
          <w:rFonts w:asciiTheme="majorBidi" w:hAnsiTheme="majorBidi" w:cstheme="majorBidi"/>
          <w:sz w:val="16"/>
          <w:szCs w:val="16"/>
          <w:shd w:val="clear" w:color="auto" w:fill="FFFFFF"/>
        </w:rPr>
      </w:pPr>
    </w:p>
    <w:p w:rsidR="008C4849" w:rsidRPr="00E310ED" w:rsidRDefault="008C4849" w:rsidP="008C4849">
      <w:pPr>
        <w:shd w:val="clear" w:color="auto" w:fill="FFFFFF" w:themeFill="background1"/>
        <w:bidi w:val="0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During the first half of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2016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around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2.07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million visits were made to tourist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and leisure sites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West Bank. These included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952 thousand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visits by inbound visitors</w:t>
      </w:r>
      <w:r w:rsidRPr="0044567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1.12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million visits by</w:t>
      </w:r>
      <w:r w:rsidRPr="00113DC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domestic visitors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The number of inbound and domestic visits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E44CD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ecreased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by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%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and 32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respectively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compared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same period in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C4849" w:rsidRDefault="008C4849" w:rsidP="008C4849">
      <w:pPr>
        <w:shd w:val="clear" w:color="auto" w:fill="FFFFFF" w:themeFill="background1"/>
        <w:bidi w:val="0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Most inbound visits were to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Jericho and Al-Aghwar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overnorate with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followed by Bethlehem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overnorate with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%,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and Jenin and Nablus G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overnorate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with 16% and 14% respectively.</w:t>
      </w:r>
    </w:p>
    <w:p w:rsidR="008C4849" w:rsidRPr="00AC0033" w:rsidRDefault="008C4849" w:rsidP="008C4849">
      <w:pPr>
        <w:shd w:val="clear" w:color="auto" w:fill="FFFFFF" w:themeFill="background1"/>
        <w:bidi w:val="0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16"/>
          <w:szCs w:val="16"/>
          <w:shd w:val="clear" w:color="auto" w:fill="FFFFFF"/>
        </w:rPr>
      </w:pPr>
      <w:r w:rsidRPr="00AC0033">
        <w:rPr>
          <w:rStyle w:val="longtext"/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8C4849" w:rsidRPr="00AC0033" w:rsidRDefault="008C4849" w:rsidP="008C4849">
      <w:pPr>
        <w:shd w:val="clear" w:color="auto" w:fill="FFFFFF" w:themeFill="background1"/>
        <w:bidi w:val="0"/>
        <w:jc w:val="center"/>
        <w:rPr>
          <w:rStyle w:val="shorttext"/>
          <w:rFonts w:asciiTheme="majorBidi" w:hAnsiTheme="majorBidi" w:cstheme="majorBidi"/>
          <w:b/>
          <w:bCs/>
          <w:sz w:val="25"/>
          <w:szCs w:val="25"/>
        </w:rPr>
      </w:pPr>
      <w:r w:rsidRPr="00AC0033">
        <w:rPr>
          <w:rStyle w:val="shorttext"/>
          <w:rFonts w:asciiTheme="majorBidi" w:hAnsiTheme="majorBidi" w:cstheme="majorBidi"/>
          <w:b/>
          <w:bCs/>
          <w:sz w:val="25"/>
          <w:szCs w:val="25"/>
        </w:rPr>
        <w:t>Number of Inbound Visits During the First  Half of Years (2008-2016)</w:t>
      </w:r>
      <w:r w:rsidRPr="00AC0033">
        <w:rPr>
          <w:rStyle w:val="shorttext"/>
          <w:rFonts w:asciiTheme="majorBidi" w:hAnsiTheme="majorBidi" w:cstheme="majorBidi"/>
          <w:b/>
          <w:bCs/>
          <w:sz w:val="25"/>
          <w:szCs w:val="25"/>
          <w:rtl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4971"/>
      </w:tblGrid>
      <w:tr w:rsidR="008C4849" w:rsidRPr="00BB58CE" w:rsidTr="00AC0033">
        <w:trPr>
          <w:trHeight w:val="3860"/>
          <w:jc w:val="center"/>
        </w:trPr>
        <w:tc>
          <w:tcPr>
            <w:tcW w:w="4971" w:type="dxa"/>
          </w:tcPr>
          <w:p w:rsidR="008C4849" w:rsidRPr="00BB58CE" w:rsidRDefault="008C4849" w:rsidP="00A423BD">
            <w:pPr>
              <w:pStyle w:val="Title"/>
              <w:shd w:val="clear" w:color="auto" w:fill="FFFFFF" w:themeFill="background1"/>
              <w:jc w:val="both"/>
              <w:rPr>
                <w:rStyle w:val="longtext"/>
                <w:shd w:val="clear" w:color="auto" w:fill="FFFFFF"/>
              </w:rPr>
            </w:pPr>
          </w:p>
          <w:p w:rsidR="008C4849" w:rsidRPr="00BB58CE" w:rsidRDefault="008C4849" w:rsidP="00A423BD">
            <w:pPr>
              <w:bidi w:val="0"/>
              <w:spacing w:after="100"/>
              <w:textAlignment w:val="top"/>
              <w:rPr>
                <w:rStyle w:val="longtext"/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BB58CE">
              <w:rPr>
                <w:rStyle w:val="longtext"/>
                <w:b/>
                <w:bCs/>
                <w:noProof/>
                <w:shd w:val="clear" w:color="auto" w:fill="FFFFFF"/>
              </w:rPr>
              <w:drawing>
                <wp:inline distT="0" distB="0" distL="0" distR="0">
                  <wp:extent cx="3000375" cy="2305050"/>
                  <wp:effectExtent l="19050" t="0" r="0" b="0"/>
                  <wp:docPr id="2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8C4849" w:rsidRPr="00AC0033" w:rsidRDefault="008C4849" w:rsidP="008C4849">
      <w:pPr>
        <w:bidi w:val="0"/>
        <w:spacing w:after="0"/>
        <w:jc w:val="both"/>
        <w:rPr>
          <w:rStyle w:val="longtext"/>
          <w:rFonts w:asciiTheme="majorBidi" w:hAnsiTheme="majorBidi" w:cstheme="majorBidi"/>
          <w:b/>
          <w:bCs/>
          <w:sz w:val="16"/>
          <w:szCs w:val="16"/>
          <w:shd w:val="clear" w:color="auto" w:fill="FFFFFF"/>
        </w:rPr>
      </w:pPr>
    </w:p>
    <w:p w:rsidR="008C4849" w:rsidRPr="00AC0033" w:rsidRDefault="008C4849" w:rsidP="00AC0033">
      <w:pPr>
        <w:bidi w:val="0"/>
        <w:spacing w:after="0"/>
        <w:jc w:val="both"/>
        <w:rPr>
          <w:rStyle w:val="longtext"/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</w:pPr>
      <w:r w:rsidRPr="00AC0033">
        <w:rPr>
          <w:rStyle w:val="longtext"/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More Than Half of the Inbound Visits by Residents from 1948 Occupied Palestine </w:t>
      </w:r>
    </w:p>
    <w:p w:rsidR="008C4849" w:rsidRDefault="008C4849" w:rsidP="008C4849">
      <w:pPr>
        <w:bidi w:val="0"/>
        <w:spacing w:after="0"/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Palestinians residing in areas occupied in 1948 accounted for </w:t>
      </w:r>
      <w:r w:rsidRPr="005A79D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largest proportion of inbound visitors with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54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514 thousand visits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779F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followed by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A779F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% from the United States</w:t>
      </w:r>
      <w:r w:rsidRPr="00D9570E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r w:rsidRPr="00A779F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66 thousand visits</w:t>
      </w:r>
      <w:r w:rsidRPr="00A779F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and the Russian Federation by 6% with 57 thousand visits</w:t>
      </w:r>
      <w:r w:rsidRPr="00A779F2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and then India by 3% with 24 thousand visits, while the nationalities of both Poland and Romania </w:t>
      </w:r>
      <w:r w:rsidRPr="00B0520C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are equally by 2% with 23 thousand visits for each,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while 26% were from other nationalities with 245 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thousand visits</w:t>
      </w:r>
      <w:r w:rsidRPr="009D52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rtl/>
        </w:rPr>
        <w:t>.</w:t>
      </w:r>
    </w:p>
    <w:p w:rsidR="008C4849" w:rsidRPr="00AC0033" w:rsidRDefault="008C4849" w:rsidP="008C4849">
      <w:pPr>
        <w:bidi w:val="0"/>
        <w:spacing w:after="0"/>
        <w:jc w:val="both"/>
        <w:rPr>
          <w:rStyle w:val="longtext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C4849" w:rsidRPr="00A80F49" w:rsidRDefault="008C4849" w:rsidP="008C4849">
      <w:pPr>
        <w:shd w:val="clear" w:color="auto" w:fill="FFFFFF" w:themeFill="background1"/>
        <w:bidi w:val="0"/>
        <w:spacing w:after="10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It should be noted that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nbound and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omestic visitor data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not include Jerusalem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A80F49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overnorate and Gaza Strip.</w:t>
      </w:r>
    </w:p>
    <w:p w:rsidR="008C4849" w:rsidRPr="00AC0033" w:rsidRDefault="008C4849" w:rsidP="008C4849">
      <w:pPr>
        <w:pStyle w:val="Title"/>
        <w:shd w:val="clear" w:color="auto" w:fill="FFFFFF" w:themeFill="background1"/>
        <w:jc w:val="both"/>
        <w:rPr>
          <w:rStyle w:val="longtext"/>
          <w:b w:val="0"/>
          <w:bCs w:val="0"/>
          <w:sz w:val="16"/>
          <w:szCs w:val="16"/>
          <w:shd w:val="clear" w:color="auto" w:fill="FFFFFF"/>
          <w:lang w:val="en-GB"/>
        </w:rPr>
      </w:pPr>
    </w:p>
    <w:p w:rsidR="00AC0033" w:rsidRDefault="00AC0033" w:rsidP="00AC0033">
      <w:pPr>
        <w:shd w:val="clear" w:color="auto" w:fill="FFFFFF" w:themeFill="background1"/>
        <w:bidi w:val="0"/>
        <w:jc w:val="lowKashida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C0033" w:rsidRDefault="008C4849" w:rsidP="00AC0033">
      <w:pPr>
        <w:shd w:val="clear" w:color="auto" w:fill="FFFFFF" w:themeFill="background1"/>
        <w:bidi w:val="0"/>
        <w:jc w:val="lowKashida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194</w:t>
      </w:r>
      <w:r w:rsidRPr="003A177D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Thousand Hotel Guests </w:t>
      </w:r>
      <w:r w:rsidRPr="003A177D">
        <w:rPr>
          <w:rFonts w:ascii="Times New Roman" w:hAnsi="Times New Roman" w:cs="Times New Roman"/>
          <w:b/>
          <w:bCs/>
          <w:sz w:val="24"/>
          <w:szCs w:val="24"/>
        </w:rPr>
        <w:t xml:space="preserve">Spent </w:t>
      </w:r>
      <w:r>
        <w:rPr>
          <w:rFonts w:ascii="Times New Roman" w:hAnsi="Times New Roman" w:cs="Times New Roman"/>
          <w:b/>
          <w:bCs/>
          <w:sz w:val="24"/>
          <w:szCs w:val="24"/>
        </w:rPr>
        <w:t>605</w:t>
      </w:r>
      <w:r w:rsidRPr="003A177D">
        <w:rPr>
          <w:rFonts w:ascii="Times New Roman" w:hAnsi="Times New Roman" w:cs="Times New Roman"/>
          <w:b/>
          <w:bCs/>
          <w:sz w:val="24"/>
          <w:szCs w:val="24"/>
        </w:rPr>
        <w:t xml:space="preserve"> Thousand Nights</w:t>
      </w:r>
      <w:r w:rsidRPr="003A177D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3A177D">
        <w:rPr>
          <w:rFonts w:asciiTheme="majorBidi" w:hAnsiTheme="majorBidi" w:cstheme="majorBidi"/>
          <w:b/>
          <w:bCs/>
          <w:sz w:val="24"/>
          <w:szCs w:val="24"/>
        </w:rPr>
        <w:t>uring the</w:t>
      </w:r>
      <w:r w:rsidRPr="003A177D">
        <w:rPr>
          <w:rStyle w:val="hps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A177D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First Half of 201</w:t>
      </w:r>
      <w:r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 in the West Bank Hotels</w:t>
      </w:r>
    </w:p>
    <w:p w:rsidR="008C4849" w:rsidRPr="00AC0033" w:rsidRDefault="008C4849" w:rsidP="00AC0033">
      <w:pPr>
        <w:shd w:val="clear" w:color="auto" w:fill="FFFFFF" w:themeFill="background1"/>
        <w:bidi w:val="0"/>
        <w:jc w:val="lowKashida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E76D2">
        <w:rPr>
          <w:rStyle w:val="longtext"/>
          <w:shd w:val="clear" w:color="auto" w:fill="FFFFFF"/>
        </w:rPr>
        <w:t>The number of hotel guests in the West Bank</w:t>
      </w:r>
      <w:r>
        <w:rPr>
          <w:rStyle w:val="longtext"/>
          <w:shd w:val="clear" w:color="auto" w:fill="FFFFFF"/>
        </w:rPr>
        <w:t xml:space="preserve"> </w:t>
      </w:r>
      <w:r w:rsidRPr="002124A5">
        <w:rPr>
          <w:rStyle w:val="longtext"/>
          <w:shd w:val="clear" w:color="auto" w:fill="FFFFFF"/>
        </w:rPr>
        <w:t>reached</w:t>
      </w:r>
      <w:r w:rsidRPr="009E76D2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193,745</w:t>
      </w:r>
      <w:r w:rsidRPr="009E76D2">
        <w:rPr>
          <w:rStyle w:val="longtext"/>
          <w:shd w:val="clear" w:color="auto" w:fill="FFFFFF"/>
        </w:rPr>
        <w:t xml:space="preserve"> hotel guests </w:t>
      </w:r>
      <w:r>
        <w:rPr>
          <w:rStyle w:val="longtext"/>
          <w:shd w:val="clear" w:color="auto" w:fill="FFFFFF"/>
        </w:rPr>
        <w:t>s</w:t>
      </w:r>
      <w:r w:rsidRPr="009E76D2">
        <w:rPr>
          <w:rStyle w:val="longtext"/>
          <w:shd w:val="clear" w:color="auto" w:fill="FFFFFF"/>
        </w:rPr>
        <w:t>pen</w:t>
      </w:r>
      <w:r>
        <w:rPr>
          <w:rStyle w:val="longtext"/>
          <w:shd w:val="clear" w:color="auto" w:fill="FFFFFF"/>
        </w:rPr>
        <w:t>ding</w:t>
      </w:r>
      <w:r w:rsidRPr="009E76D2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604,918</w:t>
      </w:r>
      <w:r w:rsidRPr="009E76D2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n</w:t>
      </w:r>
      <w:r w:rsidRPr="009E76D2">
        <w:rPr>
          <w:rStyle w:val="longtext"/>
          <w:shd w:val="clear" w:color="auto" w:fill="FFFFFF"/>
        </w:rPr>
        <w:t>ights</w:t>
      </w:r>
      <w:r>
        <w:rPr>
          <w:rStyle w:val="longtext"/>
          <w:shd w:val="clear" w:color="auto" w:fill="FFFFFF"/>
        </w:rPr>
        <w:t xml:space="preserve"> </w:t>
      </w:r>
      <w:r w:rsidRPr="002124A5">
        <w:rPr>
          <w:rStyle w:val="longtext"/>
          <w:shd w:val="clear" w:color="auto" w:fill="FFFFFF"/>
        </w:rPr>
        <w:t>in the first half of 201</w:t>
      </w:r>
      <w:r>
        <w:rPr>
          <w:rStyle w:val="longtext"/>
          <w:shd w:val="clear" w:color="auto" w:fill="FFFFFF"/>
        </w:rPr>
        <w:t>6</w:t>
      </w:r>
      <w:r w:rsidRPr="009E76D2">
        <w:rPr>
          <w:rStyle w:val="longtext"/>
          <w:shd w:val="clear" w:color="auto" w:fill="FFFFFF"/>
        </w:rPr>
        <w:t xml:space="preserve">, </w:t>
      </w:r>
      <w:r w:rsidRPr="002124A5">
        <w:rPr>
          <w:rStyle w:val="longtext"/>
          <w:shd w:val="clear" w:color="auto" w:fill="FFFFFF"/>
        </w:rPr>
        <w:t>showing a</w:t>
      </w:r>
      <w:r>
        <w:rPr>
          <w:rStyle w:val="longtext"/>
          <w:shd w:val="clear" w:color="auto" w:fill="FFFFFF"/>
        </w:rPr>
        <w:t xml:space="preserve"> decrease in guests of 20%</w:t>
      </w:r>
      <w:r w:rsidRPr="009E76D2">
        <w:rPr>
          <w:rStyle w:val="longtext"/>
          <w:shd w:val="clear" w:color="auto" w:fill="FFFFFF"/>
        </w:rPr>
        <w:t xml:space="preserve"> compared </w:t>
      </w:r>
      <w:r>
        <w:rPr>
          <w:rStyle w:val="longtext"/>
          <w:shd w:val="clear" w:color="auto" w:fill="FFFFFF"/>
        </w:rPr>
        <w:t>to</w:t>
      </w:r>
      <w:r w:rsidRPr="009E76D2">
        <w:rPr>
          <w:rStyle w:val="longtext"/>
          <w:shd w:val="clear" w:color="auto" w:fill="FFFFFF"/>
        </w:rPr>
        <w:t xml:space="preserve"> the first half of 201</w:t>
      </w:r>
      <w:r>
        <w:rPr>
          <w:rStyle w:val="longtext"/>
          <w:shd w:val="clear" w:color="auto" w:fill="FFFFFF"/>
        </w:rPr>
        <w:t>5</w:t>
      </w:r>
      <w:r w:rsidRPr="009E76D2">
        <w:rPr>
          <w:rStyle w:val="longtext"/>
          <w:shd w:val="clear" w:color="auto" w:fill="FFFFFF"/>
        </w:rPr>
        <w:t>.</w:t>
      </w:r>
    </w:p>
    <w:p w:rsidR="008C4849" w:rsidRPr="00AC0033" w:rsidRDefault="008C4849" w:rsidP="008C4849">
      <w:pPr>
        <w:pStyle w:val="Title"/>
        <w:shd w:val="clear" w:color="auto" w:fill="FFFFFF" w:themeFill="background1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tbl>
      <w:tblPr>
        <w:tblW w:w="5080" w:type="dxa"/>
        <w:jc w:val="center"/>
        <w:tblInd w:w="-860" w:type="dxa"/>
        <w:tblLayout w:type="fixed"/>
        <w:tblLook w:val="04A0"/>
      </w:tblPr>
      <w:tblGrid>
        <w:gridCol w:w="2270"/>
        <w:gridCol w:w="1350"/>
        <w:gridCol w:w="1412"/>
        <w:gridCol w:w="48"/>
      </w:tblGrid>
      <w:tr w:rsidR="008C4849" w:rsidRPr="00CC205F" w:rsidTr="00AC0033">
        <w:trPr>
          <w:gridAfter w:val="1"/>
          <w:wAfter w:w="48" w:type="dxa"/>
          <w:cantSplit/>
          <w:trHeight w:hRule="exact" w:val="702"/>
          <w:jc w:val="center"/>
        </w:trPr>
        <w:tc>
          <w:tcPr>
            <w:tcW w:w="5032" w:type="dxa"/>
            <w:gridSpan w:val="3"/>
            <w:tcBorders>
              <w:bottom w:val="single" w:sz="4" w:space="0" w:color="auto"/>
            </w:tcBorders>
          </w:tcPr>
          <w:p w:rsidR="008C4849" w:rsidRDefault="008C4849" w:rsidP="00A423BD">
            <w:pPr>
              <w:shd w:val="clear" w:color="auto" w:fill="FFFFFF" w:themeFill="background1"/>
              <w:jc w:val="center"/>
              <w:rPr>
                <w:rStyle w:val="hps"/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C0033">
              <w:rPr>
                <w:rStyle w:val="shorttext"/>
                <w:rFonts w:asciiTheme="majorBidi" w:hAnsiTheme="majorBidi" w:cstheme="majorBidi"/>
                <w:b/>
                <w:bCs/>
                <w:sz w:val="25"/>
                <w:szCs w:val="25"/>
              </w:rPr>
              <w:t xml:space="preserve">Number of Guests by Nationality </w:t>
            </w:r>
            <w:r w:rsidRPr="00AC0033">
              <w:rPr>
                <w:rStyle w:val="hps"/>
                <w:rFonts w:asciiTheme="majorBidi" w:hAnsiTheme="majorBidi" w:cstheme="majorBidi"/>
                <w:b/>
                <w:bCs/>
                <w:sz w:val="25"/>
                <w:szCs w:val="25"/>
              </w:rPr>
              <w:t>During First Half</w:t>
            </w:r>
            <w:r w:rsidRPr="00AC0033">
              <w:rPr>
                <w:rStyle w:val="shorttext"/>
                <w:rFonts w:asciiTheme="majorBidi" w:hAnsiTheme="majorBidi" w:cstheme="majorBidi"/>
                <w:b/>
                <w:bCs/>
                <w:sz w:val="25"/>
                <w:szCs w:val="25"/>
              </w:rPr>
              <w:t xml:space="preserve"> </w:t>
            </w:r>
            <w:r w:rsidRPr="00AC0033">
              <w:rPr>
                <w:rStyle w:val="hps"/>
                <w:rFonts w:asciiTheme="majorBidi" w:hAnsiTheme="majorBidi" w:cstheme="majorBidi"/>
                <w:b/>
                <w:bCs/>
                <w:sz w:val="25"/>
                <w:szCs w:val="25"/>
              </w:rPr>
              <w:t>of 2015 and 2016</w:t>
            </w:r>
          </w:p>
          <w:p w:rsidR="00AC0033" w:rsidRDefault="00AC0033" w:rsidP="00A423BD">
            <w:pPr>
              <w:shd w:val="clear" w:color="auto" w:fill="FFFFFF" w:themeFill="background1"/>
              <w:jc w:val="center"/>
              <w:rPr>
                <w:rStyle w:val="hps"/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  <w:p w:rsidR="00AC0033" w:rsidRDefault="00AC0033" w:rsidP="00A423BD">
            <w:pPr>
              <w:shd w:val="clear" w:color="auto" w:fill="FFFFFF" w:themeFill="background1"/>
              <w:jc w:val="center"/>
              <w:rPr>
                <w:rStyle w:val="hps"/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  <w:p w:rsidR="00AC0033" w:rsidRDefault="00AC0033" w:rsidP="00A423BD">
            <w:pPr>
              <w:shd w:val="clear" w:color="auto" w:fill="FFFFFF" w:themeFill="background1"/>
              <w:jc w:val="center"/>
              <w:rPr>
                <w:rStyle w:val="hps"/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  <w:p w:rsidR="00AC0033" w:rsidRPr="00AC0033" w:rsidRDefault="00AC0033" w:rsidP="00A423BD">
            <w:pPr>
              <w:shd w:val="clear" w:color="auto" w:fill="FFFFFF" w:themeFill="background1"/>
              <w:jc w:val="center"/>
              <w:rPr>
                <w:rStyle w:val="hps"/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8C4849" w:rsidRPr="008E062F" w:rsidRDefault="008C4849" w:rsidP="00A423BD">
            <w:pPr>
              <w:jc w:val="center"/>
              <w:rPr>
                <w:rFonts w:ascii="Arial" w:hAnsi="Arial" w:cs="Simplified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8C4849" w:rsidRDefault="008C4849" w:rsidP="00A423BD">
            <w:pPr>
              <w:jc w:val="center"/>
              <w:rPr>
                <w:rFonts w:ascii="Arial" w:hAnsi="Arial" w:cs="Simplified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8C4849" w:rsidRPr="00C6285A" w:rsidRDefault="008C4849" w:rsidP="00A423BD">
            <w:pPr>
              <w:jc w:val="center"/>
              <w:rPr>
                <w:rFonts w:ascii="Arial" w:hAnsi="Arial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C4849" w:rsidRPr="00AC0033" w:rsidTr="00AC0033">
        <w:trPr>
          <w:cantSplit/>
          <w:trHeight w:hRule="exact" w:val="28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C4849" w:rsidRPr="00AC0033" w:rsidRDefault="008C4849" w:rsidP="00A423BD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C003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49" w:rsidRPr="00AC0033" w:rsidRDefault="008C4849" w:rsidP="00A423BD">
            <w:pPr>
              <w:shd w:val="clear" w:color="auto" w:fill="FFFFFF" w:themeFill="background1"/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8C4849" w:rsidRPr="00AC0033" w:rsidTr="00AC0033">
        <w:trPr>
          <w:cantSplit/>
          <w:trHeight w:hRule="exact" w:val="36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shd w:val="clear" w:color="auto" w:fill="FFFFFF" w:themeFill="background1"/>
              <w:spacing w:after="0" w:line="240" w:lineRule="auto"/>
              <w:ind w:right="35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C0033">
              <w:rPr>
                <w:rFonts w:asciiTheme="majorBidi" w:eastAsia="Times New Roman" w:hAnsiTheme="majorBidi" w:cstheme="majorBidi"/>
                <w:sz w:val="24"/>
                <w:szCs w:val="24"/>
              </w:rPr>
              <w:t>Palestine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49" w:rsidRPr="00AC0033" w:rsidRDefault="008C4849" w:rsidP="00A423BD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25,955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21,991</w:t>
            </w:r>
          </w:p>
        </w:tc>
      </w:tr>
      <w:tr w:rsidR="008C4849" w:rsidRPr="00AC0033" w:rsidTr="00AC0033">
        <w:trPr>
          <w:cantSplit/>
          <w:trHeight w:hRule="exact" w:val="3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shd w:val="clear" w:color="auto" w:fill="FFFFFF" w:themeFill="background1"/>
              <w:spacing w:after="0" w:line="240" w:lineRule="auto"/>
              <w:ind w:right="3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C0033">
              <w:rPr>
                <w:rFonts w:asciiTheme="majorBidi" w:eastAsia="Times New Roman" w:hAnsiTheme="majorBidi" w:cstheme="majorBidi"/>
                <w:sz w:val="24"/>
                <w:szCs w:val="24"/>
              </w:rPr>
              <w:t>Israel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49" w:rsidRPr="00AC0033" w:rsidRDefault="008C4849" w:rsidP="00A423BD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30,903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26,382</w:t>
            </w:r>
          </w:p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C4849" w:rsidRPr="00AC0033" w:rsidTr="00AC0033">
        <w:trPr>
          <w:cantSplit/>
          <w:trHeight w:hRule="exact" w:val="3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shd w:val="clear" w:color="auto" w:fill="FFFFFF" w:themeFill="background1"/>
              <w:spacing w:after="0" w:line="240" w:lineRule="auto"/>
              <w:ind w:right="35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C0033">
              <w:rPr>
                <w:rFonts w:asciiTheme="majorBidi" w:eastAsia="Times New Roman" w:hAnsiTheme="majorBidi" w:cstheme="majorBidi"/>
                <w:sz w:val="24"/>
                <w:szCs w:val="24"/>
              </w:rPr>
              <w:t>Asia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49" w:rsidRPr="00AC0033" w:rsidRDefault="008C4849" w:rsidP="00A423BD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34,211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37,211</w:t>
            </w:r>
          </w:p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C4849" w:rsidRPr="00AC0033" w:rsidTr="00AC0033">
        <w:trPr>
          <w:cantSplit/>
          <w:trHeight w:hRule="exact" w:val="3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shd w:val="clear" w:color="auto" w:fill="FFFFFF" w:themeFill="background1"/>
              <w:spacing w:after="0" w:line="240" w:lineRule="auto"/>
              <w:ind w:right="3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C0033">
              <w:rPr>
                <w:rFonts w:asciiTheme="majorBidi" w:eastAsia="Times New Roman" w:hAnsiTheme="majorBidi" w:cstheme="majorBidi"/>
                <w:sz w:val="24"/>
                <w:szCs w:val="24"/>
              </w:rPr>
              <w:t>USA &amp; Canada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49" w:rsidRPr="00AC0033" w:rsidRDefault="008C4849" w:rsidP="00A423BD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21,276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17,998</w:t>
            </w:r>
          </w:p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C4849" w:rsidRPr="00AC0033" w:rsidTr="00AC0033">
        <w:trPr>
          <w:cantSplit/>
          <w:trHeight w:hRule="exact" w:val="3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shd w:val="clear" w:color="auto" w:fill="FFFFFF" w:themeFill="background1"/>
              <w:spacing w:after="0" w:line="240" w:lineRule="auto"/>
              <w:ind w:right="35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C0033">
              <w:rPr>
                <w:rFonts w:asciiTheme="majorBidi" w:eastAsia="Times New Roman" w:hAnsiTheme="majorBidi" w:cstheme="majorBidi"/>
                <w:sz w:val="24"/>
                <w:szCs w:val="24"/>
              </w:rPr>
              <w:t>European Union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49" w:rsidRPr="00AC0033" w:rsidRDefault="008C4849" w:rsidP="00A423BD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76,340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56,557</w:t>
            </w:r>
          </w:p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C4849" w:rsidRPr="00AC0033" w:rsidTr="00AC0033">
        <w:trPr>
          <w:cantSplit/>
          <w:trHeight w:hRule="exact" w:val="37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shd w:val="clear" w:color="auto" w:fill="FFFFFF" w:themeFill="background1"/>
              <w:spacing w:after="0" w:line="240" w:lineRule="auto"/>
              <w:ind w:right="3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C0033">
              <w:rPr>
                <w:rFonts w:asciiTheme="majorBidi" w:eastAsia="Times New Roman" w:hAnsiTheme="majorBidi" w:cstheme="majorBidi"/>
                <w:sz w:val="24"/>
                <w:szCs w:val="24"/>
              </w:rPr>
              <w:t>Other EU Count.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49" w:rsidRPr="00AC0033" w:rsidRDefault="008C4849" w:rsidP="00A423BD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32,769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16,369</w:t>
            </w:r>
          </w:p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C4849" w:rsidRPr="00AC0033" w:rsidTr="00AC0033">
        <w:trPr>
          <w:cantSplit/>
          <w:trHeight w:hRule="exact" w:val="3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shd w:val="clear" w:color="auto" w:fill="FFFFFF" w:themeFill="background1"/>
              <w:spacing w:after="0" w:line="240" w:lineRule="auto"/>
              <w:ind w:right="3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C0033">
              <w:rPr>
                <w:rFonts w:asciiTheme="majorBidi" w:eastAsia="Times New Roman" w:hAnsiTheme="majorBidi" w:cstheme="majorBidi"/>
                <w:sz w:val="24"/>
                <w:szCs w:val="24"/>
              </w:rPr>
              <w:t>Other Countries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49" w:rsidRPr="00AC0033" w:rsidRDefault="008C4849" w:rsidP="00A423BD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21,030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17,237</w:t>
            </w:r>
          </w:p>
        </w:tc>
      </w:tr>
      <w:tr w:rsidR="008C4849" w:rsidRPr="00AC0033" w:rsidTr="00AC0033">
        <w:trPr>
          <w:cantSplit/>
          <w:trHeight w:hRule="exact" w:val="3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shd w:val="clear" w:color="auto" w:fill="FFFFFF" w:themeFill="background1"/>
              <w:spacing w:after="0" w:line="240" w:lineRule="auto"/>
              <w:ind w:right="35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AC003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49" w:rsidRPr="00AC0033" w:rsidRDefault="008C4849" w:rsidP="00A423BD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242,484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4849" w:rsidRPr="00AC0033" w:rsidRDefault="008C4849" w:rsidP="00A423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00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193,745</w:t>
            </w:r>
          </w:p>
        </w:tc>
      </w:tr>
    </w:tbl>
    <w:p w:rsidR="008C4849" w:rsidRDefault="008C4849" w:rsidP="008C4849">
      <w:pPr>
        <w:pStyle w:val="Title"/>
        <w:shd w:val="clear" w:color="auto" w:fill="FFFFFF" w:themeFill="background1"/>
        <w:jc w:val="both"/>
        <w:rPr>
          <w:rStyle w:val="longtext"/>
          <w:b w:val="0"/>
          <w:bCs w:val="0"/>
          <w:shd w:val="clear" w:color="auto" w:fill="FFFFFF"/>
        </w:rPr>
      </w:pPr>
    </w:p>
    <w:p w:rsidR="008C4849" w:rsidRDefault="008C4849" w:rsidP="00AC0033">
      <w:pPr>
        <w:pStyle w:val="Title"/>
        <w:shd w:val="clear" w:color="auto" w:fill="FFFFFF" w:themeFill="background1"/>
        <w:jc w:val="both"/>
        <w:rPr>
          <w:rStyle w:val="longtext"/>
          <w:b w:val="0"/>
          <w:bCs w:val="0"/>
          <w:shd w:val="clear" w:color="auto" w:fill="FFFFFF"/>
        </w:rPr>
      </w:pPr>
      <w:r>
        <w:rPr>
          <w:rStyle w:val="longtext"/>
          <w:b w:val="0"/>
          <w:bCs w:val="0"/>
          <w:shd w:val="clear" w:color="auto" w:fill="FFFFFF"/>
        </w:rPr>
        <w:t>G</w:t>
      </w:r>
      <w:r w:rsidRPr="003A177D">
        <w:rPr>
          <w:rStyle w:val="longtext"/>
          <w:b w:val="0"/>
          <w:bCs w:val="0"/>
          <w:shd w:val="clear" w:color="auto" w:fill="FFFFFF"/>
        </w:rPr>
        <w:t xml:space="preserve">uests were distributed by region as follows: </w:t>
      </w:r>
      <w:r>
        <w:rPr>
          <w:rStyle w:val="longtext"/>
          <w:b w:val="0"/>
          <w:bCs w:val="0"/>
          <w:shd w:val="clear" w:color="auto" w:fill="FFFFFF"/>
        </w:rPr>
        <w:t>52</w:t>
      </w:r>
      <w:r w:rsidRPr="003A177D">
        <w:rPr>
          <w:rStyle w:val="longtext"/>
          <w:b w:val="0"/>
          <w:bCs w:val="0"/>
          <w:shd w:val="clear" w:color="auto" w:fill="FFFFFF"/>
        </w:rPr>
        <w:t xml:space="preserve">% in the </w:t>
      </w:r>
      <w:r>
        <w:rPr>
          <w:rStyle w:val="longtext"/>
          <w:b w:val="0"/>
          <w:bCs w:val="0"/>
          <w:shd w:val="clear" w:color="auto" w:fill="FFFFFF"/>
        </w:rPr>
        <w:t>s</w:t>
      </w:r>
      <w:r w:rsidRPr="003A177D">
        <w:rPr>
          <w:rStyle w:val="longtext"/>
          <w:b w:val="0"/>
          <w:bCs w:val="0"/>
          <w:shd w:val="clear" w:color="auto" w:fill="FFFFFF"/>
        </w:rPr>
        <w:t xml:space="preserve">outh of </w:t>
      </w:r>
      <w:r>
        <w:rPr>
          <w:rStyle w:val="longtext"/>
          <w:b w:val="0"/>
          <w:bCs w:val="0"/>
          <w:shd w:val="clear" w:color="auto" w:fill="FFFFFF"/>
        </w:rPr>
        <w:t xml:space="preserve">the </w:t>
      </w:r>
      <w:r w:rsidRPr="003A177D">
        <w:rPr>
          <w:rStyle w:val="longtext"/>
          <w:b w:val="0"/>
          <w:bCs w:val="0"/>
          <w:shd w:val="clear" w:color="auto" w:fill="FFFFFF"/>
        </w:rPr>
        <w:t xml:space="preserve">West Bank, </w:t>
      </w:r>
      <w:r>
        <w:rPr>
          <w:rStyle w:val="longtext"/>
          <w:b w:val="0"/>
          <w:bCs w:val="0"/>
          <w:shd w:val="clear" w:color="auto" w:fill="FFFFFF"/>
        </w:rPr>
        <w:t>23</w:t>
      </w:r>
      <w:r w:rsidRPr="003A177D">
        <w:rPr>
          <w:rStyle w:val="longtext"/>
          <w:b w:val="0"/>
          <w:bCs w:val="0"/>
          <w:shd w:val="clear" w:color="auto" w:fill="FFFFFF"/>
        </w:rPr>
        <w:t xml:space="preserve">% in Jerusalem hotels, </w:t>
      </w:r>
      <w:r>
        <w:rPr>
          <w:rStyle w:val="longtext"/>
          <w:b w:val="0"/>
          <w:bCs w:val="0"/>
          <w:shd w:val="clear" w:color="auto" w:fill="FFFFFF"/>
        </w:rPr>
        <w:t>15</w:t>
      </w:r>
      <w:r w:rsidRPr="003A177D">
        <w:rPr>
          <w:rStyle w:val="longtext"/>
          <w:b w:val="0"/>
          <w:bCs w:val="0"/>
          <w:shd w:val="clear" w:color="auto" w:fill="FFFFFF"/>
        </w:rPr>
        <w:t xml:space="preserve">% in the </w:t>
      </w:r>
      <w:r>
        <w:rPr>
          <w:rStyle w:val="longtext"/>
          <w:b w:val="0"/>
          <w:bCs w:val="0"/>
          <w:shd w:val="clear" w:color="auto" w:fill="FFFFFF"/>
        </w:rPr>
        <w:t>m</w:t>
      </w:r>
      <w:r w:rsidRPr="003A177D">
        <w:rPr>
          <w:rStyle w:val="longtext"/>
          <w:b w:val="0"/>
          <w:bCs w:val="0"/>
          <w:shd w:val="clear" w:color="auto" w:fill="FFFFFF"/>
        </w:rPr>
        <w:t xml:space="preserve">iddle of </w:t>
      </w:r>
      <w:r>
        <w:rPr>
          <w:rStyle w:val="longtext"/>
          <w:b w:val="0"/>
          <w:bCs w:val="0"/>
          <w:shd w:val="clear" w:color="auto" w:fill="FFFFFF"/>
        </w:rPr>
        <w:t xml:space="preserve">the </w:t>
      </w:r>
      <w:r w:rsidRPr="003A177D">
        <w:rPr>
          <w:rStyle w:val="longtext"/>
          <w:b w:val="0"/>
          <w:bCs w:val="0"/>
          <w:shd w:val="clear" w:color="auto" w:fill="FFFFFF"/>
        </w:rPr>
        <w:t>West Bank</w:t>
      </w:r>
      <w:r>
        <w:rPr>
          <w:rStyle w:val="longtext"/>
          <w:b w:val="0"/>
          <w:bCs w:val="0"/>
          <w:shd w:val="clear" w:color="auto" w:fill="FFFFFF"/>
        </w:rPr>
        <w:t xml:space="preserve"> (</w:t>
      </w:r>
      <w:r w:rsidRPr="00320834">
        <w:rPr>
          <w:rStyle w:val="longtext"/>
          <w:b w:val="0"/>
          <w:bCs w:val="0"/>
          <w:shd w:val="clear" w:color="auto" w:fill="FFFFFF"/>
        </w:rPr>
        <w:t>Ramallah and Al-Bireh, Jericho and Al-Aghwar</w:t>
      </w:r>
      <w:r>
        <w:rPr>
          <w:rStyle w:val="longtext"/>
          <w:b w:val="0"/>
          <w:bCs w:val="0"/>
          <w:shd w:val="clear" w:color="auto" w:fill="FFFFFF"/>
        </w:rPr>
        <w:t>),</w:t>
      </w:r>
      <w:r w:rsidRPr="003A177D">
        <w:rPr>
          <w:rStyle w:val="longtext"/>
          <w:b w:val="0"/>
          <w:bCs w:val="0"/>
          <w:shd w:val="clear" w:color="auto" w:fill="FFFFFF"/>
        </w:rPr>
        <w:t xml:space="preserve"> and </w:t>
      </w:r>
      <w:r>
        <w:rPr>
          <w:rStyle w:val="longtext"/>
          <w:b w:val="0"/>
          <w:bCs w:val="0"/>
          <w:shd w:val="clear" w:color="auto" w:fill="FFFFFF"/>
        </w:rPr>
        <w:t>10</w:t>
      </w:r>
      <w:r w:rsidRPr="003A177D">
        <w:rPr>
          <w:rStyle w:val="longtext"/>
          <w:b w:val="0"/>
          <w:bCs w:val="0"/>
          <w:shd w:val="clear" w:color="auto" w:fill="FFFFFF"/>
        </w:rPr>
        <w:t xml:space="preserve">% in the </w:t>
      </w:r>
      <w:r>
        <w:rPr>
          <w:rStyle w:val="longtext"/>
          <w:b w:val="0"/>
          <w:bCs w:val="0"/>
          <w:shd w:val="clear" w:color="auto" w:fill="FFFFFF"/>
        </w:rPr>
        <w:t>n</w:t>
      </w:r>
      <w:r w:rsidRPr="003A177D">
        <w:rPr>
          <w:rStyle w:val="longtext"/>
          <w:b w:val="0"/>
          <w:bCs w:val="0"/>
          <w:shd w:val="clear" w:color="auto" w:fill="FFFFFF"/>
        </w:rPr>
        <w:t xml:space="preserve">orth of </w:t>
      </w:r>
      <w:r>
        <w:rPr>
          <w:rStyle w:val="longtext"/>
          <w:b w:val="0"/>
          <w:bCs w:val="0"/>
          <w:shd w:val="clear" w:color="auto" w:fill="FFFFFF"/>
        </w:rPr>
        <w:t xml:space="preserve">the </w:t>
      </w:r>
      <w:r w:rsidRPr="003A177D">
        <w:rPr>
          <w:rStyle w:val="longtext"/>
          <w:b w:val="0"/>
          <w:bCs w:val="0"/>
          <w:shd w:val="clear" w:color="auto" w:fill="FFFFFF"/>
        </w:rPr>
        <w:t xml:space="preserve">West Bank.  </w:t>
      </w:r>
    </w:p>
    <w:p w:rsidR="00AC0033" w:rsidRPr="00AC0033" w:rsidRDefault="00AC0033" w:rsidP="00AC0033">
      <w:pPr>
        <w:pStyle w:val="Title"/>
        <w:shd w:val="clear" w:color="auto" w:fill="FFFFFF" w:themeFill="background1"/>
        <w:jc w:val="both"/>
        <w:rPr>
          <w:rStyle w:val="longtext"/>
          <w:rFonts w:asciiTheme="majorBidi" w:hAnsiTheme="majorBidi" w:cstheme="majorBidi"/>
          <w:sz w:val="16"/>
          <w:szCs w:val="16"/>
          <w:shd w:val="clear" w:color="auto" w:fill="FFFFFF"/>
        </w:rPr>
      </w:pPr>
    </w:p>
    <w:p w:rsidR="008C4849" w:rsidRDefault="008C4849" w:rsidP="00AC0033">
      <w:pPr>
        <w:shd w:val="clear" w:color="auto" w:fill="FFFFFF" w:themeFill="background1"/>
        <w:bidi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In June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2016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there were 113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hotels in the West Bank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comprising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6,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710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available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rooms 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with 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798</w:t>
      </w:r>
      <w:r w:rsidRPr="00E310ED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beds. </w:t>
      </w:r>
    </w:p>
    <w:p w:rsidR="008C4849" w:rsidRPr="00AC0033" w:rsidRDefault="008C4849" w:rsidP="008C4849">
      <w:pPr>
        <w:bidi w:val="0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AC0033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Around </w:t>
      </w:r>
      <w:r w:rsidRPr="00AC0033">
        <w:rPr>
          <w:rFonts w:ascii="Times New Roman" w:hAnsi="Times New Roman" w:cs="Times New Roman" w:hint="cs"/>
          <w:b/>
          <w:bCs/>
          <w:color w:val="000000" w:themeColor="text1"/>
          <w:sz w:val="25"/>
          <w:szCs w:val="25"/>
          <w:rtl/>
        </w:rPr>
        <w:t>7</w:t>
      </w:r>
      <w:r w:rsidRPr="00AC0033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,</w:t>
      </w:r>
      <w:r w:rsidRPr="00AC0033">
        <w:rPr>
          <w:rFonts w:ascii="Times New Roman" w:hAnsi="Times New Roman" w:cs="Times New Roman" w:hint="cs"/>
          <w:b/>
          <w:bCs/>
          <w:color w:val="000000" w:themeColor="text1"/>
          <w:sz w:val="25"/>
          <w:szCs w:val="25"/>
          <w:rtl/>
        </w:rPr>
        <w:t>064</w:t>
      </w:r>
      <w:r w:rsidRPr="00AC0033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Establishments Operating in the Tourism Sector in Palestine in 201</w:t>
      </w:r>
      <w:r w:rsidRPr="00AC0033">
        <w:rPr>
          <w:rFonts w:ascii="Times New Roman" w:hAnsi="Times New Roman" w:cs="Times New Roman" w:hint="cs"/>
          <w:b/>
          <w:bCs/>
          <w:color w:val="000000" w:themeColor="text1"/>
          <w:sz w:val="25"/>
          <w:szCs w:val="25"/>
          <w:rtl/>
        </w:rPr>
        <w:t>4</w:t>
      </w:r>
    </w:p>
    <w:p w:rsidR="008C4849" w:rsidRPr="0041753E" w:rsidRDefault="008C4849" w:rsidP="008C4849">
      <w:pPr>
        <w:bidi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were </w:t>
      </w:r>
      <w:r w:rsidRPr="0041753E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7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064</w:t>
      </w:r>
      <w:r w:rsidRPr="004175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establishments working in the tourism sector in Palestine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2014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>. The main operations included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2,634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restaurants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1,129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shops selling souvenirs and handicrafts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1,667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outlets in beverage serving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224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working in antiques and wooden handcrafts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237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 rental services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108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providing services organizing trips to Haj and Umrah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116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short-term accommodation (hotels)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travel and tourism agencies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 further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891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establishments engaged in related tourism activities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including</w:t>
      </w:r>
      <w:r w:rsidRPr="00417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creative arts and entertainment activities, and other recreational activities. </w:t>
      </w:r>
    </w:p>
    <w:p w:rsidR="008C4849" w:rsidRPr="00AC0033" w:rsidRDefault="008C4849" w:rsidP="008C4849">
      <w:pPr>
        <w:bidi w:val="0"/>
        <w:jc w:val="both"/>
        <w:rPr>
          <w:rFonts w:ascii="Times New Roman" w:hAnsi="Times New Roman" w:cs="Times New Roman"/>
          <w:sz w:val="25"/>
          <w:szCs w:val="25"/>
        </w:rPr>
      </w:pPr>
      <w:r w:rsidRPr="00AC0033">
        <w:rPr>
          <w:rFonts w:ascii="Times New Roman" w:hAnsi="Times New Roman" w:cs="Times New Roman"/>
          <w:b/>
          <w:bCs/>
          <w:sz w:val="25"/>
          <w:szCs w:val="25"/>
        </w:rPr>
        <w:t>Total Output of Tourism Activities in 2014 was USD 603.2 Million</w:t>
      </w:r>
    </w:p>
    <w:p w:rsidR="008C4849" w:rsidRPr="00062B35" w:rsidRDefault="008C4849" w:rsidP="008C4849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total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>utput of establishments working in tourism activities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2014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USD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603.2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million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 was made up of </w:t>
      </w:r>
      <w:r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38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by restaurants, 22% by accommodation activities,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>% of beverage serving activities,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renting and operational leasing of passenger cars (without drivers),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retail sale of souvenirs, craftwork and religious articles,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062B35">
        <w:rPr>
          <w:rFonts w:ascii="Times New Roman" w:hAnsi="Times New Roman" w:cs="Times New Roman"/>
          <w:color w:val="000000" w:themeColor="text1"/>
          <w:sz w:val="24"/>
          <w:szCs w:val="24"/>
        </w:rPr>
        <w:t>% distributed on the remaining tourism activities.</w:t>
      </w:r>
    </w:p>
    <w:p w:rsidR="008B3174" w:rsidRDefault="008B3174">
      <w:pPr>
        <w:rPr>
          <w:rFonts w:hint="cs"/>
          <w:rtl/>
        </w:rPr>
      </w:pPr>
    </w:p>
    <w:sectPr w:rsidR="008B3174" w:rsidSect="008C4849">
      <w:footerReference w:type="default" r:id="rId7"/>
      <w:pgSz w:w="12240" w:h="15840" w:code="1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0A" w:rsidRDefault="007B620A" w:rsidP="008C4849">
      <w:pPr>
        <w:spacing w:after="0" w:line="240" w:lineRule="auto"/>
      </w:pPr>
      <w:r>
        <w:separator/>
      </w:r>
    </w:p>
  </w:endnote>
  <w:endnote w:type="continuationSeparator" w:id="0">
    <w:p w:rsidR="007B620A" w:rsidRDefault="007B620A" w:rsidP="008C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521578857"/>
      <w:docPartObj>
        <w:docPartGallery w:val="Page Numbers (Bottom of Page)"/>
        <w:docPartUnique/>
      </w:docPartObj>
    </w:sdtPr>
    <w:sdtContent>
      <w:p w:rsidR="00D85A32" w:rsidRDefault="008F0844">
        <w:pPr>
          <w:pStyle w:val="Footer"/>
          <w:jc w:val="center"/>
        </w:pPr>
        <w:fldSimple w:instr=" PAGE   \* MERGEFORMAT ">
          <w:r w:rsidR="00EF61D1">
            <w:rPr>
              <w:noProof/>
              <w:rtl/>
            </w:rPr>
            <w:t>2</w:t>
          </w:r>
        </w:fldSimple>
      </w:p>
    </w:sdtContent>
  </w:sdt>
  <w:p w:rsidR="00D85A32" w:rsidRDefault="00D85A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0A" w:rsidRDefault="007B620A" w:rsidP="008C4849">
      <w:pPr>
        <w:spacing w:after="0" w:line="240" w:lineRule="auto"/>
      </w:pPr>
      <w:r>
        <w:separator/>
      </w:r>
    </w:p>
  </w:footnote>
  <w:footnote w:type="continuationSeparator" w:id="0">
    <w:p w:rsidR="007B620A" w:rsidRDefault="007B620A" w:rsidP="008C4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C4849"/>
    <w:rsid w:val="005E7849"/>
    <w:rsid w:val="007B620A"/>
    <w:rsid w:val="008B3174"/>
    <w:rsid w:val="008C4849"/>
    <w:rsid w:val="008F0844"/>
    <w:rsid w:val="00AC0033"/>
    <w:rsid w:val="00D85A32"/>
    <w:rsid w:val="00EF61D1"/>
    <w:rsid w:val="00F7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49"/>
    <w:pPr>
      <w:bidi/>
    </w:p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AC0033"/>
    <w:pPr>
      <w:keepNext/>
      <w:bidi w:val="0"/>
      <w:spacing w:after="0" w:line="360" w:lineRule="auto"/>
      <w:jc w:val="right"/>
      <w:outlineLvl w:val="4"/>
    </w:pPr>
    <w:rPr>
      <w:rFonts w:ascii="Times New Roman" w:hAnsi="Times New Roman" w:cs="Times New Roman"/>
      <w:b/>
      <w:bC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849"/>
  </w:style>
  <w:style w:type="table" w:styleId="TableGrid">
    <w:name w:val="Table Grid"/>
    <w:basedOn w:val="TableNormal"/>
    <w:uiPriority w:val="59"/>
    <w:rsid w:val="008C4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8C4849"/>
  </w:style>
  <w:style w:type="character" w:styleId="Hyperlink">
    <w:name w:val="Hyperlink"/>
    <w:basedOn w:val="DefaultParagraphFont"/>
    <w:semiHidden/>
    <w:rsid w:val="008C4849"/>
    <w:rPr>
      <w:color w:val="0000FF"/>
      <w:u w:val="single"/>
    </w:rPr>
  </w:style>
  <w:style w:type="character" w:customStyle="1" w:styleId="longtext">
    <w:name w:val="long_text"/>
    <w:basedOn w:val="DefaultParagraphFont"/>
    <w:rsid w:val="008C4849"/>
  </w:style>
  <w:style w:type="character" w:customStyle="1" w:styleId="hps">
    <w:name w:val="hps"/>
    <w:basedOn w:val="DefaultParagraphFont"/>
    <w:rsid w:val="008C4849"/>
  </w:style>
  <w:style w:type="paragraph" w:styleId="Title">
    <w:name w:val="Title"/>
    <w:basedOn w:val="Normal"/>
    <w:link w:val="TitleChar"/>
    <w:uiPriority w:val="10"/>
    <w:qFormat/>
    <w:rsid w:val="008C4849"/>
    <w:pPr>
      <w:overflowPunct w:val="0"/>
      <w:autoSpaceDE w:val="0"/>
      <w:autoSpaceDN w:val="0"/>
      <w:bidi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C4849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48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849"/>
  </w:style>
  <w:style w:type="character" w:customStyle="1" w:styleId="Heading5Char">
    <w:name w:val="Heading 5 Char"/>
    <w:basedOn w:val="DefaultParagraphFont"/>
    <w:link w:val="Heading5"/>
    <w:uiPriority w:val="9"/>
    <w:semiHidden/>
    <w:rsid w:val="00AC0033"/>
    <w:rPr>
      <w:rFonts w:ascii="Times New Roman" w:hAnsi="Times New Roman" w:cs="Times New Roman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8633547943803741"/>
          <c:y val="7.2923061087952323E-2"/>
          <c:w val="0.7688519810061557"/>
          <c:h val="0.66850249601153056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Sheet1!$B$1:$J$1</c:f>
              <c:strCach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strCache>
            </c:strRef>
          </c:cat>
          <c:val>
            <c:numRef>
              <c:f>Sheet1!$B$2:$J$2</c:f>
              <c:numCache>
                <c:formatCode>#,##0</c:formatCode>
                <c:ptCount val="9"/>
                <c:pt idx="0">
                  <c:v>692</c:v>
                </c:pt>
                <c:pt idx="1">
                  <c:v>521</c:v>
                </c:pt>
                <c:pt idx="2">
                  <c:v>933</c:v>
                </c:pt>
                <c:pt idx="3" formatCode="_-* #,##0_-;_-* #,##0\-;_-* &quot;-&quot;??_-;_-@_-">
                  <c:v>1014</c:v>
                </c:pt>
                <c:pt idx="4" formatCode="_-* #,##0_-;_-* #,##0\-;_-* &quot;-&quot;??_-;_-@_-">
                  <c:v>1250</c:v>
                </c:pt>
                <c:pt idx="5">
                  <c:v>1235</c:v>
                </c:pt>
                <c:pt idx="6">
                  <c:v>1472</c:v>
                </c:pt>
                <c:pt idx="7">
                  <c:v>999</c:v>
                </c:pt>
                <c:pt idx="8">
                  <c:v>952</c:v>
                </c:pt>
              </c:numCache>
            </c:numRef>
          </c:val>
        </c:ser>
        <c:marker val="1"/>
        <c:axId val="103768064"/>
        <c:axId val="103771520"/>
      </c:lineChart>
      <c:catAx>
        <c:axId val="1037680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r>
                  <a:rPr lang="en-GB" sz="800">
                    <a:latin typeface="Arial" pitchFamily="34" charset="0"/>
                    <a:cs typeface="Arial" pitchFamily="34" charset="0"/>
                  </a:rPr>
                  <a:t> The First Half</a:t>
                </a:r>
                <a:r>
                  <a:rPr lang="en-GB" sz="800" baseline="0">
                    <a:latin typeface="Arial" pitchFamily="34" charset="0"/>
                    <a:cs typeface="Arial" pitchFamily="34" charset="0"/>
                  </a:rPr>
                  <a:t> of the Year</a:t>
                </a:r>
                <a:endParaRPr lang="en-GB" sz="8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26936546783003706"/>
              <c:y val="0.9402298719880271"/>
            </c:manualLayout>
          </c:layout>
        </c:title>
        <c:numFmt formatCode="General" sourceLinked="1"/>
        <c:majorTickMark val="none"/>
        <c:tickLblPos val="nextTo"/>
        <c:txPr>
          <a:bodyPr rot="-27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3771520"/>
        <c:crosses val="autoZero"/>
        <c:auto val="1"/>
        <c:lblAlgn val="ctr"/>
        <c:lblOffset val="100"/>
        <c:tickLblSkip val="1"/>
        <c:tickMarkSkip val="1"/>
      </c:catAx>
      <c:valAx>
        <c:axId val="10377152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700" b="1">
                    <a:cs typeface="+mn-cs"/>
                  </a:defRPr>
                </a:pPr>
                <a:r>
                  <a:rPr lang="en-US" sz="700" b="1">
                    <a:cs typeface="+mn-cs"/>
                  </a:rPr>
                  <a:t>No.in (000)</a:t>
                </a:r>
                <a:endParaRPr lang="ar-SA" sz="700" b="1"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1.8104403616214845E-3"/>
              <c:y val="0.36968001743464829"/>
            </c:manualLayout>
          </c:layout>
        </c:title>
        <c:numFmt formatCode="#,##0" sourceLinked="0"/>
        <c:majorTickMark val="none"/>
        <c:tickLblPos val="nextTo"/>
        <c:txPr>
          <a:bodyPr rot="60000" vert="horz"/>
          <a:lstStyle/>
          <a:p>
            <a:pPr>
              <a:defRPr sz="900"/>
            </a:pPr>
            <a:endParaRPr lang="ar-SA"/>
          </a:p>
        </c:txPr>
        <c:crossAx val="10376806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loays</cp:lastModifiedBy>
  <cp:revision>2</cp:revision>
  <dcterms:created xsi:type="dcterms:W3CDTF">2016-09-25T08:56:00Z</dcterms:created>
  <dcterms:modified xsi:type="dcterms:W3CDTF">2016-09-25T09:49:00Z</dcterms:modified>
</cp:coreProperties>
</file>