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E7C" w:rsidRPr="00E94400" w:rsidRDefault="001C2E7C" w:rsidP="00E94400">
      <w:pPr>
        <w:pStyle w:val="Title"/>
        <w:bidi w:val="0"/>
        <w:rPr>
          <w:rFonts w:asciiTheme="majorBidi" w:hAnsiTheme="majorBidi" w:cstheme="majorBidi"/>
          <w:sz w:val="32"/>
          <w:szCs w:val="32"/>
        </w:rPr>
      </w:pPr>
      <w:r w:rsidRPr="00E94400">
        <w:rPr>
          <w:rFonts w:asciiTheme="majorBidi" w:hAnsiTheme="majorBidi" w:cstheme="majorBidi"/>
          <w:sz w:val="32"/>
          <w:szCs w:val="32"/>
        </w:rPr>
        <w:t>Press Release by</w:t>
      </w:r>
      <w:r w:rsidR="00404162" w:rsidRPr="00E94400">
        <w:rPr>
          <w:rFonts w:asciiTheme="majorBidi" w:hAnsiTheme="majorBidi" w:cstheme="majorBidi"/>
          <w:sz w:val="32"/>
          <w:szCs w:val="32"/>
        </w:rPr>
        <w:t xml:space="preserve"> the</w:t>
      </w:r>
      <w:r w:rsidR="000B6444" w:rsidRPr="00E94400">
        <w:rPr>
          <w:rFonts w:asciiTheme="majorBidi" w:hAnsiTheme="majorBidi" w:cstheme="majorBidi"/>
          <w:sz w:val="32"/>
          <w:szCs w:val="32"/>
          <w:rtl/>
        </w:rPr>
        <w:t xml:space="preserve"> </w:t>
      </w:r>
      <w:r w:rsidR="000B6444" w:rsidRPr="00E94400">
        <w:rPr>
          <w:rFonts w:asciiTheme="majorBidi" w:hAnsiTheme="majorBidi" w:cstheme="majorBidi"/>
          <w:sz w:val="32"/>
          <w:szCs w:val="32"/>
        </w:rPr>
        <w:t xml:space="preserve">Palestinian Central Bureau of Statistics (PCBS) </w:t>
      </w:r>
      <w:r w:rsidR="001074CE" w:rsidRPr="00E94400">
        <w:rPr>
          <w:rFonts w:asciiTheme="majorBidi" w:hAnsiTheme="majorBidi" w:cstheme="majorBidi"/>
          <w:sz w:val="32"/>
          <w:szCs w:val="32"/>
        </w:rPr>
        <w:t>and Environment</w:t>
      </w:r>
      <w:r w:rsidR="006A3802" w:rsidRPr="00E94400">
        <w:rPr>
          <w:rFonts w:asciiTheme="majorBidi" w:hAnsiTheme="majorBidi" w:cstheme="majorBidi"/>
          <w:sz w:val="32"/>
          <w:szCs w:val="32"/>
        </w:rPr>
        <w:t xml:space="preserve"> Quality Authority </w:t>
      </w:r>
      <w:r w:rsidRPr="00E94400">
        <w:rPr>
          <w:rFonts w:asciiTheme="majorBidi" w:hAnsiTheme="majorBidi" w:cstheme="majorBidi"/>
          <w:sz w:val="32"/>
          <w:szCs w:val="32"/>
        </w:rPr>
        <w:t xml:space="preserve">on </w:t>
      </w:r>
      <w:r w:rsidR="00DA3647" w:rsidRPr="00E94400">
        <w:rPr>
          <w:rFonts w:asciiTheme="majorBidi" w:hAnsiTheme="majorBidi" w:cstheme="majorBidi"/>
          <w:sz w:val="32"/>
          <w:szCs w:val="32"/>
        </w:rPr>
        <w:t>World Environment Day</w:t>
      </w:r>
      <w:r w:rsidR="003752D3" w:rsidRPr="00E94400">
        <w:rPr>
          <w:rFonts w:asciiTheme="majorBidi" w:hAnsiTheme="majorBidi" w:cstheme="majorBidi"/>
          <w:sz w:val="32"/>
          <w:szCs w:val="32"/>
        </w:rPr>
        <w:t xml:space="preserve"> </w:t>
      </w:r>
      <w:r w:rsidR="005B1281" w:rsidRPr="00E94400">
        <w:rPr>
          <w:rFonts w:asciiTheme="majorBidi" w:hAnsiTheme="majorBidi" w:cstheme="majorBidi"/>
          <w:sz w:val="32"/>
          <w:szCs w:val="32"/>
        </w:rPr>
        <w:t xml:space="preserve">under </w:t>
      </w:r>
      <w:r w:rsidR="003752D3" w:rsidRPr="00E94400">
        <w:rPr>
          <w:rFonts w:asciiTheme="majorBidi" w:hAnsiTheme="majorBidi" w:cstheme="majorBidi"/>
          <w:sz w:val="32"/>
          <w:szCs w:val="32"/>
        </w:rPr>
        <w:t xml:space="preserve">the theme </w:t>
      </w:r>
    </w:p>
    <w:p w:rsidR="00DA3647" w:rsidRPr="00E94400" w:rsidRDefault="00A72E4E" w:rsidP="001C2E7C">
      <w:pPr>
        <w:pStyle w:val="Title"/>
        <w:bidi w:val="0"/>
        <w:rPr>
          <w:rFonts w:asciiTheme="majorBidi" w:hAnsiTheme="majorBidi" w:cstheme="majorBidi"/>
          <w:sz w:val="30"/>
          <w:szCs w:val="30"/>
          <w:shd w:val="clear" w:color="auto" w:fill="0D4143"/>
          <w:rtl/>
        </w:rPr>
      </w:pPr>
      <w:r w:rsidRPr="00E94400">
        <w:rPr>
          <w:rFonts w:asciiTheme="majorBidi" w:hAnsiTheme="majorBidi" w:cstheme="majorBidi"/>
          <w:sz w:val="32"/>
          <w:szCs w:val="32"/>
          <w:rtl/>
        </w:rPr>
        <w:t>"</w:t>
      </w:r>
      <w:r w:rsidRPr="00E94400">
        <w:rPr>
          <w:rFonts w:asciiTheme="majorBidi" w:hAnsiTheme="majorBidi" w:cstheme="majorBidi"/>
          <w:sz w:val="30"/>
          <w:szCs w:val="30"/>
        </w:rPr>
        <w:t>Gaza in WED: Stifling Environmental and Humanitarian Crisis</w:t>
      </w:r>
      <w:r w:rsidRPr="00E94400">
        <w:rPr>
          <w:rFonts w:asciiTheme="majorBidi" w:hAnsiTheme="majorBidi" w:cstheme="majorBidi"/>
          <w:sz w:val="30"/>
          <w:szCs w:val="30"/>
          <w:rtl/>
        </w:rPr>
        <w:t>"</w:t>
      </w:r>
    </w:p>
    <w:p w:rsidR="0046196F" w:rsidRPr="00E94400" w:rsidRDefault="0046196F" w:rsidP="002F4533">
      <w:pPr>
        <w:pStyle w:val="Title"/>
        <w:bidi w:val="0"/>
        <w:rPr>
          <w:rFonts w:asciiTheme="majorBidi" w:hAnsiTheme="majorBidi" w:cstheme="majorBidi"/>
          <w:sz w:val="16"/>
          <w:szCs w:val="16"/>
        </w:rPr>
      </w:pPr>
    </w:p>
    <w:p w:rsidR="00E94400" w:rsidRDefault="00E94400" w:rsidP="00812F0C">
      <w:pPr>
        <w:pStyle w:val="NormalWeb"/>
        <w:shd w:val="clear" w:color="auto" w:fill="FFFFFF"/>
        <w:spacing w:before="0" w:beforeAutospacing="0" w:after="0" w:afterAutospacing="0"/>
        <w:jc w:val="both"/>
        <w:rPr>
          <w:rFonts w:asciiTheme="majorBidi" w:hAnsiTheme="majorBidi" w:cstheme="majorBidi"/>
          <w:sz w:val="26"/>
          <w:szCs w:val="26"/>
          <w:rtl/>
        </w:rPr>
      </w:pPr>
    </w:p>
    <w:p w:rsidR="00BF54F6" w:rsidRPr="00E94400" w:rsidRDefault="0057397C" w:rsidP="00812F0C">
      <w:pPr>
        <w:pStyle w:val="NormalWeb"/>
        <w:shd w:val="clear" w:color="auto" w:fill="FFFFFF"/>
        <w:spacing w:before="0" w:beforeAutospacing="0" w:after="0" w:afterAutospacing="0"/>
        <w:jc w:val="both"/>
        <w:rPr>
          <w:rFonts w:asciiTheme="majorBidi" w:hAnsiTheme="majorBidi" w:cstheme="majorBidi"/>
          <w:sz w:val="26"/>
          <w:szCs w:val="26"/>
          <w:rtl/>
        </w:rPr>
      </w:pPr>
      <w:r w:rsidRPr="00E94400">
        <w:rPr>
          <w:rFonts w:asciiTheme="majorBidi" w:hAnsiTheme="majorBidi" w:cstheme="majorBidi"/>
          <w:sz w:val="26"/>
          <w:szCs w:val="26"/>
        </w:rPr>
        <w:t xml:space="preserve">The </w:t>
      </w:r>
      <w:r w:rsidR="00BF54F6" w:rsidRPr="00E94400">
        <w:rPr>
          <w:rFonts w:asciiTheme="majorBidi" w:hAnsiTheme="majorBidi" w:cstheme="majorBidi"/>
          <w:sz w:val="26"/>
          <w:szCs w:val="26"/>
        </w:rPr>
        <w:t xml:space="preserve">World Environment Day (WED) is </w:t>
      </w:r>
      <w:r w:rsidR="00404162" w:rsidRPr="00E94400">
        <w:rPr>
          <w:rFonts w:asciiTheme="majorBidi" w:hAnsiTheme="majorBidi" w:cstheme="majorBidi"/>
          <w:sz w:val="26"/>
          <w:szCs w:val="26"/>
        </w:rPr>
        <w:t xml:space="preserve">annually </w:t>
      </w:r>
      <w:r w:rsidR="00BF54F6" w:rsidRPr="00E94400">
        <w:rPr>
          <w:rFonts w:asciiTheme="majorBidi" w:hAnsiTheme="majorBidi" w:cstheme="majorBidi"/>
          <w:sz w:val="26"/>
          <w:szCs w:val="26"/>
        </w:rPr>
        <w:t xml:space="preserve">celebrated on </w:t>
      </w:r>
      <w:r w:rsidR="00812F0C" w:rsidRPr="00E94400">
        <w:rPr>
          <w:rFonts w:asciiTheme="majorBidi" w:hAnsiTheme="majorBidi" w:cstheme="majorBidi"/>
          <w:sz w:val="26"/>
          <w:szCs w:val="26"/>
        </w:rPr>
        <w:t xml:space="preserve">June </w:t>
      </w:r>
      <w:proofErr w:type="gramStart"/>
      <w:r w:rsidR="00BF54F6" w:rsidRPr="00E94400">
        <w:rPr>
          <w:rFonts w:asciiTheme="majorBidi" w:hAnsiTheme="majorBidi" w:cstheme="majorBidi"/>
          <w:sz w:val="26"/>
          <w:szCs w:val="26"/>
        </w:rPr>
        <w:t>5</w:t>
      </w:r>
      <w:r w:rsidR="00BF54F6" w:rsidRPr="00E94400">
        <w:rPr>
          <w:rFonts w:asciiTheme="majorBidi" w:hAnsiTheme="majorBidi" w:cstheme="majorBidi"/>
          <w:sz w:val="26"/>
          <w:szCs w:val="26"/>
          <w:vertAlign w:val="superscript"/>
        </w:rPr>
        <w:t>th</w:t>
      </w:r>
      <w:proofErr w:type="gramEnd"/>
      <w:r w:rsidR="00812F0C" w:rsidRPr="00E94400">
        <w:rPr>
          <w:rFonts w:asciiTheme="majorBidi" w:hAnsiTheme="majorBidi" w:cstheme="majorBidi"/>
          <w:sz w:val="26"/>
          <w:szCs w:val="26"/>
        </w:rPr>
        <w:t xml:space="preserve">, </w:t>
      </w:r>
      <w:r w:rsidR="00BF54F6" w:rsidRPr="00E94400">
        <w:rPr>
          <w:rFonts w:asciiTheme="majorBidi" w:hAnsiTheme="majorBidi" w:cstheme="majorBidi"/>
          <w:sz w:val="26"/>
          <w:szCs w:val="26"/>
        </w:rPr>
        <w:t xml:space="preserve">since 1972. </w:t>
      </w:r>
      <w:r w:rsidR="00BF54F6" w:rsidRPr="00E94400">
        <w:rPr>
          <w:rFonts w:asciiTheme="majorBidi" w:hAnsiTheme="majorBidi" w:cstheme="majorBidi"/>
          <w:sz w:val="26"/>
          <w:szCs w:val="26"/>
          <w:lang w:eastAsia="ar-SA"/>
        </w:rPr>
        <w:t xml:space="preserve">WED is the United Nations’ principal </w:t>
      </w:r>
      <w:r w:rsidR="00B45DA1" w:rsidRPr="00E94400">
        <w:rPr>
          <w:rFonts w:asciiTheme="majorBidi" w:hAnsiTheme="majorBidi" w:cstheme="majorBidi"/>
          <w:sz w:val="26"/>
          <w:szCs w:val="26"/>
          <w:lang w:eastAsia="ar-SA"/>
        </w:rPr>
        <w:t>tool</w:t>
      </w:r>
      <w:r w:rsidR="00BF54F6" w:rsidRPr="00E94400">
        <w:rPr>
          <w:rFonts w:asciiTheme="majorBidi" w:hAnsiTheme="majorBidi" w:cstheme="majorBidi"/>
          <w:sz w:val="26"/>
          <w:szCs w:val="26"/>
          <w:lang w:eastAsia="ar-SA"/>
        </w:rPr>
        <w:t xml:space="preserve"> for encouraging worldwide awareness and action for the environment. </w:t>
      </w:r>
    </w:p>
    <w:p w:rsidR="00BF54F6" w:rsidRPr="00E94400" w:rsidRDefault="00BF54F6" w:rsidP="00BF54F6">
      <w:pPr>
        <w:pStyle w:val="NormalWeb"/>
        <w:shd w:val="clear" w:color="auto" w:fill="FFFFFF"/>
        <w:spacing w:before="0" w:beforeAutospacing="0" w:after="0" w:afterAutospacing="0"/>
        <w:jc w:val="both"/>
        <w:rPr>
          <w:rFonts w:asciiTheme="majorBidi" w:hAnsiTheme="majorBidi" w:cstheme="majorBidi"/>
          <w:color w:val="000000" w:themeColor="text1"/>
          <w:sz w:val="16"/>
          <w:szCs w:val="16"/>
        </w:rPr>
      </w:pPr>
    </w:p>
    <w:p w:rsidR="00BF54F6" w:rsidRPr="00E94400" w:rsidRDefault="00B37607" w:rsidP="00775779">
      <w:pPr>
        <w:bidi w:val="0"/>
        <w:jc w:val="both"/>
        <w:rPr>
          <w:rFonts w:asciiTheme="majorBidi" w:hAnsiTheme="majorBidi" w:cstheme="majorBidi"/>
          <w:color w:val="000000" w:themeColor="text1"/>
          <w:sz w:val="26"/>
          <w:szCs w:val="26"/>
          <w:rtl/>
        </w:rPr>
      </w:pPr>
      <w:r w:rsidRPr="00E94400">
        <w:rPr>
          <w:rFonts w:asciiTheme="majorBidi" w:hAnsiTheme="majorBidi" w:cstheme="majorBidi"/>
          <w:color w:val="000000" w:themeColor="text1"/>
          <w:sz w:val="26"/>
          <w:szCs w:val="26"/>
        </w:rPr>
        <w:t xml:space="preserve">The </w:t>
      </w:r>
      <w:r w:rsidR="00404162" w:rsidRPr="00E94400">
        <w:rPr>
          <w:rFonts w:asciiTheme="majorBidi" w:hAnsiTheme="majorBidi" w:cstheme="majorBidi"/>
          <w:color w:val="000000" w:themeColor="text1"/>
          <w:sz w:val="26"/>
          <w:szCs w:val="26"/>
        </w:rPr>
        <w:t xml:space="preserve">theme </w:t>
      </w:r>
      <w:r w:rsidR="00231FB6" w:rsidRPr="00E94400">
        <w:rPr>
          <w:rFonts w:asciiTheme="majorBidi" w:hAnsiTheme="majorBidi" w:cstheme="majorBidi"/>
          <w:color w:val="000000" w:themeColor="text1"/>
          <w:sz w:val="26"/>
          <w:szCs w:val="26"/>
        </w:rPr>
        <w:t>of WED</w:t>
      </w:r>
      <w:r w:rsidR="00404162" w:rsidRPr="00E94400">
        <w:rPr>
          <w:rFonts w:asciiTheme="majorBidi" w:hAnsiTheme="majorBidi" w:cstheme="majorBidi"/>
          <w:color w:val="000000" w:themeColor="text1"/>
          <w:sz w:val="26"/>
          <w:szCs w:val="26"/>
        </w:rPr>
        <w:t xml:space="preserve"> </w:t>
      </w:r>
      <w:r w:rsidRPr="00E94400">
        <w:rPr>
          <w:rFonts w:asciiTheme="majorBidi" w:hAnsiTheme="majorBidi" w:cstheme="majorBidi"/>
          <w:color w:val="000000" w:themeColor="text1"/>
          <w:sz w:val="26"/>
          <w:szCs w:val="26"/>
        </w:rPr>
        <w:t>202</w:t>
      </w:r>
      <w:r w:rsidR="001074CE" w:rsidRPr="00E94400">
        <w:rPr>
          <w:rFonts w:asciiTheme="majorBidi" w:hAnsiTheme="majorBidi" w:cstheme="majorBidi"/>
          <w:color w:val="000000" w:themeColor="text1"/>
          <w:sz w:val="26"/>
          <w:szCs w:val="26"/>
          <w:rtl/>
        </w:rPr>
        <w:t>5</w:t>
      </w:r>
      <w:r w:rsidRPr="00E94400">
        <w:rPr>
          <w:rFonts w:asciiTheme="majorBidi" w:hAnsiTheme="majorBidi" w:cstheme="majorBidi"/>
          <w:color w:val="000000" w:themeColor="text1"/>
          <w:sz w:val="26"/>
          <w:szCs w:val="26"/>
        </w:rPr>
        <w:t xml:space="preserve"> will highlight </w:t>
      </w:r>
      <w:r w:rsidR="00B80B8F" w:rsidRPr="00E94400">
        <w:rPr>
          <w:rFonts w:asciiTheme="majorBidi" w:hAnsiTheme="majorBidi" w:cstheme="majorBidi"/>
          <w:color w:val="000000" w:themeColor="text1"/>
          <w:sz w:val="26"/>
          <w:szCs w:val="26"/>
        </w:rPr>
        <w:t xml:space="preserve">the </w:t>
      </w:r>
      <w:r w:rsidRPr="00E94400">
        <w:rPr>
          <w:rFonts w:asciiTheme="majorBidi" w:hAnsiTheme="majorBidi" w:cstheme="majorBidi"/>
          <w:color w:val="000000" w:themeColor="text1"/>
          <w:sz w:val="26"/>
          <w:szCs w:val="26"/>
        </w:rPr>
        <w:t>solution to plastic pollution under</w:t>
      </w:r>
      <w:r w:rsidR="00BF54F6" w:rsidRPr="00E94400">
        <w:rPr>
          <w:rFonts w:asciiTheme="majorBidi" w:hAnsiTheme="majorBidi" w:cstheme="majorBidi"/>
          <w:color w:val="000000" w:themeColor="text1"/>
          <w:sz w:val="26"/>
          <w:szCs w:val="26"/>
        </w:rPr>
        <w:t xml:space="preserve"> </w:t>
      </w:r>
      <w:r w:rsidR="00D4616C" w:rsidRPr="00E94400">
        <w:rPr>
          <w:rFonts w:asciiTheme="majorBidi" w:hAnsiTheme="majorBidi" w:cstheme="majorBidi"/>
          <w:color w:val="000000" w:themeColor="text1"/>
          <w:sz w:val="26"/>
          <w:szCs w:val="26"/>
        </w:rPr>
        <w:t xml:space="preserve">the title </w:t>
      </w:r>
      <w:r w:rsidR="00E54217" w:rsidRPr="00E94400">
        <w:rPr>
          <w:rFonts w:asciiTheme="majorBidi" w:hAnsiTheme="majorBidi" w:cstheme="majorBidi"/>
          <w:color w:val="000000" w:themeColor="text1"/>
          <w:sz w:val="26"/>
          <w:szCs w:val="26"/>
        </w:rPr>
        <w:t>"</w:t>
      </w:r>
      <w:r w:rsidR="002674C6" w:rsidRPr="00E94400">
        <w:rPr>
          <w:rFonts w:asciiTheme="majorBidi" w:hAnsiTheme="majorBidi" w:cstheme="majorBidi"/>
          <w:color w:val="000000" w:themeColor="text1"/>
          <w:sz w:val="26"/>
          <w:szCs w:val="26"/>
        </w:rPr>
        <w:t>Beat Plastic Pollution</w:t>
      </w:r>
      <w:r w:rsidR="00E54217" w:rsidRPr="00E94400">
        <w:rPr>
          <w:rFonts w:asciiTheme="majorBidi" w:hAnsiTheme="majorBidi" w:cstheme="majorBidi"/>
          <w:color w:val="000000" w:themeColor="text1"/>
          <w:sz w:val="26"/>
          <w:szCs w:val="26"/>
        </w:rPr>
        <w:t>"</w:t>
      </w:r>
      <w:r w:rsidR="002674C6" w:rsidRPr="00E94400">
        <w:rPr>
          <w:rFonts w:asciiTheme="majorBidi" w:hAnsiTheme="majorBidi" w:cstheme="majorBidi"/>
          <w:color w:val="000000" w:themeColor="text1"/>
          <w:sz w:val="26"/>
          <w:szCs w:val="26"/>
        </w:rPr>
        <w:t>.</w:t>
      </w:r>
      <w:r w:rsidR="00BF54F6" w:rsidRPr="00E94400">
        <w:rPr>
          <w:rFonts w:asciiTheme="majorBidi" w:hAnsiTheme="majorBidi" w:cstheme="majorBidi"/>
          <w:color w:val="000000" w:themeColor="text1"/>
          <w:sz w:val="26"/>
          <w:szCs w:val="26"/>
        </w:rPr>
        <w:t xml:space="preserve"> </w:t>
      </w:r>
    </w:p>
    <w:p w:rsidR="000B1A43" w:rsidRPr="00E94400" w:rsidRDefault="000B1A43" w:rsidP="000B1A43">
      <w:pPr>
        <w:bidi w:val="0"/>
        <w:jc w:val="both"/>
        <w:rPr>
          <w:rFonts w:asciiTheme="majorBidi" w:hAnsiTheme="majorBidi" w:cstheme="majorBidi"/>
          <w:color w:val="000000" w:themeColor="text1"/>
          <w:sz w:val="16"/>
          <w:szCs w:val="16"/>
          <w:rtl/>
        </w:rPr>
      </w:pPr>
    </w:p>
    <w:p w:rsidR="009C51E9" w:rsidRPr="00E94400" w:rsidRDefault="00EA6948" w:rsidP="006F20D8">
      <w:pPr>
        <w:pStyle w:val="ListParagraph"/>
        <w:numPr>
          <w:ilvl w:val="0"/>
          <w:numId w:val="2"/>
        </w:numPr>
        <w:bidi w:val="0"/>
        <w:ind w:left="284" w:hanging="426"/>
        <w:jc w:val="both"/>
        <w:rPr>
          <w:rFonts w:asciiTheme="majorBidi" w:hAnsiTheme="majorBidi" w:cstheme="majorBidi"/>
          <w:b/>
          <w:bCs/>
          <w:sz w:val="26"/>
          <w:szCs w:val="26"/>
          <w:rtl/>
        </w:rPr>
      </w:pPr>
      <w:r w:rsidRPr="00E94400">
        <w:rPr>
          <w:rFonts w:asciiTheme="majorBidi" w:hAnsiTheme="majorBidi" w:cstheme="majorBidi"/>
          <w:b/>
          <w:bCs/>
          <w:color w:val="000000" w:themeColor="text1"/>
          <w:sz w:val="26"/>
          <w:szCs w:val="26"/>
          <w:rtl/>
        </w:rPr>
        <w:t>65</w:t>
      </w:r>
      <w:r w:rsidR="009C51E9" w:rsidRPr="00E94400">
        <w:rPr>
          <w:rFonts w:asciiTheme="majorBidi" w:hAnsiTheme="majorBidi" w:cstheme="majorBidi"/>
          <w:b/>
          <w:bCs/>
          <w:color w:val="000000" w:themeColor="text1"/>
          <w:sz w:val="26"/>
          <w:szCs w:val="26"/>
        </w:rPr>
        <w:t>% of Gaza population receives less than</w:t>
      </w:r>
      <w:r w:rsidR="006F20D8" w:rsidRPr="00E94400">
        <w:rPr>
          <w:rFonts w:asciiTheme="majorBidi" w:hAnsiTheme="majorBidi" w:cstheme="majorBidi"/>
          <w:b/>
          <w:bCs/>
          <w:color w:val="000000" w:themeColor="text1"/>
          <w:sz w:val="26"/>
          <w:szCs w:val="26"/>
          <w:rtl/>
        </w:rPr>
        <w:t xml:space="preserve">   </w:t>
      </w:r>
      <w:r w:rsidR="009C51E9" w:rsidRPr="00E94400">
        <w:rPr>
          <w:rFonts w:asciiTheme="majorBidi" w:hAnsiTheme="majorBidi" w:cstheme="majorBidi"/>
          <w:b/>
          <w:bCs/>
          <w:color w:val="000000" w:themeColor="text1"/>
          <w:sz w:val="26"/>
          <w:szCs w:val="26"/>
        </w:rPr>
        <w:t xml:space="preserve"> </w:t>
      </w:r>
      <w:r w:rsidRPr="00E94400">
        <w:rPr>
          <w:rFonts w:asciiTheme="majorBidi" w:hAnsiTheme="majorBidi" w:cstheme="majorBidi"/>
          <w:b/>
          <w:bCs/>
          <w:color w:val="000000" w:themeColor="text1"/>
          <w:sz w:val="26"/>
          <w:szCs w:val="26"/>
          <w:rtl/>
        </w:rPr>
        <w:t>3</w:t>
      </w:r>
      <w:r w:rsidR="00794248" w:rsidRPr="00E94400">
        <w:rPr>
          <w:rFonts w:asciiTheme="majorBidi" w:hAnsiTheme="majorBidi" w:cstheme="majorBidi"/>
          <w:b/>
          <w:bCs/>
          <w:color w:val="000000" w:themeColor="text1"/>
          <w:sz w:val="26"/>
          <w:szCs w:val="26"/>
        </w:rPr>
        <w:t>-</w:t>
      </w:r>
      <w:r w:rsidRPr="00E94400">
        <w:rPr>
          <w:rFonts w:asciiTheme="majorBidi" w:hAnsiTheme="majorBidi" w:cstheme="majorBidi"/>
          <w:b/>
          <w:bCs/>
          <w:color w:val="000000" w:themeColor="text1"/>
          <w:sz w:val="26"/>
          <w:szCs w:val="26"/>
          <w:rtl/>
        </w:rPr>
        <w:t>5</w:t>
      </w:r>
      <w:r w:rsidR="009C51E9" w:rsidRPr="00E94400">
        <w:rPr>
          <w:rFonts w:asciiTheme="majorBidi" w:hAnsiTheme="majorBidi" w:cstheme="majorBidi"/>
          <w:b/>
          <w:bCs/>
          <w:color w:val="000000" w:themeColor="text1"/>
          <w:sz w:val="26"/>
          <w:szCs w:val="26"/>
        </w:rPr>
        <w:t xml:space="preserve"> liters/person/day for drinking</w:t>
      </w:r>
      <w:r w:rsidR="00794248" w:rsidRPr="00E94400">
        <w:rPr>
          <w:rFonts w:asciiTheme="majorBidi" w:hAnsiTheme="majorBidi" w:cstheme="majorBidi"/>
          <w:b/>
          <w:bCs/>
          <w:color w:val="000000" w:themeColor="text1"/>
          <w:sz w:val="26"/>
          <w:szCs w:val="26"/>
        </w:rPr>
        <w:t xml:space="preserve"> and </w:t>
      </w:r>
      <w:r w:rsidR="009C51E9" w:rsidRPr="00E94400">
        <w:rPr>
          <w:rFonts w:asciiTheme="majorBidi" w:hAnsiTheme="majorBidi" w:cstheme="majorBidi"/>
          <w:b/>
          <w:bCs/>
          <w:color w:val="000000" w:themeColor="text1"/>
          <w:sz w:val="26"/>
          <w:szCs w:val="26"/>
        </w:rPr>
        <w:t xml:space="preserve">cooking </w:t>
      </w:r>
      <w:r w:rsidR="00794248" w:rsidRPr="00E94400">
        <w:rPr>
          <w:rFonts w:asciiTheme="majorBidi" w:hAnsiTheme="majorBidi" w:cstheme="majorBidi"/>
          <w:b/>
          <w:bCs/>
          <w:color w:val="000000" w:themeColor="text1"/>
          <w:sz w:val="26"/>
          <w:szCs w:val="26"/>
        </w:rPr>
        <w:t xml:space="preserve">purposes </w:t>
      </w:r>
      <w:r w:rsidR="009C51E9" w:rsidRPr="00E94400">
        <w:rPr>
          <w:rFonts w:asciiTheme="majorBidi" w:hAnsiTheme="majorBidi" w:cstheme="majorBidi"/>
          <w:b/>
          <w:bCs/>
          <w:sz w:val="26"/>
          <w:szCs w:val="26"/>
        </w:rPr>
        <w:t xml:space="preserve">(which is less than the minimum humanitarian requirement in emergency situations, according to </w:t>
      </w:r>
      <w:r w:rsidR="00775779" w:rsidRPr="00E94400">
        <w:rPr>
          <w:rFonts w:asciiTheme="majorBidi" w:hAnsiTheme="majorBidi" w:cstheme="majorBidi"/>
          <w:b/>
          <w:bCs/>
          <w:sz w:val="26"/>
          <w:szCs w:val="26"/>
        </w:rPr>
        <w:t xml:space="preserve">the </w:t>
      </w:r>
      <w:r w:rsidR="009C51E9" w:rsidRPr="00E94400">
        <w:rPr>
          <w:rFonts w:asciiTheme="majorBidi" w:hAnsiTheme="majorBidi" w:cstheme="majorBidi"/>
          <w:b/>
          <w:bCs/>
          <w:sz w:val="26"/>
          <w:szCs w:val="26"/>
        </w:rPr>
        <w:t>World Health Organization).</w:t>
      </w:r>
    </w:p>
    <w:p w:rsidR="00003544" w:rsidRPr="00E94400" w:rsidRDefault="00794248" w:rsidP="002633AB">
      <w:pPr>
        <w:pStyle w:val="ListParagraph"/>
        <w:numPr>
          <w:ilvl w:val="0"/>
          <w:numId w:val="2"/>
        </w:numPr>
        <w:bidi w:val="0"/>
        <w:ind w:left="284" w:hanging="426"/>
        <w:jc w:val="both"/>
        <w:rPr>
          <w:rFonts w:asciiTheme="majorBidi" w:hAnsiTheme="majorBidi" w:cstheme="majorBidi"/>
          <w:b/>
          <w:bCs/>
          <w:color w:val="000000" w:themeColor="text1"/>
          <w:sz w:val="26"/>
          <w:szCs w:val="26"/>
        </w:rPr>
      </w:pPr>
      <w:r w:rsidRPr="00E94400">
        <w:rPr>
          <w:rFonts w:asciiTheme="majorBidi" w:hAnsiTheme="majorBidi" w:cstheme="majorBidi"/>
          <w:b/>
          <w:bCs/>
          <w:color w:val="000000" w:themeColor="text1"/>
          <w:sz w:val="26"/>
          <w:szCs w:val="26"/>
        </w:rPr>
        <w:t>A</w:t>
      </w:r>
      <w:r w:rsidR="002633AB" w:rsidRPr="00E94400">
        <w:rPr>
          <w:rFonts w:asciiTheme="majorBidi" w:hAnsiTheme="majorBidi" w:cstheme="majorBidi"/>
          <w:b/>
          <w:bCs/>
          <w:color w:val="000000" w:themeColor="text1"/>
          <w:sz w:val="26"/>
          <w:szCs w:val="26"/>
        </w:rPr>
        <w:t>n</w:t>
      </w:r>
      <w:r w:rsidR="009C51E9" w:rsidRPr="00E94400">
        <w:rPr>
          <w:rFonts w:asciiTheme="majorBidi" w:hAnsiTheme="majorBidi" w:cstheme="majorBidi"/>
          <w:b/>
          <w:bCs/>
          <w:color w:val="000000" w:themeColor="text1"/>
          <w:sz w:val="26"/>
          <w:szCs w:val="26"/>
        </w:rPr>
        <w:t xml:space="preserve"> increase </w:t>
      </w:r>
      <w:r w:rsidR="002633AB" w:rsidRPr="00E94400">
        <w:rPr>
          <w:rFonts w:asciiTheme="majorBidi" w:hAnsiTheme="majorBidi" w:cstheme="majorBidi"/>
          <w:b/>
          <w:bCs/>
          <w:color w:val="000000" w:themeColor="text1"/>
          <w:sz w:val="26"/>
          <w:szCs w:val="26"/>
        </w:rPr>
        <w:t xml:space="preserve">by more than 400% in </w:t>
      </w:r>
      <w:r w:rsidR="00775779" w:rsidRPr="00E94400">
        <w:rPr>
          <w:rFonts w:asciiTheme="majorBidi" w:hAnsiTheme="majorBidi" w:cstheme="majorBidi"/>
          <w:b/>
          <w:bCs/>
          <w:color w:val="000000" w:themeColor="text1"/>
          <w:sz w:val="26"/>
          <w:szCs w:val="26"/>
        </w:rPr>
        <w:t xml:space="preserve">the </w:t>
      </w:r>
      <w:r w:rsidR="002633AB" w:rsidRPr="00E94400">
        <w:rPr>
          <w:rFonts w:asciiTheme="majorBidi" w:hAnsiTheme="majorBidi" w:cstheme="majorBidi"/>
          <w:b/>
          <w:bCs/>
          <w:color w:val="000000" w:themeColor="text1"/>
          <w:sz w:val="26"/>
          <w:szCs w:val="26"/>
        </w:rPr>
        <w:t>prices of water tankers</w:t>
      </w:r>
      <w:r w:rsidR="00876DCC" w:rsidRPr="00E94400">
        <w:rPr>
          <w:rFonts w:asciiTheme="majorBidi" w:hAnsiTheme="majorBidi" w:cstheme="majorBidi"/>
          <w:b/>
          <w:bCs/>
          <w:color w:val="000000" w:themeColor="text1"/>
          <w:sz w:val="26"/>
          <w:szCs w:val="26"/>
        </w:rPr>
        <w:t>.</w:t>
      </w:r>
      <w:r w:rsidR="00003544" w:rsidRPr="00E94400">
        <w:rPr>
          <w:rFonts w:asciiTheme="majorBidi" w:hAnsiTheme="majorBidi" w:cstheme="majorBidi"/>
          <w:b/>
          <w:bCs/>
          <w:color w:val="000000" w:themeColor="text1"/>
          <w:sz w:val="26"/>
          <w:szCs w:val="26"/>
        </w:rPr>
        <w:t xml:space="preserve"> </w:t>
      </w:r>
    </w:p>
    <w:p w:rsidR="00003544" w:rsidRPr="00E94400" w:rsidRDefault="00003544" w:rsidP="004C07FF">
      <w:pPr>
        <w:pStyle w:val="ListParagraph"/>
        <w:numPr>
          <w:ilvl w:val="0"/>
          <w:numId w:val="2"/>
        </w:numPr>
        <w:bidi w:val="0"/>
        <w:ind w:left="284" w:hanging="426"/>
        <w:jc w:val="both"/>
        <w:rPr>
          <w:rFonts w:asciiTheme="majorBidi" w:hAnsiTheme="majorBidi" w:cstheme="majorBidi"/>
          <w:b/>
          <w:bCs/>
          <w:color w:val="000000" w:themeColor="text1"/>
          <w:sz w:val="26"/>
          <w:szCs w:val="26"/>
          <w:rtl/>
        </w:rPr>
      </w:pPr>
      <w:r w:rsidRPr="00E94400">
        <w:rPr>
          <w:rFonts w:asciiTheme="majorBidi" w:hAnsiTheme="majorBidi" w:cstheme="majorBidi"/>
          <w:b/>
          <w:bCs/>
          <w:color w:val="000000" w:themeColor="text1"/>
          <w:sz w:val="26"/>
          <w:szCs w:val="26"/>
        </w:rPr>
        <w:t>A</w:t>
      </w:r>
      <w:r w:rsidR="008A7659" w:rsidRPr="00E94400">
        <w:rPr>
          <w:rFonts w:asciiTheme="majorBidi" w:hAnsiTheme="majorBidi" w:cstheme="majorBidi"/>
          <w:b/>
          <w:bCs/>
          <w:color w:val="000000" w:themeColor="text1"/>
          <w:sz w:val="26"/>
          <w:szCs w:val="26"/>
        </w:rPr>
        <w:t xml:space="preserve">n Almost </w:t>
      </w:r>
      <w:r w:rsidR="004C07FF" w:rsidRPr="00E94400">
        <w:rPr>
          <w:rFonts w:asciiTheme="majorBidi" w:hAnsiTheme="majorBidi" w:cstheme="majorBidi"/>
          <w:b/>
          <w:bCs/>
          <w:color w:val="000000" w:themeColor="text1"/>
          <w:sz w:val="26"/>
          <w:szCs w:val="26"/>
        </w:rPr>
        <w:t>total</w:t>
      </w:r>
      <w:r w:rsidRPr="00E94400">
        <w:rPr>
          <w:rFonts w:asciiTheme="majorBidi" w:hAnsiTheme="majorBidi" w:cstheme="majorBidi"/>
          <w:b/>
          <w:bCs/>
          <w:color w:val="000000" w:themeColor="text1"/>
          <w:sz w:val="26"/>
          <w:szCs w:val="26"/>
        </w:rPr>
        <w:t xml:space="preserve"> collapse of the water and sanitation sector: more than 85% of the water and sanitation infrastructure </w:t>
      </w:r>
      <w:proofErr w:type="gramStart"/>
      <w:r w:rsidRPr="00E94400">
        <w:rPr>
          <w:rFonts w:asciiTheme="majorBidi" w:hAnsiTheme="majorBidi" w:cstheme="majorBidi"/>
          <w:b/>
          <w:bCs/>
          <w:color w:val="000000" w:themeColor="text1"/>
          <w:sz w:val="26"/>
          <w:szCs w:val="26"/>
        </w:rPr>
        <w:t>has been destroyed</w:t>
      </w:r>
      <w:proofErr w:type="gramEnd"/>
      <w:r w:rsidRPr="00E94400">
        <w:rPr>
          <w:rFonts w:asciiTheme="majorBidi" w:hAnsiTheme="majorBidi" w:cstheme="majorBidi"/>
          <w:b/>
          <w:bCs/>
          <w:color w:val="000000" w:themeColor="text1"/>
          <w:sz w:val="26"/>
          <w:szCs w:val="26"/>
        </w:rPr>
        <w:t>, and all six major wastewater treatment plants have stopped working.</w:t>
      </w:r>
    </w:p>
    <w:p w:rsidR="00442A47" w:rsidRPr="00E94400" w:rsidRDefault="00442A47">
      <w:pPr>
        <w:pStyle w:val="ListParagraph"/>
        <w:numPr>
          <w:ilvl w:val="0"/>
          <w:numId w:val="2"/>
        </w:numPr>
        <w:bidi w:val="0"/>
        <w:ind w:left="284" w:hanging="426"/>
        <w:jc w:val="both"/>
        <w:rPr>
          <w:rFonts w:asciiTheme="majorBidi" w:hAnsiTheme="majorBidi" w:cstheme="majorBidi"/>
          <w:b/>
          <w:bCs/>
          <w:sz w:val="26"/>
          <w:szCs w:val="26"/>
        </w:rPr>
      </w:pPr>
      <w:r w:rsidRPr="00E94400">
        <w:rPr>
          <w:rFonts w:asciiTheme="majorBidi" w:hAnsiTheme="majorBidi" w:cstheme="majorBidi"/>
          <w:b/>
          <w:bCs/>
          <w:sz w:val="26"/>
          <w:szCs w:val="26"/>
        </w:rPr>
        <w:t xml:space="preserve">Half a </w:t>
      </w:r>
      <w:r w:rsidR="00003544" w:rsidRPr="00E94400">
        <w:rPr>
          <w:rFonts w:asciiTheme="majorBidi" w:hAnsiTheme="majorBidi" w:cstheme="majorBidi"/>
          <w:b/>
          <w:bCs/>
          <w:sz w:val="26"/>
          <w:szCs w:val="26"/>
        </w:rPr>
        <w:t>m</w:t>
      </w:r>
      <w:r w:rsidRPr="00E94400">
        <w:rPr>
          <w:rFonts w:asciiTheme="majorBidi" w:hAnsiTheme="majorBidi" w:cstheme="majorBidi"/>
          <w:b/>
          <w:bCs/>
          <w:sz w:val="26"/>
          <w:szCs w:val="26"/>
        </w:rPr>
        <w:t xml:space="preserve">illion </w:t>
      </w:r>
      <w:r w:rsidR="00003544" w:rsidRPr="00E94400">
        <w:rPr>
          <w:rFonts w:asciiTheme="majorBidi" w:hAnsiTheme="majorBidi" w:cstheme="majorBidi"/>
          <w:b/>
          <w:bCs/>
          <w:sz w:val="26"/>
          <w:szCs w:val="26"/>
        </w:rPr>
        <w:t>t</w:t>
      </w:r>
      <w:r w:rsidRPr="00E94400">
        <w:rPr>
          <w:rFonts w:asciiTheme="majorBidi" w:hAnsiTheme="majorBidi" w:cstheme="majorBidi"/>
          <w:b/>
          <w:bCs/>
          <w:sz w:val="26"/>
          <w:szCs w:val="26"/>
        </w:rPr>
        <w:t xml:space="preserve">ons of </w:t>
      </w:r>
      <w:r w:rsidR="00003544" w:rsidRPr="00E94400">
        <w:rPr>
          <w:rFonts w:asciiTheme="majorBidi" w:hAnsiTheme="majorBidi" w:cstheme="majorBidi"/>
          <w:b/>
          <w:bCs/>
          <w:sz w:val="26"/>
          <w:szCs w:val="26"/>
        </w:rPr>
        <w:t>p</w:t>
      </w:r>
      <w:r w:rsidRPr="00E94400">
        <w:rPr>
          <w:rFonts w:asciiTheme="majorBidi" w:hAnsiTheme="majorBidi" w:cstheme="majorBidi"/>
          <w:b/>
          <w:bCs/>
          <w:sz w:val="26"/>
          <w:szCs w:val="26"/>
        </w:rPr>
        <w:t>iled-</w:t>
      </w:r>
      <w:r w:rsidR="00003544" w:rsidRPr="00E94400">
        <w:rPr>
          <w:rFonts w:asciiTheme="majorBidi" w:hAnsiTheme="majorBidi" w:cstheme="majorBidi"/>
          <w:b/>
          <w:bCs/>
          <w:sz w:val="26"/>
          <w:szCs w:val="26"/>
        </w:rPr>
        <w:t>u</w:t>
      </w:r>
      <w:r w:rsidRPr="00E94400">
        <w:rPr>
          <w:rFonts w:asciiTheme="majorBidi" w:hAnsiTheme="majorBidi" w:cstheme="majorBidi"/>
          <w:b/>
          <w:bCs/>
          <w:sz w:val="26"/>
          <w:szCs w:val="26"/>
        </w:rPr>
        <w:t xml:space="preserve">p </w:t>
      </w:r>
      <w:r w:rsidR="00003544" w:rsidRPr="00E94400">
        <w:rPr>
          <w:rFonts w:asciiTheme="majorBidi" w:hAnsiTheme="majorBidi" w:cstheme="majorBidi"/>
          <w:b/>
          <w:bCs/>
          <w:sz w:val="26"/>
          <w:szCs w:val="26"/>
        </w:rPr>
        <w:t>w</w:t>
      </w:r>
      <w:r w:rsidRPr="00E94400">
        <w:rPr>
          <w:rFonts w:asciiTheme="majorBidi" w:hAnsiTheme="majorBidi" w:cstheme="majorBidi"/>
          <w:b/>
          <w:bCs/>
          <w:sz w:val="26"/>
          <w:szCs w:val="26"/>
        </w:rPr>
        <w:t xml:space="preserve">aste and 50 </w:t>
      </w:r>
      <w:r w:rsidR="00003544" w:rsidRPr="00E94400">
        <w:rPr>
          <w:rFonts w:asciiTheme="majorBidi" w:hAnsiTheme="majorBidi" w:cstheme="majorBidi"/>
          <w:b/>
          <w:bCs/>
          <w:sz w:val="26"/>
          <w:szCs w:val="26"/>
        </w:rPr>
        <w:t>m</w:t>
      </w:r>
      <w:r w:rsidRPr="00E94400">
        <w:rPr>
          <w:rFonts w:asciiTheme="majorBidi" w:hAnsiTheme="majorBidi" w:cstheme="majorBidi"/>
          <w:b/>
          <w:bCs/>
          <w:sz w:val="26"/>
          <w:szCs w:val="26"/>
        </w:rPr>
        <w:t xml:space="preserve">illion </w:t>
      </w:r>
      <w:r w:rsidR="00003544" w:rsidRPr="00E94400">
        <w:rPr>
          <w:rFonts w:asciiTheme="majorBidi" w:hAnsiTheme="majorBidi" w:cstheme="majorBidi"/>
          <w:b/>
          <w:bCs/>
          <w:sz w:val="26"/>
          <w:szCs w:val="26"/>
        </w:rPr>
        <w:t>t</w:t>
      </w:r>
      <w:r w:rsidRPr="00E94400">
        <w:rPr>
          <w:rFonts w:asciiTheme="majorBidi" w:hAnsiTheme="majorBidi" w:cstheme="majorBidi"/>
          <w:b/>
          <w:bCs/>
          <w:sz w:val="26"/>
          <w:szCs w:val="26"/>
        </w:rPr>
        <w:t xml:space="preserve">ons of </w:t>
      </w:r>
      <w:r w:rsidR="00003544" w:rsidRPr="00E94400">
        <w:rPr>
          <w:rFonts w:asciiTheme="majorBidi" w:hAnsiTheme="majorBidi" w:cstheme="majorBidi"/>
          <w:b/>
          <w:bCs/>
          <w:sz w:val="26"/>
          <w:szCs w:val="26"/>
        </w:rPr>
        <w:t>r</w:t>
      </w:r>
      <w:r w:rsidRPr="00E94400">
        <w:rPr>
          <w:rFonts w:asciiTheme="majorBidi" w:hAnsiTheme="majorBidi" w:cstheme="majorBidi"/>
          <w:b/>
          <w:bCs/>
          <w:sz w:val="26"/>
          <w:szCs w:val="26"/>
        </w:rPr>
        <w:t>ubble in</w:t>
      </w:r>
      <w:r w:rsidR="00794248" w:rsidRPr="00E94400">
        <w:rPr>
          <w:rFonts w:asciiTheme="majorBidi" w:hAnsiTheme="majorBidi" w:cstheme="majorBidi"/>
          <w:b/>
          <w:bCs/>
          <w:sz w:val="26"/>
          <w:szCs w:val="26"/>
        </w:rPr>
        <w:t xml:space="preserve"> </w:t>
      </w:r>
      <w:r w:rsidR="00003544" w:rsidRPr="00E94400">
        <w:rPr>
          <w:rFonts w:asciiTheme="majorBidi" w:hAnsiTheme="majorBidi" w:cstheme="majorBidi"/>
          <w:b/>
          <w:bCs/>
          <w:sz w:val="26"/>
          <w:szCs w:val="26"/>
        </w:rPr>
        <w:t>Gaza Strip</w:t>
      </w:r>
      <w:r w:rsidR="00794248" w:rsidRPr="00E94400">
        <w:rPr>
          <w:rFonts w:asciiTheme="majorBidi" w:hAnsiTheme="majorBidi" w:cstheme="majorBidi"/>
          <w:b/>
          <w:bCs/>
          <w:sz w:val="26"/>
          <w:szCs w:val="26"/>
        </w:rPr>
        <w:t xml:space="preserve"> in </w:t>
      </w:r>
      <w:r w:rsidR="008A7659" w:rsidRPr="00E94400">
        <w:rPr>
          <w:rFonts w:asciiTheme="majorBidi" w:hAnsiTheme="majorBidi" w:cstheme="majorBidi"/>
          <w:b/>
          <w:bCs/>
          <w:sz w:val="26"/>
          <w:szCs w:val="26"/>
        </w:rPr>
        <w:t xml:space="preserve">an </w:t>
      </w:r>
      <w:r w:rsidR="00794248" w:rsidRPr="00E94400">
        <w:rPr>
          <w:rFonts w:asciiTheme="majorBidi" w:hAnsiTheme="majorBidi" w:cstheme="majorBidi"/>
          <w:b/>
          <w:bCs/>
          <w:sz w:val="26"/>
          <w:szCs w:val="26"/>
        </w:rPr>
        <w:t xml:space="preserve">area </w:t>
      </w:r>
      <w:r w:rsidR="00003544" w:rsidRPr="00E94400">
        <w:rPr>
          <w:rFonts w:asciiTheme="majorBidi" w:hAnsiTheme="majorBidi" w:cstheme="majorBidi"/>
          <w:b/>
          <w:bCs/>
          <w:sz w:val="26"/>
          <w:szCs w:val="26"/>
        </w:rPr>
        <w:t>n</w:t>
      </w:r>
      <w:r w:rsidRPr="00E94400">
        <w:rPr>
          <w:rFonts w:asciiTheme="majorBidi" w:hAnsiTheme="majorBidi" w:cstheme="majorBidi"/>
          <w:b/>
          <w:bCs/>
          <w:sz w:val="26"/>
          <w:szCs w:val="26"/>
        </w:rPr>
        <w:t xml:space="preserve">ot </w:t>
      </w:r>
      <w:r w:rsidR="00003544" w:rsidRPr="00E94400">
        <w:rPr>
          <w:rFonts w:asciiTheme="majorBidi" w:hAnsiTheme="majorBidi" w:cstheme="majorBidi"/>
          <w:b/>
          <w:bCs/>
          <w:sz w:val="26"/>
          <w:szCs w:val="26"/>
        </w:rPr>
        <w:t>e</w:t>
      </w:r>
      <w:r w:rsidRPr="00E94400">
        <w:rPr>
          <w:rFonts w:asciiTheme="majorBidi" w:hAnsiTheme="majorBidi" w:cstheme="majorBidi"/>
          <w:b/>
          <w:bCs/>
          <w:sz w:val="26"/>
          <w:szCs w:val="26"/>
        </w:rPr>
        <w:t>xceeding 365 km</w:t>
      </w:r>
      <w:r w:rsidRPr="00E94400">
        <w:rPr>
          <w:rFonts w:asciiTheme="majorBidi" w:hAnsiTheme="majorBidi" w:cstheme="majorBidi"/>
          <w:b/>
          <w:bCs/>
          <w:sz w:val="26"/>
          <w:szCs w:val="26"/>
          <w:vertAlign w:val="superscript"/>
        </w:rPr>
        <w:t>2</w:t>
      </w:r>
      <w:r w:rsidR="00003544" w:rsidRPr="00E94400">
        <w:rPr>
          <w:rFonts w:asciiTheme="majorBidi" w:hAnsiTheme="majorBidi" w:cstheme="majorBidi"/>
          <w:b/>
          <w:bCs/>
          <w:sz w:val="26"/>
          <w:szCs w:val="26"/>
          <w:rtl/>
        </w:rPr>
        <w:t>.</w:t>
      </w:r>
    </w:p>
    <w:p w:rsidR="006E65F5" w:rsidRPr="00E94400" w:rsidRDefault="006E65F5" w:rsidP="00003544">
      <w:pPr>
        <w:pStyle w:val="BodyText"/>
        <w:numPr>
          <w:ilvl w:val="0"/>
          <w:numId w:val="2"/>
        </w:numPr>
        <w:bidi w:val="0"/>
        <w:ind w:left="284" w:hanging="426"/>
        <w:jc w:val="both"/>
        <w:rPr>
          <w:rFonts w:asciiTheme="majorBidi" w:hAnsiTheme="majorBidi" w:cstheme="majorBidi"/>
          <w:b/>
          <w:bCs/>
          <w:sz w:val="26"/>
          <w:szCs w:val="26"/>
          <w:lang w:eastAsia="ar-SA"/>
        </w:rPr>
      </w:pPr>
      <w:proofErr w:type="gramStart"/>
      <w:r w:rsidRPr="00E94400">
        <w:rPr>
          <w:rFonts w:asciiTheme="majorBidi" w:hAnsiTheme="majorBidi" w:cstheme="majorBidi"/>
          <w:b/>
          <w:bCs/>
          <w:sz w:val="26"/>
          <w:szCs w:val="26"/>
          <w:lang w:eastAsia="ar-SA"/>
        </w:rPr>
        <w:t>81%</w:t>
      </w:r>
      <w:proofErr w:type="gramEnd"/>
      <w:r w:rsidRPr="00E94400">
        <w:rPr>
          <w:rFonts w:asciiTheme="majorBidi" w:hAnsiTheme="majorBidi" w:cstheme="majorBidi"/>
          <w:b/>
          <w:bCs/>
          <w:sz w:val="26"/>
          <w:szCs w:val="26"/>
          <w:lang w:eastAsia="ar-SA"/>
        </w:rPr>
        <w:t xml:space="preserve"> of </w:t>
      </w:r>
      <w:r w:rsidR="00003544" w:rsidRPr="00E94400">
        <w:rPr>
          <w:rFonts w:asciiTheme="majorBidi" w:hAnsiTheme="majorBidi" w:cstheme="majorBidi"/>
          <w:b/>
          <w:bCs/>
          <w:sz w:val="26"/>
          <w:szCs w:val="26"/>
          <w:lang w:eastAsia="ar-SA"/>
        </w:rPr>
        <w:t>a</w:t>
      </w:r>
      <w:r w:rsidRPr="00E94400">
        <w:rPr>
          <w:rFonts w:asciiTheme="majorBidi" w:hAnsiTheme="majorBidi" w:cstheme="majorBidi"/>
          <w:b/>
          <w:bCs/>
          <w:sz w:val="26"/>
          <w:szCs w:val="26"/>
          <w:lang w:eastAsia="ar-SA"/>
        </w:rPr>
        <w:t xml:space="preserve">gricultural </w:t>
      </w:r>
      <w:r w:rsidR="00003544" w:rsidRPr="00E94400">
        <w:rPr>
          <w:rFonts w:asciiTheme="majorBidi" w:hAnsiTheme="majorBidi" w:cstheme="majorBidi"/>
          <w:b/>
          <w:bCs/>
          <w:sz w:val="26"/>
          <w:szCs w:val="26"/>
          <w:lang w:eastAsia="ar-SA"/>
        </w:rPr>
        <w:t>l</w:t>
      </w:r>
      <w:r w:rsidRPr="00E94400">
        <w:rPr>
          <w:rFonts w:asciiTheme="majorBidi" w:hAnsiTheme="majorBidi" w:cstheme="majorBidi"/>
          <w:b/>
          <w:bCs/>
          <w:sz w:val="26"/>
          <w:szCs w:val="26"/>
          <w:lang w:eastAsia="ar-SA"/>
        </w:rPr>
        <w:t xml:space="preserve">ands in Gaza Strip </w:t>
      </w:r>
      <w:r w:rsidR="00003544" w:rsidRPr="00E94400">
        <w:rPr>
          <w:rFonts w:asciiTheme="majorBidi" w:hAnsiTheme="majorBidi" w:cstheme="majorBidi"/>
          <w:b/>
          <w:bCs/>
          <w:sz w:val="26"/>
          <w:szCs w:val="26"/>
          <w:lang w:eastAsia="ar-SA"/>
        </w:rPr>
        <w:t>w</w:t>
      </w:r>
      <w:r w:rsidRPr="00E94400">
        <w:rPr>
          <w:rFonts w:asciiTheme="majorBidi" w:hAnsiTheme="majorBidi" w:cstheme="majorBidi"/>
          <w:b/>
          <w:bCs/>
          <w:sz w:val="26"/>
          <w:szCs w:val="26"/>
          <w:lang w:eastAsia="ar-SA"/>
        </w:rPr>
        <w:t xml:space="preserve">ere </w:t>
      </w:r>
      <w:r w:rsidR="00003544" w:rsidRPr="00E94400">
        <w:rPr>
          <w:rFonts w:asciiTheme="majorBidi" w:hAnsiTheme="majorBidi" w:cstheme="majorBidi"/>
          <w:b/>
          <w:bCs/>
          <w:sz w:val="26"/>
          <w:szCs w:val="26"/>
          <w:lang w:eastAsia="ar-SA"/>
        </w:rPr>
        <w:t>d</w:t>
      </w:r>
      <w:r w:rsidR="00EA6948" w:rsidRPr="00E94400">
        <w:rPr>
          <w:rFonts w:asciiTheme="majorBidi" w:hAnsiTheme="majorBidi" w:cstheme="majorBidi"/>
          <w:b/>
          <w:bCs/>
          <w:sz w:val="26"/>
          <w:szCs w:val="26"/>
          <w:lang w:eastAsia="ar-SA"/>
        </w:rPr>
        <w:t>estroyed</w:t>
      </w:r>
      <w:r w:rsidRPr="00E94400">
        <w:rPr>
          <w:rFonts w:asciiTheme="majorBidi" w:hAnsiTheme="majorBidi" w:cstheme="majorBidi"/>
          <w:b/>
          <w:bCs/>
          <w:sz w:val="26"/>
          <w:szCs w:val="26"/>
          <w:lang w:eastAsia="ar-SA"/>
        </w:rPr>
        <w:t>.</w:t>
      </w:r>
    </w:p>
    <w:p w:rsidR="00003544" w:rsidRPr="00E94400" w:rsidRDefault="00003544" w:rsidP="00003544">
      <w:pPr>
        <w:pStyle w:val="BodyText"/>
        <w:bidi w:val="0"/>
        <w:jc w:val="both"/>
        <w:rPr>
          <w:rFonts w:asciiTheme="majorBidi" w:hAnsiTheme="majorBidi" w:cstheme="majorBidi"/>
          <w:b/>
          <w:bCs/>
          <w:sz w:val="16"/>
          <w:szCs w:val="16"/>
          <w:lang w:eastAsia="ar-SA"/>
        </w:rPr>
      </w:pPr>
    </w:p>
    <w:p w:rsidR="00003544" w:rsidRPr="00E94400" w:rsidRDefault="00003544" w:rsidP="0010693D">
      <w:pPr>
        <w:pStyle w:val="BodyText"/>
        <w:numPr>
          <w:ilvl w:val="0"/>
          <w:numId w:val="2"/>
        </w:numPr>
        <w:bidi w:val="0"/>
        <w:ind w:left="284" w:hanging="426"/>
        <w:jc w:val="both"/>
        <w:rPr>
          <w:rFonts w:asciiTheme="majorBidi" w:hAnsiTheme="majorBidi" w:cstheme="majorBidi"/>
          <w:b/>
          <w:bCs/>
          <w:sz w:val="26"/>
          <w:szCs w:val="26"/>
          <w:lang w:eastAsia="ar-SA"/>
        </w:rPr>
      </w:pPr>
      <w:r w:rsidRPr="00E94400">
        <w:rPr>
          <w:rFonts w:asciiTheme="majorBidi" w:hAnsiTheme="majorBidi" w:cstheme="majorBidi"/>
          <w:b/>
          <w:bCs/>
          <w:sz w:val="26"/>
          <w:szCs w:val="26"/>
          <w:lang w:eastAsia="ar-SA"/>
        </w:rPr>
        <w:t>More than 60,000 tons of electronic waste from the Israeli occupation are disposed of annually in the West Bank.</w:t>
      </w:r>
    </w:p>
    <w:p w:rsidR="00003544" w:rsidRPr="00E94400" w:rsidRDefault="00003544" w:rsidP="00003544">
      <w:pPr>
        <w:pStyle w:val="BodyText"/>
        <w:bidi w:val="0"/>
        <w:jc w:val="both"/>
        <w:rPr>
          <w:rFonts w:asciiTheme="majorBidi" w:hAnsiTheme="majorBidi" w:cstheme="majorBidi"/>
          <w:b/>
          <w:bCs/>
          <w:sz w:val="16"/>
          <w:szCs w:val="16"/>
          <w:lang w:val="en-GB" w:eastAsia="ar-SA"/>
        </w:rPr>
      </w:pPr>
    </w:p>
    <w:p w:rsidR="00BA54E2" w:rsidRPr="00E94400" w:rsidRDefault="00622311" w:rsidP="00812F0C">
      <w:pPr>
        <w:bidi w:val="0"/>
        <w:jc w:val="both"/>
        <w:rPr>
          <w:rFonts w:asciiTheme="majorBidi" w:hAnsiTheme="majorBidi" w:cstheme="majorBidi"/>
          <w:sz w:val="26"/>
          <w:szCs w:val="26"/>
        </w:rPr>
      </w:pPr>
      <w:r w:rsidRPr="00E94400">
        <w:rPr>
          <w:rFonts w:asciiTheme="majorBidi" w:hAnsiTheme="majorBidi" w:cstheme="majorBidi"/>
          <w:sz w:val="26"/>
          <w:szCs w:val="26"/>
        </w:rPr>
        <w:t xml:space="preserve">This year, World Environment Day comes as the Palestinian people continue to face an unprecedented environmental and humanitarian catastrophe, particularly in Gaza Strip, which has been suffering </w:t>
      </w:r>
      <w:r w:rsidR="00812F0C" w:rsidRPr="00E94400">
        <w:rPr>
          <w:rFonts w:asciiTheme="majorBidi" w:hAnsiTheme="majorBidi" w:cstheme="majorBidi"/>
          <w:sz w:val="26"/>
          <w:szCs w:val="26"/>
        </w:rPr>
        <w:t>from the</w:t>
      </w:r>
      <w:r w:rsidR="00BA54E2" w:rsidRPr="00E94400">
        <w:rPr>
          <w:rFonts w:asciiTheme="majorBidi" w:hAnsiTheme="majorBidi" w:cstheme="majorBidi"/>
          <w:sz w:val="26"/>
          <w:szCs w:val="26"/>
        </w:rPr>
        <w:t xml:space="preserve"> ongoing Israeli aggression</w:t>
      </w:r>
      <w:r w:rsidR="00AE523F" w:rsidRPr="00E94400">
        <w:rPr>
          <w:rFonts w:asciiTheme="majorBidi" w:hAnsiTheme="majorBidi" w:cstheme="majorBidi"/>
          <w:sz w:val="26"/>
          <w:szCs w:val="26"/>
        </w:rPr>
        <w:t xml:space="preserve"> since October </w:t>
      </w:r>
      <w:proofErr w:type="gramStart"/>
      <w:r w:rsidR="00AE523F" w:rsidRPr="00E94400">
        <w:rPr>
          <w:rFonts w:asciiTheme="majorBidi" w:hAnsiTheme="majorBidi" w:cstheme="majorBidi"/>
          <w:sz w:val="26"/>
          <w:szCs w:val="26"/>
        </w:rPr>
        <w:t>7</w:t>
      </w:r>
      <w:r w:rsidR="00812F0C" w:rsidRPr="00E94400">
        <w:rPr>
          <w:rFonts w:asciiTheme="majorBidi" w:hAnsiTheme="majorBidi" w:cstheme="majorBidi"/>
          <w:sz w:val="26"/>
          <w:szCs w:val="26"/>
          <w:vertAlign w:val="superscript"/>
        </w:rPr>
        <w:t>th</w:t>
      </w:r>
      <w:proofErr w:type="gramEnd"/>
      <w:r w:rsidR="00AE523F" w:rsidRPr="00E94400">
        <w:rPr>
          <w:rFonts w:asciiTheme="majorBidi" w:hAnsiTheme="majorBidi" w:cstheme="majorBidi"/>
          <w:sz w:val="26"/>
          <w:szCs w:val="26"/>
        </w:rPr>
        <w:t>, 2023</w:t>
      </w:r>
      <w:r w:rsidR="00BA54E2" w:rsidRPr="00E94400">
        <w:rPr>
          <w:rFonts w:asciiTheme="majorBidi" w:hAnsiTheme="majorBidi" w:cstheme="majorBidi"/>
          <w:sz w:val="26"/>
          <w:szCs w:val="26"/>
        </w:rPr>
        <w:t>.</w:t>
      </w:r>
    </w:p>
    <w:p w:rsidR="00AE523F" w:rsidRPr="00E94400" w:rsidRDefault="00AE523F" w:rsidP="00AE523F">
      <w:pPr>
        <w:bidi w:val="0"/>
        <w:jc w:val="both"/>
        <w:rPr>
          <w:rFonts w:asciiTheme="majorBidi" w:hAnsiTheme="majorBidi" w:cstheme="majorBidi"/>
          <w:sz w:val="16"/>
          <w:szCs w:val="16"/>
        </w:rPr>
      </w:pPr>
    </w:p>
    <w:p w:rsidR="002A6C48" w:rsidRPr="00E94400" w:rsidRDefault="00BA54E2" w:rsidP="00671740">
      <w:pPr>
        <w:bidi w:val="0"/>
        <w:jc w:val="both"/>
        <w:rPr>
          <w:rFonts w:asciiTheme="majorBidi" w:hAnsiTheme="majorBidi" w:cstheme="majorBidi"/>
          <w:sz w:val="26"/>
          <w:szCs w:val="26"/>
        </w:rPr>
      </w:pPr>
      <w:r w:rsidRPr="00E94400">
        <w:rPr>
          <w:rFonts w:asciiTheme="majorBidi" w:hAnsiTheme="majorBidi" w:cstheme="majorBidi"/>
          <w:sz w:val="26"/>
          <w:szCs w:val="26"/>
        </w:rPr>
        <w:t>Water and sewage networks are being torn apart, agricultural land</w:t>
      </w:r>
      <w:r w:rsidR="00671740" w:rsidRPr="00E94400">
        <w:rPr>
          <w:rFonts w:asciiTheme="majorBidi" w:hAnsiTheme="majorBidi" w:cstheme="majorBidi"/>
          <w:sz w:val="26"/>
          <w:szCs w:val="26"/>
        </w:rPr>
        <w:t>s</w:t>
      </w:r>
      <w:r w:rsidRPr="00E94400">
        <w:rPr>
          <w:rFonts w:asciiTheme="majorBidi" w:hAnsiTheme="majorBidi" w:cstheme="majorBidi"/>
          <w:sz w:val="26"/>
          <w:szCs w:val="26"/>
        </w:rPr>
        <w:t xml:space="preserve"> </w:t>
      </w:r>
      <w:r w:rsidR="00671740" w:rsidRPr="00E94400">
        <w:rPr>
          <w:rFonts w:asciiTheme="majorBidi" w:hAnsiTheme="majorBidi" w:cstheme="majorBidi"/>
          <w:sz w:val="26"/>
          <w:szCs w:val="26"/>
        </w:rPr>
        <w:t xml:space="preserve">are </w:t>
      </w:r>
      <w:r w:rsidRPr="00E94400">
        <w:rPr>
          <w:rFonts w:asciiTheme="majorBidi" w:hAnsiTheme="majorBidi" w:cstheme="majorBidi"/>
          <w:sz w:val="26"/>
          <w:szCs w:val="26"/>
        </w:rPr>
        <w:t xml:space="preserve">being buried under contaminated explosives, </w:t>
      </w:r>
      <w:proofErr w:type="gramStart"/>
      <w:r w:rsidRPr="00E94400">
        <w:rPr>
          <w:rFonts w:asciiTheme="majorBidi" w:hAnsiTheme="majorBidi" w:cstheme="majorBidi"/>
          <w:sz w:val="26"/>
          <w:szCs w:val="26"/>
        </w:rPr>
        <w:t>toxins</w:t>
      </w:r>
      <w:proofErr w:type="gramEnd"/>
      <w:r w:rsidRPr="00E94400">
        <w:rPr>
          <w:rFonts w:asciiTheme="majorBidi" w:hAnsiTheme="majorBidi" w:cstheme="majorBidi"/>
          <w:sz w:val="26"/>
          <w:szCs w:val="26"/>
        </w:rPr>
        <w:t xml:space="preserve"> are spreading in the soil and air due to the use of internationally banned incendiary and phosphorus weapons, while coastal areas are being transformed into biodiversity graveyards due to the leakage of sewage and chemical waste into the Mediterranean Sea.</w:t>
      </w:r>
    </w:p>
    <w:p w:rsidR="00AE523F" w:rsidRPr="00E94400" w:rsidRDefault="00AE523F" w:rsidP="00AE523F">
      <w:pPr>
        <w:bidi w:val="0"/>
        <w:jc w:val="both"/>
        <w:rPr>
          <w:rFonts w:asciiTheme="majorBidi" w:hAnsiTheme="majorBidi" w:cstheme="majorBidi"/>
          <w:sz w:val="16"/>
          <w:szCs w:val="16"/>
        </w:rPr>
      </w:pPr>
    </w:p>
    <w:p w:rsidR="00AE523F" w:rsidRPr="00E94400" w:rsidRDefault="00BA54E2" w:rsidP="001B69E9">
      <w:pPr>
        <w:bidi w:val="0"/>
        <w:jc w:val="both"/>
        <w:rPr>
          <w:rFonts w:asciiTheme="majorBidi" w:hAnsiTheme="majorBidi" w:cstheme="majorBidi"/>
          <w:sz w:val="26"/>
          <w:szCs w:val="26"/>
        </w:rPr>
      </w:pPr>
      <w:r w:rsidRPr="00E94400">
        <w:rPr>
          <w:rFonts w:asciiTheme="majorBidi" w:hAnsiTheme="majorBidi" w:cstheme="majorBidi"/>
          <w:sz w:val="26"/>
          <w:szCs w:val="26"/>
        </w:rPr>
        <w:t xml:space="preserve">This is not just "collateral damage" from </w:t>
      </w:r>
      <w:r w:rsidR="00E87898" w:rsidRPr="00E94400">
        <w:rPr>
          <w:rFonts w:asciiTheme="majorBidi" w:hAnsiTheme="majorBidi" w:cstheme="majorBidi"/>
          <w:sz w:val="26"/>
          <w:szCs w:val="26"/>
        </w:rPr>
        <w:t>aggression</w:t>
      </w:r>
      <w:r w:rsidRPr="00E94400">
        <w:rPr>
          <w:rFonts w:asciiTheme="majorBidi" w:hAnsiTheme="majorBidi" w:cstheme="majorBidi"/>
          <w:sz w:val="26"/>
          <w:szCs w:val="26"/>
        </w:rPr>
        <w:t xml:space="preserve">; it is a deliberate environmental crime aimed at turning Gaza </w:t>
      </w:r>
      <w:r w:rsidR="000C6E96" w:rsidRPr="00E94400">
        <w:rPr>
          <w:rFonts w:asciiTheme="majorBidi" w:hAnsiTheme="majorBidi" w:cstheme="majorBidi"/>
          <w:sz w:val="26"/>
          <w:szCs w:val="26"/>
        </w:rPr>
        <w:t xml:space="preserve">Strip </w:t>
      </w:r>
      <w:r w:rsidRPr="00E94400">
        <w:rPr>
          <w:rFonts w:asciiTheme="majorBidi" w:hAnsiTheme="majorBidi" w:cstheme="majorBidi"/>
          <w:sz w:val="26"/>
          <w:szCs w:val="26"/>
        </w:rPr>
        <w:t>into a wasteland uninhabitable, with the potential radioactive contamination resulting from the bombing of industrial facilities and toxic emissions that will continue to destroy the health of future generations for decades, not only in Gaza</w:t>
      </w:r>
      <w:r w:rsidR="000C6E96" w:rsidRPr="00E94400">
        <w:rPr>
          <w:rFonts w:asciiTheme="majorBidi" w:hAnsiTheme="majorBidi" w:cstheme="majorBidi"/>
          <w:sz w:val="26"/>
          <w:szCs w:val="26"/>
        </w:rPr>
        <w:t xml:space="preserve"> Strip</w:t>
      </w:r>
      <w:r w:rsidRPr="00E94400">
        <w:rPr>
          <w:rFonts w:asciiTheme="majorBidi" w:hAnsiTheme="majorBidi" w:cstheme="majorBidi"/>
          <w:sz w:val="26"/>
          <w:szCs w:val="26"/>
        </w:rPr>
        <w:t xml:space="preserve"> but also in the surrounding region, where the environmental catastrophe in </w:t>
      </w:r>
      <w:r w:rsidR="000C6E96" w:rsidRPr="00E94400">
        <w:rPr>
          <w:rFonts w:asciiTheme="majorBidi" w:hAnsiTheme="majorBidi" w:cstheme="majorBidi"/>
          <w:sz w:val="26"/>
          <w:szCs w:val="26"/>
        </w:rPr>
        <w:t xml:space="preserve">Gaza </w:t>
      </w:r>
      <w:r w:rsidRPr="00E94400">
        <w:rPr>
          <w:rFonts w:asciiTheme="majorBidi" w:hAnsiTheme="majorBidi" w:cstheme="majorBidi"/>
          <w:sz w:val="26"/>
          <w:szCs w:val="26"/>
        </w:rPr>
        <w:t xml:space="preserve">Strip threatens the ecosystem of the entire </w:t>
      </w:r>
      <w:r w:rsidR="001B69E9" w:rsidRPr="00E94400">
        <w:rPr>
          <w:rFonts w:asciiTheme="majorBidi" w:hAnsiTheme="majorBidi" w:cstheme="majorBidi"/>
          <w:sz w:val="26"/>
          <w:szCs w:val="26"/>
        </w:rPr>
        <w:t>Eastern Mediterranean</w:t>
      </w:r>
      <w:r w:rsidR="00454115" w:rsidRPr="00E94400">
        <w:rPr>
          <w:rStyle w:val="EndnoteReference"/>
          <w:rFonts w:asciiTheme="majorBidi" w:hAnsiTheme="majorBidi" w:cstheme="majorBidi"/>
          <w:sz w:val="26"/>
          <w:szCs w:val="26"/>
        </w:rPr>
        <w:endnoteReference w:id="1"/>
      </w:r>
      <w:r w:rsidRPr="00E94400">
        <w:rPr>
          <w:rFonts w:asciiTheme="majorBidi" w:hAnsiTheme="majorBidi" w:cstheme="majorBidi"/>
          <w:sz w:val="26"/>
          <w:szCs w:val="26"/>
        </w:rPr>
        <w:t xml:space="preserve">. </w:t>
      </w:r>
    </w:p>
    <w:p w:rsidR="00E94400" w:rsidRDefault="00E94400" w:rsidP="00E94400">
      <w:pPr>
        <w:bidi w:val="0"/>
        <w:jc w:val="both"/>
        <w:rPr>
          <w:rFonts w:asciiTheme="majorBidi" w:hAnsiTheme="majorBidi" w:cstheme="majorBidi"/>
          <w:sz w:val="26"/>
          <w:szCs w:val="26"/>
          <w:rtl/>
        </w:rPr>
      </w:pPr>
    </w:p>
    <w:p w:rsidR="00BA54E2" w:rsidRPr="00E94400" w:rsidRDefault="00BA54E2" w:rsidP="00E94400">
      <w:pPr>
        <w:bidi w:val="0"/>
        <w:jc w:val="both"/>
        <w:rPr>
          <w:rFonts w:asciiTheme="majorBidi" w:hAnsiTheme="majorBidi" w:cstheme="majorBidi"/>
          <w:sz w:val="26"/>
          <w:szCs w:val="26"/>
        </w:rPr>
      </w:pPr>
      <w:r w:rsidRPr="00E94400">
        <w:rPr>
          <w:rFonts w:asciiTheme="majorBidi" w:hAnsiTheme="majorBidi" w:cstheme="majorBidi"/>
          <w:sz w:val="26"/>
          <w:szCs w:val="26"/>
        </w:rPr>
        <w:t xml:space="preserve">What Israel is committing is a double genocide: </w:t>
      </w:r>
      <w:r w:rsidR="00AE523F" w:rsidRPr="00E94400">
        <w:rPr>
          <w:rFonts w:asciiTheme="majorBidi" w:hAnsiTheme="majorBidi" w:cstheme="majorBidi"/>
          <w:sz w:val="26"/>
          <w:szCs w:val="26"/>
        </w:rPr>
        <w:t>for</w:t>
      </w:r>
      <w:r w:rsidRPr="00E94400">
        <w:rPr>
          <w:rFonts w:asciiTheme="majorBidi" w:hAnsiTheme="majorBidi" w:cstheme="majorBidi"/>
          <w:sz w:val="26"/>
          <w:szCs w:val="26"/>
        </w:rPr>
        <w:t xml:space="preserve"> humans and nature, </w:t>
      </w:r>
      <w:r w:rsidR="00404162" w:rsidRPr="00E94400">
        <w:rPr>
          <w:rFonts w:asciiTheme="majorBidi" w:hAnsiTheme="majorBidi" w:cstheme="majorBidi"/>
          <w:sz w:val="26"/>
          <w:szCs w:val="26"/>
        </w:rPr>
        <w:t xml:space="preserve">something unpreceded </w:t>
      </w:r>
      <w:r w:rsidRPr="00E94400">
        <w:rPr>
          <w:rFonts w:asciiTheme="majorBidi" w:hAnsiTheme="majorBidi" w:cstheme="majorBidi"/>
          <w:sz w:val="26"/>
          <w:szCs w:val="26"/>
        </w:rPr>
        <w:t>historical</w:t>
      </w:r>
      <w:r w:rsidR="00404162" w:rsidRPr="00E94400">
        <w:rPr>
          <w:rFonts w:asciiTheme="majorBidi" w:hAnsiTheme="majorBidi" w:cstheme="majorBidi"/>
          <w:sz w:val="26"/>
          <w:szCs w:val="26"/>
        </w:rPr>
        <w:t>ly</w:t>
      </w:r>
      <w:r w:rsidRPr="00E94400">
        <w:rPr>
          <w:rFonts w:asciiTheme="majorBidi" w:hAnsiTheme="majorBidi" w:cstheme="majorBidi"/>
          <w:sz w:val="26"/>
          <w:szCs w:val="26"/>
        </w:rPr>
        <w:t xml:space="preserve"> that places the international community before a fateful test to hold accountable those who transform the environment into a weapon of war in violation of all international conventions, from the Geneva Conventions to the </w:t>
      </w:r>
      <w:r w:rsidR="000C6E96" w:rsidRPr="00E94400">
        <w:rPr>
          <w:rFonts w:asciiTheme="majorBidi" w:hAnsiTheme="majorBidi" w:cstheme="majorBidi"/>
          <w:sz w:val="26"/>
          <w:szCs w:val="26"/>
        </w:rPr>
        <w:t xml:space="preserve">Principles </w:t>
      </w:r>
      <w:r w:rsidRPr="00E94400">
        <w:rPr>
          <w:rFonts w:asciiTheme="majorBidi" w:hAnsiTheme="majorBidi" w:cstheme="majorBidi"/>
          <w:sz w:val="26"/>
          <w:szCs w:val="26"/>
        </w:rPr>
        <w:t xml:space="preserve">of </w:t>
      </w:r>
      <w:r w:rsidR="000C6E96" w:rsidRPr="00E94400">
        <w:rPr>
          <w:rFonts w:asciiTheme="majorBidi" w:hAnsiTheme="majorBidi" w:cstheme="majorBidi"/>
          <w:sz w:val="26"/>
          <w:szCs w:val="26"/>
        </w:rPr>
        <w:t>International Environmental Law</w:t>
      </w:r>
      <w:r w:rsidRPr="00E94400">
        <w:rPr>
          <w:rFonts w:asciiTheme="majorBidi" w:hAnsiTheme="majorBidi" w:cstheme="majorBidi"/>
          <w:sz w:val="26"/>
          <w:szCs w:val="26"/>
        </w:rPr>
        <w:t>.</w:t>
      </w:r>
    </w:p>
    <w:p w:rsidR="00622311" w:rsidRPr="00E94400" w:rsidRDefault="00622311" w:rsidP="00622311">
      <w:pPr>
        <w:bidi w:val="0"/>
        <w:jc w:val="both"/>
        <w:rPr>
          <w:rFonts w:asciiTheme="majorBidi" w:hAnsiTheme="majorBidi" w:cstheme="majorBidi"/>
          <w:sz w:val="16"/>
          <w:szCs w:val="16"/>
        </w:rPr>
      </w:pPr>
    </w:p>
    <w:p w:rsidR="00E94400" w:rsidRDefault="00E94400">
      <w:pPr>
        <w:bidi w:val="0"/>
        <w:jc w:val="both"/>
        <w:rPr>
          <w:rFonts w:asciiTheme="majorBidi" w:hAnsiTheme="majorBidi" w:cstheme="majorBidi"/>
          <w:b/>
          <w:bCs/>
          <w:sz w:val="28"/>
          <w:szCs w:val="28"/>
          <w:rtl/>
        </w:rPr>
      </w:pPr>
    </w:p>
    <w:p w:rsidR="00E94400" w:rsidRDefault="00E94400" w:rsidP="00E94400">
      <w:pPr>
        <w:bidi w:val="0"/>
        <w:jc w:val="both"/>
        <w:rPr>
          <w:rFonts w:asciiTheme="majorBidi" w:hAnsiTheme="majorBidi" w:cstheme="majorBidi"/>
          <w:b/>
          <w:bCs/>
          <w:sz w:val="28"/>
          <w:szCs w:val="28"/>
          <w:rtl/>
        </w:rPr>
      </w:pPr>
    </w:p>
    <w:p w:rsidR="00615C7F" w:rsidRPr="00E94400" w:rsidRDefault="009C51E9" w:rsidP="00E94400">
      <w:pPr>
        <w:bidi w:val="0"/>
        <w:jc w:val="both"/>
        <w:rPr>
          <w:rFonts w:asciiTheme="majorBidi" w:hAnsiTheme="majorBidi" w:cstheme="majorBidi"/>
          <w:b/>
          <w:bCs/>
          <w:sz w:val="28"/>
          <w:szCs w:val="28"/>
        </w:rPr>
      </w:pPr>
      <w:r w:rsidRPr="00E94400">
        <w:rPr>
          <w:rFonts w:asciiTheme="majorBidi" w:hAnsiTheme="majorBidi" w:cstheme="majorBidi"/>
          <w:b/>
          <w:bCs/>
          <w:sz w:val="28"/>
          <w:szCs w:val="28"/>
        </w:rPr>
        <w:t xml:space="preserve">Lost Water Security: </w:t>
      </w:r>
      <w:r w:rsidR="006A62AB" w:rsidRPr="00E94400">
        <w:rPr>
          <w:rFonts w:asciiTheme="majorBidi" w:hAnsiTheme="majorBidi" w:cstheme="majorBidi"/>
          <w:b/>
          <w:bCs/>
          <w:sz w:val="28"/>
          <w:szCs w:val="28"/>
        </w:rPr>
        <w:t>65</w:t>
      </w:r>
      <w:r w:rsidRPr="00E94400">
        <w:rPr>
          <w:rFonts w:asciiTheme="majorBidi" w:hAnsiTheme="majorBidi" w:cstheme="majorBidi"/>
          <w:b/>
          <w:bCs/>
          <w:sz w:val="28"/>
          <w:szCs w:val="28"/>
        </w:rPr>
        <w:t xml:space="preserve">% of </w:t>
      </w:r>
      <w:r w:rsidR="00794248" w:rsidRPr="00E94400">
        <w:rPr>
          <w:rFonts w:asciiTheme="majorBidi" w:hAnsiTheme="majorBidi" w:cstheme="majorBidi"/>
          <w:b/>
          <w:bCs/>
          <w:sz w:val="28"/>
          <w:szCs w:val="28"/>
        </w:rPr>
        <w:t xml:space="preserve">Gaza </w:t>
      </w:r>
      <w:r w:rsidRPr="00E94400">
        <w:rPr>
          <w:rFonts w:asciiTheme="majorBidi" w:hAnsiTheme="majorBidi" w:cstheme="majorBidi"/>
          <w:b/>
          <w:bCs/>
          <w:sz w:val="28"/>
          <w:szCs w:val="28"/>
        </w:rPr>
        <w:t xml:space="preserve">Population Receives Less than </w:t>
      </w:r>
      <w:r w:rsidR="006A62AB" w:rsidRPr="00E94400">
        <w:rPr>
          <w:rFonts w:asciiTheme="majorBidi" w:hAnsiTheme="majorBidi" w:cstheme="majorBidi"/>
          <w:b/>
          <w:bCs/>
          <w:sz w:val="28"/>
          <w:szCs w:val="28"/>
        </w:rPr>
        <w:t>3-5</w:t>
      </w:r>
      <w:r w:rsidRPr="00E94400">
        <w:rPr>
          <w:rFonts w:asciiTheme="majorBidi" w:hAnsiTheme="majorBidi" w:cstheme="majorBidi"/>
          <w:b/>
          <w:bCs/>
          <w:sz w:val="28"/>
          <w:szCs w:val="28"/>
        </w:rPr>
        <w:t xml:space="preserve"> liters/person/day for Drinking</w:t>
      </w:r>
      <w:r w:rsidR="00794248" w:rsidRPr="00E94400">
        <w:rPr>
          <w:rFonts w:asciiTheme="majorBidi" w:hAnsiTheme="majorBidi" w:cstheme="majorBidi"/>
          <w:b/>
          <w:bCs/>
          <w:sz w:val="28"/>
          <w:szCs w:val="28"/>
        </w:rPr>
        <w:t xml:space="preserve"> and </w:t>
      </w:r>
      <w:r w:rsidRPr="00E94400">
        <w:rPr>
          <w:rFonts w:asciiTheme="majorBidi" w:hAnsiTheme="majorBidi" w:cstheme="majorBidi"/>
          <w:b/>
          <w:bCs/>
          <w:sz w:val="28"/>
          <w:szCs w:val="28"/>
        </w:rPr>
        <w:t>Cook</w:t>
      </w:r>
      <w:r w:rsidR="006A62AB" w:rsidRPr="00E94400">
        <w:rPr>
          <w:rFonts w:asciiTheme="majorBidi" w:hAnsiTheme="majorBidi" w:cstheme="majorBidi"/>
          <w:b/>
          <w:bCs/>
          <w:sz w:val="28"/>
          <w:szCs w:val="28"/>
        </w:rPr>
        <w:t>ing</w:t>
      </w:r>
      <w:r w:rsidR="00794248" w:rsidRPr="00E94400">
        <w:rPr>
          <w:rFonts w:asciiTheme="majorBidi" w:hAnsiTheme="majorBidi" w:cstheme="majorBidi"/>
          <w:b/>
          <w:bCs/>
          <w:sz w:val="28"/>
          <w:szCs w:val="28"/>
        </w:rPr>
        <w:t xml:space="preserve"> purposes</w:t>
      </w:r>
    </w:p>
    <w:p w:rsidR="00615C7F" w:rsidRPr="00E94400" w:rsidRDefault="00615C7F" w:rsidP="00615C7F">
      <w:pPr>
        <w:bidi w:val="0"/>
        <w:jc w:val="both"/>
        <w:rPr>
          <w:rFonts w:asciiTheme="majorBidi" w:hAnsiTheme="majorBidi" w:cstheme="majorBidi"/>
          <w:sz w:val="8"/>
          <w:szCs w:val="8"/>
        </w:rPr>
      </w:pPr>
    </w:p>
    <w:p w:rsidR="004A5B3F" w:rsidRPr="00E94400" w:rsidRDefault="006D27AF" w:rsidP="00395A97">
      <w:pPr>
        <w:pStyle w:val="NormalWeb"/>
        <w:shd w:val="clear" w:color="auto" w:fill="FFFFFF"/>
        <w:spacing w:before="0" w:beforeAutospacing="0" w:after="0" w:afterAutospacing="0"/>
        <w:jc w:val="both"/>
        <w:rPr>
          <w:rFonts w:asciiTheme="majorBidi" w:hAnsiTheme="majorBidi" w:cstheme="majorBidi"/>
          <w:sz w:val="26"/>
          <w:szCs w:val="26"/>
          <w:rtl/>
          <w:lang w:eastAsia="ar-SA"/>
        </w:rPr>
      </w:pPr>
      <w:r w:rsidRPr="00E94400">
        <w:rPr>
          <w:rFonts w:asciiTheme="majorBidi" w:hAnsiTheme="majorBidi" w:cstheme="majorBidi"/>
          <w:sz w:val="26"/>
          <w:szCs w:val="26"/>
          <w:lang w:eastAsia="ar-SA"/>
        </w:rPr>
        <w:t xml:space="preserve">Palestine relies primarily on water extracted from groundwater and surface sources, accounting for 73.1% of the total available water. The main reason for the limited use of surface water is the </w:t>
      </w:r>
      <w:r w:rsidR="00395A97" w:rsidRPr="00E94400">
        <w:rPr>
          <w:rFonts w:asciiTheme="majorBidi" w:hAnsiTheme="majorBidi" w:cstheme="majorBidi"/>
          <w:sz w:val="26"/>
          <w:szCs w:val="26"/>
          <w:lang w:eastAsia="ar-SA"/>
        </w:rPr>
        <w:t xml:space="preserve">control of the </w:t>
      </w:r>
      <w:r w:rsidRPr="00E94400">
        <w:rPr>
          <w:rFonts w:asciiTheme="majorBidi" w:hAnsiTheme="majorBidi" w:cstheme="majorBidi"/>
          <w:sz w:val="26"/>
          <w:szCs w:val="26"/>
          <w:lang w:eastAsia="ar-SA"/>
        </w:rPr>
        <w:t xml:space="preserve">Israeli occupation over the Jordan River. </w:t>
      </w:r>
    </w:p>
    <w:p w:rsidR="002321F3" w:rsidRPr="00E94400" w:rsidRDefault="002321F3" w:rsidP="002321F3">
      <w:pPr>
        <w:pStyle w:val="NormalWeb"/>
        <w:shd w:val="clear" w:color="auto" w:fill="FFFFFF"/>
        <w:spacing w:before="0" w:beforeAutospacing="0" w:after="0" w:afterAutospacing="0" w:line="120" w:lineRule="auto"/>
        <w:jc w:val="both"/>
        <w:rPr>
          <w:rFonts w:asciiTheme="majorBidi" w:hAnsiTheme="majorBidi" w:cstheme="majorBidi"/>
          <w:sz w:val="26"/>
          <w:szCs w:val="26"/>
          <w:lang w:eastAsia="ar-SA"/>
        </w:rPr>
      </w:pPr>
    </w:p>
    <w:p w:rsidR="006D27AF" w:rsidRPr="00E94400" w:rsidRDefault="004A5B3F" w:rsidP="00D205C5">
      <w:pPr>
        <w:bidi w:val="0"/>
        <w:jc w:val="both"/>
        <w:rPr>
          <w:rFonts w:asciiTheme="majorBidi" w:hAnsiTheme="majorBidi" w:cstheme="majorBidi"/>
          <w:sz w:val="26"/>
          <w:szCs w:val="26"/>
          <w:rtl/>
        </w:rPr>
      </w:pPr>
      <w:r w:rsidRPr="00E94400">
        <w:rPr>
          <w:rFonts w:asciiTheme="majorBidi" w:hAnsiTheme="majorBidi" w:cstheme="majorBidi"/>
          <w:sz w:val="26"/>
          <w:szCs w:val="26"/>
        </w:rPr>
        <w:t xml:space="preserve">Due to the </w:t>
      </w:r>
      <w:r w:rsidR="008959D5" w:rsidRPr="00E94400">
        <w:rPr>
          <w:rFonts w:asciiTheme="majorBidi" w:hAnsiTheme="majorBidi" w:cstheme="majorBidi"/>
          <w:sz w:val="26"/>
          <w:szCs w:val="26"/>
        </w:rPr>
        <w:t>ongoing</w:t>
      </w:r>
      <w:r w:rsidRPr="00E94400">
        <w:rPr>
          <w:rFonts w:asciiTheme="majorBidi" w:hAnsiTheme="majorBidi" w:cstheme="majorBidi"/>
          <w:sz w:val="26"/>
          <w:szCs w:val="26"/>
        </w:rPr>
        <w:t xml:space="preserve"> </w:t>
      </w:r>
      <w:r w:rsidR="006D27AF" w:rsidRPr="00E94400">
        <w:rPr>
          <w:rFonts w:asciiTheme="majorBidi" w:hAnsiTheme="majorBidi" w:cstheme="majorBidi"/>
          <w:sz w:val="26"/>
          <w:szCs w:val="26"/>
        </w:rPr>
        <w:t xml:space="preserve">Israeli aggression </w:t>
      </w:r>
      <w:r w:rsidR="00395A97" w:rsidRPr="00E94400">
        <w:rPr>
          <w:rFonts w:asciiTheme="majorBidi" w:hAnsiTheme="majorBidi" w:cstheme="majorBidi"/>
          <w:sz w:val="26"/>
          <w:szCs w:val="26"/>
        </w:rPr>
        <w:t xml:space="preserve">against </w:t>
      </w:r>
      <w:r w:rsidR="006D27AF" w:rsidRPr="00E94400">
        <w:rPr>
          <w:rFonts w:asciiTheme="majorBidi" w:hAnsiTheme="majorBidi" w:cstheme="majorBidi"/>
          <w:sz w:val="26"/>
          <w:szCs w:val="26"/>
        </w:rPr>
        <w:t>Gaza Strip</w:t>
      </w:r>
      <w:r w:rsidRPr="00E94400">
        <w:rPr>
          <w:rFonts w:asciiTheme="majorBidi" w:hAnsiTheme="majorBidi" w:cstheme="majorBidi"/>
          <w:sz w:val="26"/>
          <w:szCs w:val="26"/>
        </w:rPr>
        <w:t xml:space="preserve"> since October </w:t>
      </w:r>
      <w:proofErr w:type="gramStart"/>
      <w:r w:rsidRPr="00E94400">
        <w:rPr>
          <w:rFonts w:asciiTheme="majorBidi" w:hAnsiTheme="majorBidi" w:cstheme="majorBidi"/>
          <w:sz w:val="26"/>
          <w:szCs w:val="26"/>
        </w:rPr>
        <w:t>7</w:t>
      </w:r>
      <w:r w:rsidR="00395A97" w:rsidRPr="00E94400">
        <w:rPr>
          <w:rFonts w:asciiTheme="majorBidi" w:hAnsiTheme="majorBidi" w:cstheme="majorBidi"/>
          <w:sz w:val="26"/>
          <w:szCs w:val="26"/>
        </w:rPr>
        <w:t>th</w:t>
      </w:r>
      <w:proofErr w:type="gramEnd"/>
      <w:r w:rsidRPr="00E94400">
        <w:rPr>
          <w:rFonts w:asciiTheme="majorBidi" w:hAnsiTheme="majorBidi" w:cstheme="majorBidi"/>
          <w:sz w:val="26"/>
          <w:szCs w:val="26"/>
        </w:rPr>
        <w:t>, 2023</w:t>
      </w:r>
      <w:r w:rsidR="006D27AF" w:rsidRPr="00E94400">
        <w:rPr>
          <w:rFonts w:asciiTheme="majorBidi" w:hAnsiTheme="majorBidi" w:cstheme="majorBidi"/>
          <w:sz w:val="26"/>
          <w:szCs w:val="26"/>
        </w:rPr>
        <w:t xml:space="preserve">, 91% of households in Gaza Strip suffer from water insecurity. </w:t>
      </w:r>
      <w:r w:rsidRPr="00E94400">
        <w:rPr>
          <w:rFonts w:asciiTheme="majorBidi" w:hAnsiTheme="majorBidi" w:cstheme="majorBidi"/>
          <w:sz w:val="26"/>
          <w:szCs w:val="26"/>
        </w:rPr>
        <w:t>65%</w:t>
      </w:r>
      <w:r w:rsidR="006D27AF" w:rsidRPr="00E94400">
        <w:rPr>
          <w:rFonts w:asciiTheme="majorBidi" w:hAnsiTheme="majorBidi" w:cstheme="majorBidi"/>
          <w:sz w:val="26"/>
          <w:szCs w:val="26"/>
        </w:rPr>
        <w:t xml:space="preserve"> of the population in Gaza receives 3-5 liters</w:t>
      </w:r>
      <w:r w:rsidRPr="00E94400">
        <w:rPr>
          <w:rFonts w:asciiTheme="majorBidi" w:hAnsiTheme="majorBidi" w:cstheme="majorBidi"/>
          <w:sz w:val="26"/>
          <w:szCs w:val="26"/>
        </w:rPr>
        <w:t>/</w:t>
      </w:r>
      <w:r w:rsidR="006D27AF" w:rsidRPr="00E94400">
        <w:rPr>
          <w:rFonts w:asciiTheme="majorBidi" w:hAnsiTheme="majorBidi" w:cstheme="majorBidi"/>
          <w:sz w:val="26"/>
          <w:szCs w:val="26"/>
        </w:rPr>
        <w:t>person</w:t>
      </w:r>
      <w:r w:rsidRPr="00E94400">
        <w:rPr>
          <w:rFonts w:asciiTheme="majorBidi" w:hAnsiTheme="majorBidi" w:cstheme="majorBidi"/>
          <w:sz w:val="26"/>
          <w:szCs w:val="26"/>
        </w:rPr>
        <w:t>/</w:t>
      </w:r>
      <w:r w:rsidR="006D27AF" w:rsidRPr="00E94400">
        <w:rPr>
          <w:rFonts w:asciiTheme="majorBidi" w:hAnsiTheme="majorBidi" w:cstheme="majorBidi"/>
          <w:sz w:val="26"/>
          <w:szCs w:val="26"/>
        </w:rPr>
        <w:t>day for drinking and cooking, while only 35% of the population receives less than 15 liters</w:t>
      </w:r>
      <w:r w:rsidR="00B3717D" w:rsidRPr="00E94400">
        <w:rPr>
          <w:rFonts w:asciiTheme="majorBidi" w:hAnsiTheme="majorBidi" w:cstheme="majorBidi"/>
          <w:sz w:val="26"/>
          <w:szCs w:val="26"/>
        </w:rPr>
        <w:t>/</w:t>
      </w:r>
      <w:r w:rsidR="006D27AF" w:rsidRPr="00E94400">
        <w:rPr>
          <w:rFonts w:asciiTheme="majorBidi" w:hAnsiTheme="majorBidi" w:cstheme="majorBidi"/>
          <w:sz w:val="26"/>
          <w:szCs w:val="26"/>
        </w:rPr>
        <w:t>person</w:t>
      </w:r>
      <w:r w:rsidR="00B3717D" w:rsidRPr="00E94400">
        <w:rPr>
          <w:rFonts w:asciiTheme="majorBidi" w:hAnsiTheme="majorBidi" w:cstheme="majorBidi"/>
          <w:sz w:val="26"/>
          <w:szCs w:val="26"/>
        </w:rPr>
        <w:t>/</w:t>
      </w:r>
      <w:r w:rsidR="006D27AF" w:rsidRPr="00E94400">
        <w:rPr>
          <w:rFonts w:asciiTheme="majorBidi" w:hAnsiTheme="majorBidi" w:cstheme="majorBidi"/>
          <w:sz w:val="26"/>
          <w:szCs w:val="26"/>
        </w:rPr>
        <w:t>day for drinking, cooking, and basic hygiene</w:t>
      </w:r>
      <w:r w:rsidR="004046EF" w:rsidRPr="00E94400">
        <w:rPr>
          <w:rFonts w:asciiTheme="majorBidi" w:hAnsiTheme="majorBidi" w:cstheme="majorBidi"/>
          <w:sz w:val="26"/>
          <w:szCs w:val="26"/>
        </w:rPr>
        <w:endnoteReference w:id="2"/>
      </w:r>
      <w:r w:rsidR="006D27AF" w:rsidRPr="00E94400">
        <w:rPr>
          <w:rFonts w:asciiTheme="majorBidi" w:hAnsiTheme="majorBidi" w:cstheme="majorBidi"/>
          <w:sz w:val="26"/>
          <w:szCs w:val="26"/>
        </w:rPr>
        <w:t xml:space="preserve"> (which is less than the minimum humanitarian requirement in </w:t>
      </w:r>
      <w:proofErr w:type="gramStart"/>
      <w:r w:rsidR="006D27AF" w:rsidRPr="00E94400">
        <w:rPr>
          <w:rFonts w:asciiTheme="majorBidi" w:hAnsiTheme="majorBidi" w:cstheme="majorBidi"/>
          <w:sz w:val="26"/>
          <w:szCs w:val="26"/>
        </w:rPr>
        <w:t>emergency situations</w:t>
      </w:r>
      <w:proofErr w:type="gramEnd"/>
      <w:r w:rsidR="006D27AF" w:rsidRPr="00E94400">
        <w:rPr>
          <w:rFonts w:asciiTheme="majorBidi" w:hAnsiTheme="majorBidi" w:cstheme="majorBidi"/>
          <w:sz w:val="26"/>
          <w:szCs w:val="26"/>
        </w:rPr>
        <w:t>, according to World Health Organization).</w:t>
      </w:r>
    </w:p>
    <w:p w:rsidR="002321F3" w:rsidRPr="00E94400" w:rsidRDefault="002321F3" w:rsidP="002321F3">
      <w:pPr>
        <w:pStyle w:val="NormalWeb"/>
        <w:shd w:val="clear" w:color="auto" w:fill="FFFFFF"/>
        <w:spacing w:before="0" w:beforeAutospacing="0" w:after="0" w:afterAutospacing="0" w:line="120" w:lineRule="auto"/>
        <w:jc w:val="both"/>
        <w:rPr>
          <w:rFonts w:asciiTheme="majorBidi" w:hAnsiTheme="majorBidi" w:cstheme="majorBidi"/>
          <w:sz w:val="16"/>
          <w:szCs w:val="16"/>
          <w:lang w:eastAsia="ar-SA"/>
        </w:rPr>
      </w:pPr>
    </w:p>
    <w:p w:rsidR="00B44DB2" w:rsidRPr="00E94400" w:rsidRDefault="006D27AF" w:rsidP="008959D5">
      <w:pPr>
        <w:bidi w:val="0"/>
        <w:jc w:val="both"/>
        <w:rPr>
          <w:rFonts w:asciiTheme="majorBidi" w:hAnsiTheme="majorBidi" w:cstheme="majorBidi"/>
          <w:sz w:val="26"/>
          <w:szCs w:val="26"/>
        </w:rPr>
      </w:pPr>
      <w:r w:rsidRPr="00E94400">
        <w:rPr>
          <w:rFonts w:asciiTheme="majorBidi" w:hAnsiTheme="majorBidi" w:cstheme="majorBidi"/>
          <w:sz w:val="26"/>
          <w:szCs w:val="26"/>
          <w:lang w:eastAsia="en-US"/>
        </w:rPr>
        <w:t>The aggression also destroyed or damaged more than 80% of water stations and 330,000 linear</w:t>
      </w:r>
      <w:r w:rsidR="008959D5" w:rsidRPr="00E94400">
        <w:rPr>
          <w:rFonts w:asciiTheme="majorBidi" w:hAnsiTheme="majorBidi" w:cstheme="majorBidi"/>
          <w:sz w:val="26"/>
          <w:szCs w:val="26"/>
          <w:lang w:eastAsia="en-US"/>
        </w:rPr>
        <w:t xml:space="preserve"> meters</w:t>
      </w:r>
      <w:r w:rsidRPr="00E94400">
        <w:rPr>
          <w:rFonts w:asciiTheme="majorBidi" w:hAnsiTheme="majorBidi" w:cstheme="majorBidi"/>
          <w:sz w:val="26"/>
          <w:szCs w:val="26"/>
          <w:lang w:eastAsia="en-US"/>
        </w:rPr>
        <w:t xml:space="preserve"> </w:t>
      </w:r>
      <w:r w:rsidR="00B3717D" w:rsidRPr="00E94400">
        <w:rPr>
          <w:rFonts w:asciiTheme="majorBidi" w:hAnsiTheme="majorBidi" w:cstheme="majorBidi"/>
          <w:sz w:val="26"/>
          <w:szCs w:val="26"/>
          <w:lang w:eastAsia="en-US"/>
        </w:rPr>
        <w:t>of water networks.</w:t>
      </w:r>
    </w:p>
    <w:p w:rsidR="002217D1" w:rsidRPr="00E94400" w:rsidRDefault="0072231B" w:rsidP="002217D1">
      <w:pPr>
        <w:bidi w:val="0"/>
        <w:jc w:val="both"/>
        <w:rPr>
          <w:rFonts w:asciiTheme="majorBidi" w:hAnsiTheme="majorBidi" w:cstheme="majorBidi"/>
          <w:b/>
          <w:bCs/>
          <w:sz w:val="16"/>
          <w:szCs w:val="16"/>
        </w:rPr>
      </w:pPr>
      <w:r w:rsidRPr="00E94400">
        <w:rPr>
          <w:rFonts w:asciiTheme="majorBidi" w:hAnsiTheme="majorBidi" w:cstheme="majorBidi"/>
          <w:b/>
          <w:bCs/>
          <w:sz w:val="26"/>
          <w:szCs w:val="26"/>
        </w:rPr>
        <w:t xml:space="preserve"> </w:t>
      </w:r>
    </w:p>
    <w:p w:rsidR="00A27AE0" w:rsidRPr="00E94400" w:rsidRDefault="00A27AE0" w:rsidP="005B192E">
      <w:pPr>
        <w:bidi w:val="0"/>
        <w:jc w:val="both"/>
        <w:rPr>
          <w:rFonts w:asciiTheme="majorBidi" w:hAnsiTheme="majorBidi" w:cstheme="majorBidi"/>
          <w:b/>
          <w:bCs/>
          <w:sz w:val="28"/>
          <w:szCs w:val="28"/>
        </w:rPr>
      </w:pPr>
      <w:r w:rsidRPr="00E94400">
        <w:rPr>
          <w:rFonts w:asciiTheme="majorBidi" w:hAnsiTheme="majorBidi" w:cstheme="majorBidi"/>
          <w:b/>
          <w:bCs/>
          <w:sz w:val="28"/>
          <w:szCs w:val="28"/>
        </w:rPr>
        <w:t xml:space="preserve">An Increase by more than 400% in </w:t>
      </w:r>
      <w:r w:rsidR="004C07FF" w:rsidRPr="00E94400">
        <w:rPr>
          <w:rFonts w:asciiTheme="majorBidi" w:hAnsiTheme="majorBidi" w:cstheme="majorBidi"/>
          <w:b/>
          <w:bCs/>
          <w:sz w:val="28"/>
          <w:szCs w:val="28"/>
        </w:rPr>
        <w:t xml:space="preserve">the </w:t>
      </w:r>
      <w:r w:rsidR="005B192E" w:rsidRPr="00E94400">
        <w:rPr>
          <w:rFonts w:asciiTheme="majorBidi" w:hAnsiTheme="majorBidi" w:cstheme="majorBidi"/>
          <w:b/>
          <w:bCs/>
          <w:sz w:val="28"/>
          <w:szCs w:val="28"/>
        </w:rPr>
        <w:t xml:space="preserve">Prices of </w:t>
      </w:r>
      <w:r w:rsidRPr="00E94400">
        <w:rPr>
          <w:rFonts w:asciiTheme="majorBidi" w:hAnsiTheme="majorBidi" w:cstheme="majorBidi"/>
          <w:b/>
          <w:bCs/>
          <w:sz w:val="28"/>
          <w:szCs w:val="28"/>
        </w:rPr>
        <w:t xml:space="preserve">Water </w:t>
      </w:r>
      <w:r w:rsidR="005B192E" w:rsidRPr="00E94400">
        <w:rPr>
          <w:rFonts w:asciiTheme="majorBidi" w:hAnsiTheme="majorBidi" w:cstheme="majorBidi"/>
          <w:b/>
          <w:bCs/>
          <w:sz w:val="28"/>
          <w:szCs w:val="28"/>
        </w:rPr>
        <w:t>Tankers</w:t>
      </w:r>
      <w:r w:rsidRPr="00E94400">
        <w:rPr>
          <w:rFonts w:asciiTheme="majorBidi" w:hAnsiTheme="majorBidi" w:cstheme="majorBidi"/>
          <w:b/>
          <w:bCs/>
          <w:sz w:val="28"/>
          <w:szCs w:val="28"/>
        </w:rPr>
        <w:t xml:space="preserve"> </w:t>
      </w:r>
    </w:p>
    <w:p w:rsidR="00A27AE0" w:rsidRPr="00E94400" w:rsidRDefault="00A27AE0" w:rsidP="00A27AE0">
      <w:pPr>
        <w:bidi w:val="0"/>
        <w:jc w:val="both"/>
        <w:rPr>
          <w:rFonts w:asciiTheme="majorBidi" w:hAnsiTheme="majorBidi" w:cstheme="majorBidi"/>
          <w:b/>
          <w:bCs/>
          <w:sz w:val="8"/>
          <w:szCs w:val="8"/>
        </w:rPr>
      </w:pPr>
    </w:p>
    <w:p w:rsidR="000457D3" w:rsidRPr="00E94400" w:rsidRDefault="006D27AF" w:rsidP="00A27AE0">
      <w:pPr>
        <w:bidi w:val="0"/>
        <w:jc w:val="both"/>
        <w:rPr>
          <w:rFonts w:asciiTheme="majorBidi" w:hAnsiTheme="majorBidi" w:cstheme="majorBidi"/>
          <w:sz w:val="26"/>
          <w:szCs w:val="26"/>
          <w:rtl/>
        </w:rPr>
      </w:pPr>
      <w:r w:rsidRPr="00E94400">
        <w:rPr>
          <w:rFonts w:asciiTheme="majorBidi" w:hAnsiTheme="majorBidi" w:cstheme="majorBidi"/>
          <w:sz w:val="26"/>
          <w:szCs w:val="26"/>
        </w:rPr>
        <w:t xml:space="preserve">The extensive destruction of water, desalination, and treatment plants in Gaza Strip has led to a significant increase in the price of potable water, particularly that distributed by tankers. The price of a </w:t>
      </w:r>
      <w:r w:rsidR="004A2CED" w:rsidRPr="00E94400">
        <w:rPr>
          <w:rFonts w:asciiTheme="majorBidi" w:hAnsiTheme="majorBidi" w:cstheme="majorBidi"/>
          <w:sz w:val="26"/>
          <w:szCs w:val="26"/>
        </w:rPr>
        <w:t>cubic meter of water</w:t>
      </w:r>
      <w:r w:rsidRPr="00E94400">
        <w:rPr>
          <w:rFonts w:asciiTheme="majorBidi" w:hAnsiTheme="majorBidi" w:cstheme="majorBidi"/>
          <w:sz w:val="26"/>
          <w:szCs w:val="26"/>
        </w:rPr>
        <w:t xml:space="preserve"> (1,000 liters) reached approximately 160 shekels in 2024, compared to only 30 shekels in 2023. The price of half a </w:t>
      </w:r>
      <w:r w:rsidR="004A2CED" w:rsidRPr="00E94400">
        <w:rPr>
          <w:rFonts w:asciiTheme="majorBidi" w:hAnsiTheme="majorBidi" w:cstheme="majorBidi"/>
          <w:sz w:val="26"/>
          <w:szCs w:val="26"/>
        </w:rPr>
        <w:t>cubic meter</w:t>
      </w:r>
      <w:r w:rsidRPr="00E94400">
        <w:rPr>
          <w:rFonts w:asciiTheme="majorBidi" w:hAnsiTheme="majorBidi" w:cstheme="majorBidi"/>
          <w:sz w:val="26"/>
          <w:szCs w:val="26"/>
        </w:rPr>
        <w:t xml:space="preserve"> (500 liters) rose to 80 shekels in 2024, compared to 17 shekels </w:t>
      </w:r>
      <w:r w:rsidR="00B3717D" w:rsidRPr="00E94400">
        <w:rPr>
          <w:rFonts w:asciiTheme="majorBidi" w:hAnsiTheme="majorBidi" w:cstheme="majorBidi"/>
          <w:sz w:val="26"/>
          <w:szCs w:val="26"/>
        </w:rPr>
        <w:t xml:space="preserve">in </w:t>
      </w:r>
      <w:r w:rsidRPr="00E94400">
        <w:rPr>
          <w:rFonts w:asciiTheme="majorBidi" w:hAnsiTheme="majorBidi" w:cstheme="majorBidi"/>
          <w:sz w:val="26"/>
          <w:szCs w:val="26"/>
        </w:rPr>
        <w:t xml:space="preserve">the previous year. These figures represent an increase of more than 400%. This massive price increase reflects the scale of the challenges facing the population, as fresh water has become a scarce and expensive commodity, burdening </w:t>
      </w:r>
      <w:r w:rsidR="00395A97" w:rsidRPr="00E94400">
        <w:rPr>
          <w:rFonts w:asciiTheme="majorBidi" w:hAnsiTheme="majorBidi" w:cstheme="majorBidi"/>
          <w:sz w:val="26"/>
          <w:szCs w:val="26"/>
        </w:rPr>
        <w:t>households</w:t>
      </w:r>
      <w:r w:rsidRPr="00E94400">
        <w:rPr>
          <w:rFonts w:asciiTheme="majorBidi" w:hAnsiTheme="majorBidi" w:cstheme="majorBidi"/>
          <w:sz w:val="26"/>
          <w:szCs w:val="26"/>
        </w:rPr>
        <w:t>.</w:t>
      </w:r>
    </w:p>
    <w:p w:rsidR="009D28ED" w:rsidRPr="00E94400" w:rsidRDefault="009D28ED" w:rsidP="009D28ED">
      <w:pPr>
        <w:bidi w:val="0"/>
        <w:jc w:val="both"/>
        <w:rPr>
          <w:rFonts w:asciiTheme="majorBidi" w:hAnsiTheme="majorBidi" w:cstheme="majorBidi"/>
          <w:sz w:val="16"/>
          <w:szCs w:val="16"/>
          <w:rtl/>
        </w:rPr>
      </w:pPr>
    </w:p>
    <w:p w:rsidR="009D28ED" w:rsidRPr="00E94400" w:rsidRDefault="009D28ED" w:rsidP="00E94400">
      <w:pPr>
        <w:bidi w:val="0"/>
        <w:ind w:firstLine="284"/>
        <w:jc w:val="center"/>
        <w:rPr>
          <w:rFonts w:asciiTheme="majorBidi" w:hAnsiTheme="majorBidi" w:cstheme="majorBidi"/>
          <w:sz w:val="26"/>
          <w:szCs w:val="26"/>
        </w:rPr>
      </w:pPr>
      <w:r w:rsidRPr="00E94400">
        <w:rPr>
          <w:rFonts w:asciiTheme="majorBidi" w:hAnsiTheme="majorBidi" w:cstheme="majorBidi"/>
          <w:noProof/>
          <w:color w:val="000000" w:themeColor="text1"/>
          <w:sz w:val="26"/>
          <w:szCs w:val="26"/>
          <w:lang w:eastAsia="en-US"/>
        </w:rPr>
        <w:drawing>
          <wp:inline distT="0" distB="0" distL="0" distR="0" wp14:anchorId="6A0EFFFE" wp14:editId="5C7F99A0">
            <wp:extent cx="3630930" cy="2680970"/>
            <wp:effectExtent l="0" t="0" r="762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4400" w:rsidRPr="00E94400" w:rsidRDefault="00E94400" w:rsidP="00E94400">
      <w:pPr>
        <w:bidi w:val="0"/>
        <w:jc w:val="both"/>
        <w:rPr>
          <w:rFonts w:asciiTheme="majorBidi" w:hAnsiTheme="majorBidi" w:cstheme="majorBidi"/>
          <w:b/>
          <w:bCs/>
          <w:sz w:val="16"/>
          <w:szCs w:val="16"/>
          <w:rtl/>
        </w:rPr>
      </w:pPr>
    </w:p>
    <w:p w:rsidR="005C5E47" w:rsidRPr="00E94400" w:rsidRDefault="00E1754B" w:rsidP="00E94400">
      <w:pPr>
        <w:bidi w:val="0"/>
        <w:jc w:val="both"/>
        <w:rPr>
          <w:rFonts w:asciiTheme="majorBidi" w:hAnsiTheme="majorBidi" w:cstheme="majorBidi"/>
          <w:b/>
          <w:bCs/>
          <w:sz w:val="28"/>
          <w:szCs w:val="28"/>
        </w:rPr>
      </w:pPr>
      <w:r w:rsidRPr="00E94400">
        <w:rPr>
          <w:rFonts w:asciiTheme="majorBidi" w:hAnsiTheme="majorBidi" w:cstheme="majorBidi"/>
          <w:b/>
          <w:bCs/>
          <w:sz w:val="28"/>
          <w:szCs w:val="28"/>
        </w:rPr>
        <w:t>A</w:t>
      </w:r>
      <w:r w:rsidR="00AE3D96" w:rsidRPr="00E94400">
        <w:rPr>
          <w:rFonts w:asciiTheme="majorBidi" w:hAnsiTheme="majorBidi" w:cstheme="majorBidi"/>
          <w:b/>
          <w:bCs/>
          <w:sz w:val="28"/>
          <w:szCs w:val="28"/>
        </w:rPr>
        <w:t xml:space="preserve">n Almost </w:t>
      </w:r>
      <w:r w:rsidR="004C07FF" w:rsidRPr="00E94400">
        <w:rPr>
          <w:rFonts w:asciiTheme="majorBidi" w:hAnsiTheme="majorBidi" w:cstheme="majorBidi"/>
          <w:b/>
          <w:bCs/>
          <w:sz w:val="28"/>
          <w:szCs w:val="28"/>
        </w:rPr>
        <w:t xml:space="preserve">Total </w:t>
      </w:r>
      <w:r w:rsidR="004A2CED" w:rsidRPr="00E94400">
        <w:rPr>
          <w:rFonts w:asciiTheme="majorBidi" w:hAnsiTheme="majorBidi" w:cstheme="majorBidi"/>
          <w:b/>
          <w:bCs/>
          <w:sz w:val="28"/>
          <w:szCs w:val="28"/>
        </w:rPr>
        <w:t>C</w:t>
      </w:r>
      <w:r w:rsidRPr="00E94400">
        <w:rPr>
          <w:rFonts w:asciiTheme="majorBidi" w:hAnsiTheme="majorBidi" w:cstheme="majorBidi"/>
          <w:b/>
          <w:bCs/>
          <w:sz w:val="28"/>
          <w:szCs w:val="28"/>
        </w:rPr>
        <w:t xml:space="preserve">ollapse of the </w:t>
      </w:r>
      <w:r w:rsidR="004A2CED" w:rsidRPr="00E94400">
        <w:rPr>
          <w:rFonts w:asciiTheme="majorBidi" w:hAnsiTheme="majorBidi" w:cstheme="majorBidi"/>
          <w:b/>
          <w:bCs/>
          <w:sz w:val="28"/>
          <w:szCs w:val="28"/>
        </w:rPr>
        <w:t>W</w:t>
      </w:r>
      <w:r w:rsidRPr="00E94400">
        <w:rPr>
          <w:rFonts w:asciiTheme="majorBidi" w:hAnsiTheme="majorBidi" w:cstheme="majorBidi"/>
          <w:b/>
          <w:bCs/>
          <w:sz w:val="28"/>
          <w:szCs w:val="28"/>
        </w:rPr>
        <w:t xml:space="preserve">ater and </w:t>
      </w:r>
      <w:r w:rsidR="004A2CED" w:rsidRPr="00E94400">
        <w:rPr>
          <w:rFonts w:asciiTheme="majorBidi" w:hAnsiTheme="majorBidi" w:cstheme="majorBidi"/>
          <w:b/>
          <w:bCs/>
          <w:sz w:val="28"/>
          <w:szCs w:val="28"/>
        </w:rPr>
        <w:t>S</w:t>
      </w:r>
      <w:r w:rsidRPr="00E94400">
        <w:rPr>
          <w:rFonts w:asciiTheme="majorBidi" w:hAnsiTheme="majorBidi" w:cstheme="majorBidi"/>
          <w:b/>
          <w:bCs/>
          <w:sz w:val="28"/>
          <w:szCs w:val="28"/>
        </w:rPr>
        <w:t xml:space="preserve">anitation </w:t>
      </w:r>
      <w:r w:rsidR="004A2CED" w:rsidRPr="00E94400">
        <w:rPr>
          <w:rFonts w:asciiTheme="majorBidi" w:hAnsiTheme="majorBidi" w:cstheme="majorBidi"/>
          <w:b/>
          <w:bCs/>
          <w:sz w:val="28"/>
          <w:szCs w:val="28"/>
        </w:rPr>
        <w:t>S</w:t>
      </w:r>
      <w:r w:rsidRPr="00E94400">
        <w:rPr>
          <w:rFonts w:asciiTheme="majorBidi" w:hAnsiTheme="majorBidi" w:cstheme="majorBidi"/>
          <w:b/>
          <w:bCs/>
          <w:sz w:val="28"/>
          <w:szCs w:val="28"/>
        </w:rPr>
        <w:t>ector in Gaza</w:t>
      </w:r>
      <w:r w:rsidR="00AE523F" w:rsidRPr="00E94400">
        <w:rPr>
          <w:rFonts w:asciiTheme="majorBidi" w:hAnsiTheme="majorBidi" w:cstheme="majorBidi"/>
          <w:b/>
          <w:bCs/>
          <w:sz w:val="28"/>
          <w:szCs w:val="28"/>
        </w:rPr>
        <w:t xml:space="preserve"> </w:t>
      </w:r>
      <w:r w:rsidR="00C84B66" w:rsidRPr="00E94400">
        <w:rPr>
          <w:rFonts w:asciiTheme="majorBidi" w:hAnsiTheme="majorBidi" w:cstheme="majorBidi"/>
          <w:b/>
          <w:bCs/>
          <w:sz w:val="28"/>
          <w:szCs w:val="28"/>
        </w:rPr>
        <w:t xml:space="preserve">Strip </w:t>
      </w:r>
      <w:r w:rsidR="00AE523F" w:rsidRPr="00E94400">
        <w:rPr>
          <w:rFonts w:asciiTheme="majorBidi" w:hAnsiTheme="majorBidi" w:cstheme="majorBidi"/>
          <w:b/>
          <w:bCs/>
          <w:sz w:val="28"/>
          <w:szCs w:val="28"/>
        </w:rPr>
        <w:t xml:space="preserve">and </w:t>
      </w:r>
      <w:proofErr w:type="gramStart"/>
      <w:r w:rsidR="00AE523F" w:rsidRPr="00E94400">
        <w:rPr>
          <w:rFonts w:asciiTheme="majorBidi" w:hAnsiTheme="majorBidi" w:cstheme="majorBidi"/>
          <w:b/>
          <w:bCs/>
          <w:sz w:val="28"/>
          <w:szCs w:val="28"/>
        </w:rPr>
        <w:t>Being Destroyed</w:t>
      </w:r>
      <w:proofErr w:type="gramEnd"/>
      <w:r w:rsidR="00AE523F" w:rsidRPr="00E94400">
        <w:rPr>
          <w:rFonts w:asciiTheme="majorBidi" w:hAnsiTheme="majorBidi" w:cstheme="majorBidi"/>
          <w:b/>
          <w:bCs/>
          <w:sz w:val="28"/>
          <w:szCs w:val="28"/>
        </w:rPr>
        <w:t xml:space="preserve"> in the Northern West Bank</w:t>
      </w:r>
    </w:p>
    <w:p w:rsidR="00B3717D" w:rsidRPr="00E94400" w:rsidRDefault="00B3717D" w:rsidP="00B3717D">
      <w:pPr>
        <w:bidi w:val="0"/>
        <w:jc w:val="both"/>
        <w:rPr>
          <w:rFonts w:asciiTheme="majorBidi" w:hAnsiTheme="majorBidi" w:cstheme="majorBidi"/>
          <w:sz w:val="8"/>
          <w:szCs w:val="8"/>
        </w:rPr>
      </w:pPr>
    </w:p>
    <w:p w:rsidR="00E94400" w:rsidRPr="00E94400" w:rsidRDefault="00E1754B" w:rsidP="00E94400">
      <w:pPr>
        <w:bidi w:val="0"/>
        <w:jc w:val="both"/>
        <w:rPr>
          <w:rFonts w:asciiTheme="majorBidi" w:hAnsiTheme="majorBidi" w:cstheme="majorBidi"/>
          <w:sz w:val="26"/>
          <w:szCs w:val="26"/>
        </w:rPr>
      </w:pPr>
      <w:r w:rsidRPr="00E94400">
        <w:rPr>
          <w:rFonts w:asciiTheme="majorBidi" w:hAnsiTheme="majorBidi" w:cstheme="majorBidi"/>
          <w:sz w:val="26"/>
          <w:szCs w:val="26"/>
        </w:rPr>
        <w:t xml:space="preserve">Gaza Strip has witnessed a catastrophic collapse in sanitation services due to the widespread destruction of infrastructure since October </w:t>
      </w:r>
      <w:proofErr w:type="gramStart"/>
      <w:r w:rsidRPr="00E94400">
        <w:rPr>
          <w:rFonts w:asciiTheme="majorBidi" w:hAnsiTheme="majorBidi" w:cstheme="majorBidi"/>
          <w:sz w:val="26"/>
          <w:szCs w:val="26"/>
        </w:rPr>
        <w:t>7</w:t>
      </w:r>
      <w:r w:rsidR="00C84B66" w:rsidRPr="00E94400">
        <w:rPr>
          <w:rFonts w:asciiTheme="majorBidi" w:hAnsiTheme="majorBidi" w:cstheme="majorBidi"/>
          <w:sz w:val="26"/>
          <w:szCs w:val="26"/>
          <w:vertAlign w:val="superscript"/>
        </w:rPr>
        <w:t>th</w:t>
      </w:r>
      <w:proofErr w:type="gramEnd"/>
      <w:r w:rsidRPr="00E94400">
        <w:rPr>
          <w:rFonts w:asciiTheme="majorBidi" w:hAnsiTheme="majorBidi" w:cstheme="majorBidi"/>
          <w:sz w:val="26"/>
          <w:szCs w:val="26"/>
        </w:rPr>
        <w:t xml:space="preserve">, 2023. </w:t>
      </w:r>
    </w:p>
    <w:p w:rsidR="004A2CED" w:rsidRPr="00E94400" w:rsidRDefault="004A2CED" w:rsidP="004A2CED">
      <w:pPr>
        <w:bidi w:val="0"/>
        <w:spacing w:line="120" w:lineRule="auto"/>
        <w:jc w:val="both"/>
        <w:rPr>
          <w:rFonts w:asciiTheme="majorBidi" w:hAnsiTheme="majorBidi" w:cstheme="majorBidi"/>
          <w:sz w:val="16"/>
          <w:szCs w:val="16"/>
        </w:rPr>
      </w:pPr>
    </w:p>
    <w:p w:rsidR="00E1754B" w:rsidRPr="00E94400" w:rsidRDefault="00E1754B">
      <w:pPr>
        <w:bidi w:val="0"/>
        <w:jc w:val="both"/>
        <w:rPr>
          <w:rFonts w:asciiTheme="majorBidi" w:hAnsiTheme="majorBidi" w:cstheme="majorBidi"/>
          <w:sz w:val="26"/>
          <w:szCs w:val="26"/>
        </w:rPr>
      </w:pPr>
      <w:r w:rsidRPr="00E94400">
        <w:rPr>
          <w:rFonts w:asciiTheme="majorBidi" w:hAnsiTheme="majorBidi" w:cstheme="majorBidi"/>
          <w:sz w:val="26"/>
          <w:szCs w:val="26"/>
        </w:rPr>
        <w:t xml:space="preserve">More than 85% of the water and sanitation infrastructure across Gaza Strip </w:t>
      </w:r>
      <w:proofErr w:type="gramStart"/>
      <w:r w:rsidRPr="00E94400">
        <w:rPr>
          <w:rFonts w:asciiTheme="majorBidi" w:hAnsiTheme="majorBidi" w:cstheme="majorBidi"/>
          <w:sz w:val="26"/>
          <w:szCs w:val="26"/>
        </w:rPr>
        <w:t>has been partially or completely destroyed</w:t>
      </w:r>
      <w:proofErr w:type="gramEnd"/>
      <w:r w:rsidRPr="00E94400">
        <w:rPr>
          <w:rFonts w:asciiTheme="majorBidi" w:hAnsiTheme="majorBidi" w:cstheme="majorBidi"/>
          <w:sz w:val="26"/>
          <w:szCs w:val="26"/>
        </w:rPr>
        <w:t xml:space="preserve">, including all six major wastewater treatment plants. </w:t>
      </w:r>
    </w:p>
    <w:p w:rsidR="004A2CED" w:rsidRPr="00E94400" w:rsidRDefault="004A2CED" w:rsidP="004A2CED">
      <w:pPr>
        <w:bidi w:val="0"/>
        <w:spacing w:line="120" w:lineRule="auto"/>
        <w:jc w:val="both"/>
        <w:rPr>
          <w:rFonts w:asciiTheme="majorBidi" w:hAnsiTheme="majorBidi" w:cstheme="majorBidi"/>
          <w:sz w:val="16"/>
          <w:szCs w:val="16"/>
        </w:rPr>
      </w:pPr>
    </w:p>
    <w:p w:rsidR="00E94400" w:rsidRDefault="00E94400" w:rsidP="00C84B66">
      <w:pPr>
        <w:bidi w:val="0"/>
        <w:jc w:val="both"/>
        <w:rPr>
          <w:rFonts w:asciiTheme="majorBidi" w:hAnsiTheme="majorBidi" w:cstheme="majorBidi"/>
          <w:sz w:val="26"/>
          <w:szCs w:val="26"/>
          <w:rtl/>
        </w:rPr>
      </w:pPr>
    </w:p>
    <w:p w:rsidR="00E94400" w:rsidRDefault="00E94400" w:rsidP="00E94400">
      <w:pPr>
        <w:bidi w:val="0"/>
        <w:jc w:val="both"/>
        <w:rPr>
          <w:rFonts w:asciiTheme="majorBidi" w:hAnsiTheme="majorBidi" w:cstheme="majorBidi"/>
          <w:sz w:val="26"/>
          <w:szCs w:val="26"/>
          <w:rtl/>
        </w:rPr>
      </w:pPr>
    </w:p>
    <w:p w:rsidR="004A2CED" w:rsidRPr="00E94400" w:rsidRDefault="00E1754B" w:rsidP="00E94400">
      <w:pPr>
        <w:bidi w:val="0"/>
        <w:jc w:val="both"/>
        <w:rPr>
          <w:rFonts w:asciiTheme="majorBidi" w:hAnsiTheme="majorBidi" w:cstheme="majorBidi"/>
          <w:sz w:val="26"/>
          <w:szCs w:val="26"/>
        </w:rPr>
      </w:pPr>
      <w:r w:rsidRPr="00E94400">
        <w:rPr>
          <w:rFonts w:asciiTheme="majorBidi" w:hAnsiTheme="majorBidi" w:cstheme="majorBidi"/>
          <w:sz w:val="26"/>
          <w:szCs w:val="26"/>
        </w:rPr>
        <w:t>85% of wastewater pumping stations (73 out of 84) and their networks</w:t>
      </w:r>
      <w:r w:rsidR="004046EF" w:rsidRPr="00E94400">
        <w:rPr>
          <w:rStyle w:val="EndnoteReference"/>
          <w:rFonts w:asciiTheme="majorBidi" w:hAnsiTheme="majorBidi" w:cstheme="majorBidi"/>
          <w:sz w:val="26"/>
          <w:szCs w:val="26"/>
        </w:rPr>
        <w:endnoteReference w:id="3"/>
      </w:r>
      <w:r w:rsidRPr="00E94400">
        <w:rPr>
          <w:rFonts w:asciiTheme="majorBidi" w:hAnsiTheme="majorBidi" w:cstheme="majorBidi"/>
          <w:sz w:val="26"/>
          <w:szCs w:val="26"/>
        </w:rPr>
        <w:t xml:space="preserve">, as well as more than 650,000 linear meters of sewage networks, </w:t>
      </w:r>
      <w:proofErr w:type="gramStart"/>
      <w:r w:rsidRPr="00E94400">
        <w:rPr>
          <w:rFonts w:asciiTheme="majorBidi" w:hAnsiTheme="majorBidi" w:cstheme="majorBidi"/>
          <w:sz w:val="26"/>
          <w:szCs w:val="26"/>
        </w:rPr>
        <w:t>have also been destroyed</w:t>
      </w:r>
      <w:proofErr w:type="gramEnd"/>
      <w:r w:rsidRPr="00E94400">
        <w:rPr>
          <w:rFonts w:asciiTheme="majorBidi" w:hAnsiTheme="majorBidi" w:cstheme="majorBidi"/>
          <w:sz w:val="26"/>
          <w:szCs w:val="26"/>
        </w:rPr>
        <w:t xml:space="preserve">. Some </w:t>
      </w:r>
      <w:proofErr w:type="gramStart"/>
      <w:r w:rsidRPr="00E94400">
        <w:rPr>
          <w:rFonts w:asciiTheme="majorBidi" w:hAnsiTheme="majorBidi" w:cstheme="majorBidi"/>
          <w:sz w:val="26"/>
          <w:szCs w:val="26"/>
        </w:rPr>
        <w:t>have been repaired</w:t>
      </w:r>
      <w:proofErr w:type="gramEnd"/>
      <w:r w:rsidRPr="00E94400">
        <w:rPr>
          <w:rFonts w:asciiTheme="majorBidi" w:hAnsiTheme="majorBidi" w:cstheme="majorBidi"/>
          <w:sz w:val="26"/>
          <w:szCs w:val="26"/>
        </w:rPr>
        <w:t xml:space="preserve"> but urgently require fuel to operate them. This has led to a</w:t>
      </w:r>
      <w:r w:rsidR="00C84B66" w:rsidRPr="00E94400">
        <w:rPr>
          <w:rFonts w:asciiTheme="majorBidi" w:hAnsiTheme="majorBidi" w:cstheme="majorBidi"/>
          <w:sz w:val="26"/>
          <w:szCs w:val="26"/>
        </w:rPr>
        <w:t>n almost</w:t>
      </w:r>
      <w:r w:rsidRPr="00E94400">
        <w:rPr>
          <w:rFonts w:asciiTheme="majorBidi" w:hAnsiTheme="majorBidi" w:cstheme="majorBidi"/>
          <w:sz w:val="26"/>
          <w:szCs w:val="26"/>
        </w:rPr>
        <w:t xml:space="preserve"> </w:t>
      </w:r>
      <w:r w:rsidR="00C84B66" w:rsidRPr="00E94400">
        <w:rPr>
          <w:rFonts w:asciiTheme="majorBidi" w:hAnsiTheme="majorBidi" w:cstheme="majorBidi"/>
          <w:sz w:val="26"/>
          <w:szCs w:val="26"/>
        </w:rPr>
        <w:t>complete</w:t>
      </w:r>
      <w:r w:rsidRPr="00E94400">
        <w:rPr>
          <w:rFonts w:asciiTheme="majorBidi" w:hAnsiTheme="majorBidi" w:cstheme="majorBidi"/>
          <w:sz w:val="26"/>
          <w:szCs w:val="26"/>
        </w:rPr>
        <w:t xml:space="preserve"> paralysis of the sanitation system and has caused untreated wastewater to flow into the surrounding environment.</w:t>
      </w:r>
    </w:p>
    <w:p w:rsidR="00AE523F" w:rsidRPr="00E94400" w:rsidRDefault="00AE523F" w:rsidP="00AE523F">
      <w:pPr>
        <w:bidi w:val="0"/>
        <w:jc w:val="both"/>
        <w:rPr>
          <w:rFonts w:asciiTheme="majorBidi" w:hAnsiTheme="majorBidi" w:cstheme="majorBidi"/>
          <w:sz w:val="16"/>
          <w:szCs w:val="16"/>
        </w:rPr>
      </w:pPr>
    </w:p>
    <w:p w:rsidR="00AE523F" w:rsidRPr="00E94400" w:rsidRDefault="00AE523F" w:rsidP="00C84B66">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 xml:space="preserve">Since the beginning of 2025, the </w:t>
      </w:r>
      <w:r w:rsidR="00C84B66" w:rsidRPr="00E94400">
        <w:rPr>
          <w:rFonts w:asciiTheme="majorBidi" w:hAnsiTheme="majorBidi" w:cstheme="majorBidi"/>
          <w:sz w:val="26"/>
          <w:szCs w:val="26"/>
          <w:lang w:eastAsia="ar-SA"/>
        </w:rPr>
        <w:t xml:space="preserve">Israeli </w:t>
      </w:r>
      <w:r w:rsidRPr="00E94400">
        <w:rPr>
          <w:rFonts w:asciiTheme="majorBidi" w:hAnsiTheme="majorBidi" w:cstheme="majorBidi"/>
          <w:sz w:val="26"/>
          <w:szCs w:val="26"/>
          <w:lang w:eastAsia="ar-SA"/>
        </w:rPr>
        <w:t xml:space="preserve">occupation has escalated its operations in the northern West Bank, particularly in the Palestinian refugee camps. In Jenin Governorate, the aggression caused significant damage to infrastructure. According to international reports, more than 3.3 km of sewage networks and 21.4 km of water pipes </w:t>
      </w:r>
      <w:proofErr w:type="gramStart"/>
      <w:r w:rsidRPr="00E94400">
        <w:rPr>
          <w:rFonts w:asciiTheme="majorBidi" w:hAnsiTheme="majorBidi" w:cstheme="majorBidi"/>
          <w:sz w:val="26"/>
          <w:szCs w:val="26"/>
          <w:lang w:eastAsia="ar-SA"/>
        </w:rPr>
        <w:t>were damaged</w:t>
      </w:r>
      <w:proofErr w:type="gramEnd"/>
      <w:r w:rsidRPr="00E94400">
        <w:rPr>
          <w:rFonts w:asciiTheme="majorBidi" w:hAnsiTheme="majorBidi" w:cstheme="majorBidi"/>
          <w:sz w:val="26"/>
          <w:szCs w:val="26"/>
          <w:lang w:eastAsia="ar-SA"/>
        </w:rPr>
        <w:t>.</w:t>
      </w:r>
    </w:p>
    <w:p w:rsidR="00AE523F" w:rsidRPr="00E94400" w:rsidRDefault="00AE523F" w:rsidP="00AE523F">
      <w:pPr>
        <w:pStyle w:val="BodyText"/>
        <w:bidi w:val="0"/>
        <w:jc w:val="both"/>
        <w:rPr>
          <w:rFonts w:asciiTheme="majorBidi" w:hAnsiTheme="majorBidi" w:cstheme="majorBidi"/>
          <w:sz w:val="16"/>
          <w:szCs w:val="16"/>
          <w:rtl/>
          <w:lang w:eastAsia="ar-SA"/>
        </w:rPr>
      </w:pPr>
    </w:p>
    <w:p w:rsidR="00AE523F" w:rsidRPr="00E94400" w:rsidRDefault="00AE523F">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 xml:space="preserve">In </w:t>
      </w:r>
      <w:proofErr w:type="spellStart"/>
      <w:r w:rsidRPr="00E94400">
        <w:rPr>
          <w:rFonts w:asciiTheme="majorBidi" w:hAnsiTheme="majorBidi" w:cstheme="majorBidi"/>
          <w:sz w:val="26"/>
          <w:szCs w:val="26"/>
          <w:lang w:eastAsia="ar-SA"/>
        </w:rPr>
        <w:t>Tulkarm</w:t>
      </w:r>
      <w:proofErr w:type="spellEnd"/>
      <w:r w:rsidRPr="00E94400">
        <w:rPr>
          <w:rFonts w:asciiTheme="majorBidi" w:hAnsiTheme="majorBidi" w:cstheme="majorBidi"/>
          <w:sz w:val="26"/>
          <w:szCs w:val="26"/>
          <w:lang w:eastAsia="ar-SA"/>
        </w:rPr>
        <w:t xml:space="preserve"> Governorate, damage </w:t>
      </w:r>
      <w:proofErr w:type="gramStart"/>
      <w:r w:rsidRPr="00E94400">
        <w:rPr>
          <w:rFonts w:asciiTheme="majorBidi" w:hAnsiTheme="majorBidi" w:cstheme="majorBidi"/>
          <w:sz w:val="26"/>
          <w:szCs w:val="26"/>
          <w:lang w:eastAsia="ar-SA"/>
        </w:rPr>
        <w:t>was recorded</w:t>
      </w:r>
      <w:proofErr w:type="gramEnd"/>
      <w:r w:rsidRPr="00E94400">
        <w:rPr>
          <w:rFonts w:asciiTheme="majorBidi" w:hAnsiTheme="majorBidi" w:cstheme="majorBidi"/>
          <w:sz w:val="26"/>
          <w:szCs w:val="26"/>
          <w:lang w:eastAsia="ar-SA"/>
        </w:rPr>
        <w:t xml:space="preserve">, including the destruction of 8.4 km of sewage and rainwater drainage networks, in addition to 15 km of water lines, in </w:t>
      </w:r>
      <w:proofErr w:type="spellStart"/>
      <w:r w:rsidRPr="00E94400">
        <w:rPr>
          <w:rFonts w:asciiTheme="majorBidi" w:hAnsiTheme="majorBidi" w:cstheme="majorBidi"/>
          <w:sz w:val="26"/>
          <w:szCs w:val="26"/>
          <w:lang w:eastAsia="ar-SA"/>
        </w:rPr>
        <w:t>Tulkarm</w:t>
      </w:r>
      <w:proofErr w:type="spellEnd"/>
      <w:r w:rsidRPr="00E94400">
        <w:rPr>
          <w:rFonts w:asciiTheme="majorBidi" w:hAnsiTheme="majorBidi" w:cstheme="majorBidi"/>
          <w:sz w:val="26"/>
          <w:szCs w:val="26"/>
          <w:lang w:eastAsia="ar-SA"/>
        </w:rPr>
        <w:t xml:space="preserve"> and </w:t>
      </w:r>
      <w:proofErr w:type="spellStart"/>
      <w:r w:rsidRPr="00E94400">
        <w:rPr>
          <w:rFonts w:asciiTheme="majorBidi" w:hAnsiTheme="majorBidi" w:cstheme="majorBidi"/>
          <w:sz w:val="26"/>
          <w:szCs w:val="26"/>
          <w:lang w:eastAsia="ar-SA"/>
        </w:rPr>
        <w:t>Nur</w:t>
      </w:r>
      <w:proofErr w:type="spellEnd"/>
      <w:r w:rsidRPr="00E94400">
        <w:rPr>
          <w:rFonts w:asciiTheme="majorBidi" w:hAnsiTheme="majorBidi" w:cstheme="majorBidi"/>
          <w:sz w:val="26"/>
          <w:szCs w:val="26"/>
          <w:lang w:eastAsia="ar-SA"/>
        </w:rPr>
        <w:t xml:space="preserve"> Shams refugee camps.</w:t>
      </w:r>
    </w:p>
    <w:p w:rsidR="00AE523F" w:rsidRPr="00E94400" w:rsidRDefault="00AE523F" w:rsidP="00AE523F">
      <w:pPr>
        <w:pStyle w:val="BodyText"/>
        <w:bidi w:val="0"/>
        <w:jc w:val="both"/>
        <w:rPr>
          <w:rFonts w:asciiTheme="majorBidi" w:hAnsiTheme="majorBidi" w:cstheme="majorBidi"/>
          <w:sz w:val="16"/>
          <w:szCs w:val="16"/>
          <w:rtl/>
          <w:lang w:eastAsia="ar-SA"/>
        </w:rPr>
      </w:pPr>
    </w:p>
    <w:p w:rsidR="00AE523F" w:rsidRPr="00E94400" w:rsidRDefault="00AE523F">
      <w:pPr>
        <w:pStyle w:val="BodyText"/>
        <w:bidi w:val="0"/>
        <w:jc w:val="both"/>
        <w:rPr>
          <w:rFonts w:asciiTheme="majorBidi" w:hAnsiTheme="majorBidi" w:cstheme="majorBidi"/>
          <w:sz w:val="26"/>
          <w:szCs w:val="26"/>
          <w:rtl/>
          <w:lang w:eastAsia="ar-SA"/>
        </w:rPr>
      </w:pPr>
      <w:r w:rsidRPr="00E94400">
        <w:rPr>
          <w:rFonts w:asciiTheme="majorBidi" w:hAnsiTheme="majorBidi" w:cstheme="majorBidi"/>
          <w:sz w:val="26"/>
          <w:szCs w:val="26"/>
          <w:lang w:eastAsia="ar-SA"/>
        </w:rPr>
        <w:t>In Tubas Governorate, damage affected more than 4 km of water and sanitation infrastructure.</w:t>
      </w:r>
    </w:p>
    <w:p w:rsidR="00AE523F" w:rsidRPr="00E94400" w:rsidRDefault="00AE523F" w:rsidP="00AE523F">
      <w:pPr>
        <w:pStyle w:val="BodyText"/>
        <w:bidi w:val="0"/>
        <w:jc w:val="both"/>
        <w:rPr>
          <w:rFonts w:asciiTheme="majorBidi" w:hAnsiTheme="majorBidi" w:cstheme="majorBidi"/>
          <w:sz w:val="16"/>
          <w:szCs w:val="16"/>
          <w:lang w:eastAsia="ar-SA"/>
        </w:rPr>
      </w:pPr>
    </w:p>
    <w:p w:rsidR="00AE523F" w:rsidRPr="00E94400" w:rsidRDefault="00AE523F" w:rsidP="00C84B66">
      <w:pPr>
        <w:bidi w:val="0"/>
        <w:jc w:val="both"/>
        <w:rPr>
          <w:rFonts w:asciiTheme="majorBidi" w:hAnsiTheme="majorBidi" w:cstheme="majorBidi"/>
          <w:sz w:val="26"/>
          <w:szCs w:val="26"/>
        </w:rPr>
      </w:pPr>
      <w:r w:rsidRPr="00E94400">
        <w:rPr>
          <w:rFonts w:asciiTheme="majorBidi" w:hAnsiTheme="majorBidi" w:cstheme="majorBidi"/>
          <w:sz w:val="26"/>
          <w:szCs w:val="26"/>
        </w:rPr>
        <w:t xml:space="preserve">The destruction of sewage and drainage infrastructure leads to the spread of wastewater and its seepage into the ground, with more than 78% of the population of Gaza Strip exposed to sanitation-related health risks due to rodents and pests in the absence of basic services and deteriorating sanitary conditions. </w:t>
      </w:r>
    </w:p>
    <w:p w:rsidR="001D36E4" w:rsidRPr="00E94400" w:rsidRDefault="00AE523F" w:rsidP="00AE523F">
      <w:pPr>
        <w:pStyle w:val="BodyText"/>
        <w:bidi w:val="0"/>
        <w:jc w:val="both"/>
        <w:rPr>
          <w:rFonts w:asciiTheme="majorBidi" w:hAnsiTheme="majorBidi" w:cstheme="majorBidi"/>
          <w:sz w:val="16"/>
          <w:szCs w:val="16"/>
        </w:rPr>
      </w:pPr>
      <w:r w:rsidRPr="00E94400">
        <w:rPr>
          <w:rFonts w:asciiTheme="majorBidi" w:hAnsiTheme="majorBidi" w:cstheme="majorBidi"/>
          <w:sz w:val="26"/>
          <w:szCs w:val="26"/>
          <w:lang w:eastAsia="ar-SA"/>
        </w:rPr>
        <w:t xml:space="preserve"> </w:t>
      </w:r>
    </w:p>
    <w:p w:rsidR="00E1754B" w:rsidRPr="00E94400" w:rsidRDefault="00740D12" w:rsidP="00E94400">
      <w:pPr>
        <w:bidi w:val="0"/>
        <w:jc w:val="both"/>
        <w:rPr>
          <w:rFonts w:asciiTheme="majorBidi" w:hAnsiTheme="majorBidi" w:cstheme="majorBidi"/>
          <w:b/>
          <w:bCs/>
          <w:sz w:val="28"/>
          <w:szCs w:val="28"/>
        </w:rPr>
      </w:pPr>
      <w:r w:rsidRPr="00E94400">
        <w:rPr>
          <w:rFonts w:asciiTheme="majorBidi" w:hAnsiTheme="majorBidi" w:cstheme="majorBidi"/>
          <w:b/>
          <w:bCs/>
          <w:sz w:val="28"/>
          <w:szCs w:val="28"/>
        </w:rPr>
        <w:t>Gaza</w:t>
      </w:r>
      <w:r w:rsidRPr="00E94400">
        <w:rPr>
          <w:rFonts w:asciiTheme="majorBidi" w:hAnsiTheme="majorBidi" w:cstheme="majorBidi"/>
          <w:b/>
          <w:bCs/>
          <w:sz w:val="28"/>
          <w:szCs w:val="28"/>
          <w:rtl/>
        </w:rPr>
        <w:t xml:space="preserve"> </w:t>
      </w:r>
      <w:r w:rsidRPr="00E94400">
        <w:rPr>
          <w:rFonts w:asciiTheme="majorBidi" w:hAnsiTheme="majorBidi" w:cstheme="majorBidi"/>
          <w:b/>
          <w:bCs/>
          <w:sz w:val="28"/>
          <w:szCs w:val="28"/>
        </w:rPr>
        <w:t>Strip</w:t>
      </w:r>
      <w:r w:rsidR="00E1754B" w:rsidRPr="00E94400">
        <w:rPr>
          <w:rFonts w:asciiTheme="majorBidi" w:hAnsiTheme="majorBidi" w:cstheme="majorBidi"/>
          <w:b/>
          <w:bCs/>
          <w:sz w:val="28"/>
          <w:szCs w:val="28"/>
        </w:rPr>
        <w:t xml:space="preserve"> </w:t>
      </w:r>
      <w:r w:rsidR="004A2CED" w:rsidRPr="00E94400">
        <w:rPr>
          <w:rFonts w:asciiTheme="majorBidi" w:hAnsiTheme="majorBidi" w:cstheme="majorBidi"/>
          <w:b/>
          <w:bCs/>
          <w:sz w:val="28"/>
          <w:szCs w:val="28"/>
        </w:rPr>
        <w:t>H</w:t>
      </w:r>
      <w:r w:rsidR="00E1754B" w:rsidRPr="00E94400">
        <w:rPr>
          <w:rFonts w:asciiTheme="majorBidi" w:hAnsiTheme="majorBidi" w:cstheme="majorBidi"/>
          <w:b/>
          <w:bCs/>
          <w:sz w:val="28"/>
          <w:szCs w:val="28"/>
        </w:rPr>
        <w:t xml:space="preserve">as </w:t>
      </w:r>
      <w:r w:rsidR="004A2CED" w:rsidRPr="00E94400">
        <w:rPr>
          <w:rFonts w:asciiTheme="majorBidi" w:hAnsiTheme="majorBidi" w:cstheme="majorBidi"/>
          <w:b/>
          <w:bCs/>
          <w:sz w:val="28"/>
          <w:szCs w:val="28"/>
        </w:rPr>
        <w:t>N</w:t>
      </w:r>
      <w:r w:rsidR="00E1754B" w:rsidRPr="00E94400">
        <w:rPr>
          <w:rFonts w:asciiTheme="majorBidi" w:hAnsiTheme="majorBidi" w:cstheme="majorBidi"/>
          <w:b/>
          <w:bCs/>
          <w:sz w:val="28"/>
          <w:szCs w:val="28"/>
        </w:rPr>
        <w:t xml:space="preserve">o </w:t>
      </w:r>
      <w:r w:rsidR="004A2CED" w:rsidRPr="00E94400">
        <w:rPr>
          <w:rFonts w:asciiTheme="majorBidi" w:hAnsiTheme="majorBidi" w:cstheme="majorBidi"/>
          <w:b/>
          <w:bCs/>
          <w:sz w:val="28"/>
          <w:szCs w:val="28"/>
        </w:rPr>
        <w:t>L</w:t>
      </w:r>
      <w:r w:rsidR="00E1754B" w:rsidRPr="00E94400">
        <w:rPr>
          <w:rFonts w:asciiTheme="majorBidi" w:hAnsiTheme="majorBidi" w:cstheme="majorBidi"/>
          <w:b/>
          <w:bCs/>
          <w:sz w:val="28"/>
          <w:szCs w:val="28"/>
        </w:rPr>
        <w:t xml:space="preserve">andfills... </w:t>
      </w:r>
      <w:r w:rsidR="004A2CED" w:rsidRPr="00E94400">
        <w:rPr>
          <w:rFonts w:asciiTheme="majorBidi" w:hAnsiTheme="majorBidi" w:cstheme="majorBidi"/>
          <w:b/>
          <w:bCs/>
          <w:sz w:val="28"/>
          <w:szCs w:val="28"/>
        </w:rPr>
        <w:t>A</w:t>
      </w:r>
      <w:r w:rsidR="00E1754B" w:rsidRPr="00E94400">
        <w:rPr>
          <w:rFonts w:asciiTheme="majorBidi" w:hAnsiTheme="majorBidi" w:cstheme="majorBidi"/>
          <w:b/>
          <w:bCs/>
          <w:sz w:val="28"/>
          <w:szCs w:val="28"/>
        </w:rPr>
        <w:t xml:space="preserve">nd </w:t>
      </w:r>
      <w:r w:rsidR="004A2CED" w:rsidRPr="00E94400">
        <w:rPr>
          <w:rFonts w:asciiTheme="majorBidi" w:hAnsiTheme="majorBidi" w:cstheme="majorBidi"/>
          <w:b/>
          <w:bCs/>
          <w:sz w:val="28"/>
          <w:szCs w:val="28"/>
        </w:rPr>
        <w:t>H</w:t>
      </w:r>
      <w:r w:rsidR="00E1754B" w:rsidRPr="00E94400">
        <w:rPr>
          <w:rFonts w:asciiTheme="majorBidi" w:hAnsiTheme="majorBidi" w:cstheme="majorBidi"/>
          <w:b/>
          <w:bCs/>
          <w:sz w:val="28"/>
          <w:szCs w:val="28"/>
        </w:rPr>
        <w:t xml:space="preserve">alf a </w:t>
      </w:r>
      <w:r w:rsidR="004A2CED" w:rsidRPr="00E94400">
        <w:rPr>
          <w:rFonts w:asciiTheme="majorBidi" w:hAnsiTheme="majorBidi" w:cstheme="majorBidi"/>
          <w:b/>
          <w:bCs/>
          <w:sz w:val="28"/>
          <w:szCs w:val="28"/>
        </w:rPr>
        <w:t>M</w:t>
      </w:r>
      <w:r w:rsidR="00E1754B" w:rsidRPr="00E94400">
        <w:rPr>
          <w:rFonts w:asciiTheme="majorBidi" w:hAnsiTheme="majorBidi" w:cstheme="majorBidi"/>
          <w:b/>
          <w:bCs/>
          <w:sz w:val="28"/>
          <w:szCs w:val="28"/>
        </w:rPr>
        <w:t xml:space="preserve">illion </w:t>
      </w:r>
      <w:r w:rsidR="004A2CED" w:rsidRPr="00E94400">
        <w:rPr>
          <w:rFonts w:asciiTheme="majorBidi" w:hAnsiTheme="majorBidi" w:cstheme="majorBidi"/>
          <w:b/>
          <w:bCs/>
          <w:sz w:val="28"/>
          <w:szCs w:val="28"/>
        </w:rPr>
        <w:t>T</w:t>
      </w:r>
      <w:r w:rsidR="00E1754B" w:rsidRPr="00E94400">
        <w:rPr>
          <w:rFonts w:asciiTheme="majorBidi" w:hAnsiTheme="majorBidi" w:cstheme="majorBidi"/>
          <w:b/>
          <w:bCs/>
          <w:sz w:val="28"/>
          <w:szCs w:val="28"/>
        </w:rPr>
        <w:t xml:space="preserve">ons of </w:t>
      </w:r>
      <w:r w:rsidR="004A2CED" w:rsidRPr="00E94400">
        <w:rPr>
          <w:rFonts w:asciiTheme="majorBidi" w:hAnsiTheme="majorBidi" w:cstheme="majorBidi"/>
          <w:b/>
          <w:bCs/>
          <w:sz w:val="28"/>
          <w:szCs w:val="28"/>
        </w:rPr>
        <w:t>P</w:t>
      </w:r>
      <w:r w:rsidR="00E1754B" w:rsidRPr="00E94400">
        <w:rPr>
          <w:rFonts w:asciiTheme="majorBidi" w:hAnsiTheme="majorBidi" w:cstheme="majorBidi"/>
          <w:b/>
          <w:bCs/>
          <w:sz w:val="28"/>
          <w:szCs w:val="28"/>
        </w:rPr>
        <w:t>iled-</w:t>
      </w:r>
      <w:r w:rsidR="004A2CED" w:rsidRPr="00E94400">
        <w:rPr>
          <w:rFonts w:asciiTheme="majorBidi" w:hAnsiTheme="majorBidi" w:cstheme="majorBidi"/>
          <w:b/>
          <w:bCs/>
          <w:sz w:val="28"/>
          <w:szCs w:val="28"/>
        </w:rPr>
        <w:t>U</w:t>
      </w:r>
      <w:r w:rsidR="00E1754B" w:rsidRPr="00E94400">
        <w:rPr>
          <w:rFonts w:asciiTheme="majorBidi" w:hAnsiTheme="majorBidi" w:cstheme="majorBidi"/>
          <w:b/>
          <w:bCs/>
          <w:sz w:val="28"/>
          <w:szCs w:val="28"/>
        </w:rPr>
        <w:t xml:space="preserve">p </w:t>
      </w:r>
      <w:r w:rsidR="004A2CED" w:rsidRPr="00E94400">
        <w:rPr>
          <w:rFonts w:asciiTheme="majorBidi" w:hAnsiTheme="majorBidi" w:cstheme="majorBidi"/>
          <w:b/>
          <w:bCs/>
          <w:sz w:val="28"/>
          <w:szCs w:val="28"/>
        </w:rPr>
        <w:t>W</w:t>
      </w:r>
      <w:r w:rsidR="00E1754B" w:rsidRPr="00E94400">
        <w:rPr>
          <w:rFonts w:asciiTheme="majorBidi" w:hAnsiTheme="majorBidi" w:cstheme="majorBidi"/>
          <w:b/>
          <w:bCs/>
          <w:sz w:val="28"/>
          <w:szCs w:val="28"/>
        </w:rPr>
        <w:t xml:space="preserve">aste and 50 </w:t>
      </w:r>
      <w:r w:rsidR="004A2CED" w:rsidRPr="00E94400">
        <w:rPr>
          <w:rFonts w:asciiTheme="majorBidi" w:hAnsiTheme="majorBidi" w:cstheme="majorBidi"/>
          <w:b/>
          <w:bCs/>
          <w:sz w:val="28"/>
          <w:szCs w:val="28"/>
        </w:rPr>
        <w:t>M</w:t>
      </w:r>
      <w:r w:rsidR="00E1754B" w:rsidRPr="00E94400">
        <w:rPr>
          <w:rFonts w:asciiTheme="majorBidi" w:hAnsiTheme="majorBidi" w:cstheme="majorBidi"/>
          <w:b/>
          <w:bCs/>
          <w:sz w:val="28"/>
          <w:szCs w:val="28"/>
        </w:rPr>
        <w:t xml:space="preserve">illion </w:t>
      </w:r>
      <w:r w:rsidR="004A2CED" w:rsidRPr="00E94400">
        <w:rPr>
          <w:rFonts w:asciiTheme="majorBidi" w:hAnsiTheme="majorBidi" w:cstheme="majorBidi"/>
          <w:b/>
          <w:bCs/>
          <w:sz w:val="28"/>
          <w:szCs w:val="28"/>
        </w:rPr>
        <w:t>T</w:t>
      </w:r>
      <w:r w:rsidR="00E1754B" w:rsidRPr="00E94400">
        <w:rPr>
          <w:rFonts w:asciiTheme="majorBidi" w:hAnsiTheme="majorBidi" w:cstheme="majorBidi"/>
          <w:b/>
          <w:bCs/>
          <w:sz w:val="28"/>
          <w:szCs w:val="28"/>
        </w:rPr>
        <w:t xml:space="preserve">ons of </w:t>
      </w:r>
      <w:r w:rsidR="004A2CED" w:rsidRPr="00E94400">
        <w:rPr>
          <w:rFonts w:asciiTheme="majorBidi" w:hAnsiTheme="majorBidi" w:cstheme="majorBidi"/>
          <w:b/>
          <w:bCs/>
          <w:sz w:val="28"/>
          <w:szCs w:val="28"/>
        </w:rPr>
        <w:t>R</w:t>
      </w:r>
      <w:r w:rsidR="00E1754B" w:rsidRPr="00E94400">
        <w:rPr>
          <w:rFonts w:asciiTheme="majorBidi" w:hAnsiTheme="majorBidi" w:cstheme="majorBidi"/>
          <w:b/>
          <w:bCs/>
          <w:sz w:val="28"/>
          <w:szCs w:val="28"/>
        </w:rPr>
        <w:t>ubble</w:t>
      </w:r>
      <w:r w:rsidR="00090C81" w:rsidRPr="00E94400">
        <w:rPr>
          <w:rFonts w:asciiTheme="majorBidi" w:hAnsiTheme="majorBidi" w:cstheme="majorBidi"/>
          <w:b/>
          <w:bCs/>
          <w:sz w:val="28"/>
          <w:szCs w:val="28"/>
        </w:rPr>
        <w:t xml:space="preserve"> </w:t>
      </w:r>
      <w:r w:rsidR="00442A47" w:rsidRPr="00E94400">
        <w:rPr>
          <w:rFonts w:asciiTheme="majorBidi" w:hAnsiTheme="majorBidi" w:cstheme="majorBidi"/>
          <w:b/>
          <w:bCs/>
          <w:sz w:val="28"/>
          <w:szCs w:val="28"/>
        </w:rPr>
        <w:t>in</w:t>
      </w:r>
      <w:r w:rsidR="00090C81" w:rsidRPr="00E94400">
        <w:rPr>
          <w:rFonts w:asciiTheme="majorBidi" w:hAnsiTheme="majorBidi" w:cstheme="majorBidi"/>
          <w:b/>
          <w:bCs/>
          <w:sz w:val="28"/>
          <w:szCs w:val="28"/>
        </w:rPr>
        <w:t xml:space="preserve"> </w:t>
      </w:r>
      <w:r w:rsidR="00442A47" w:rsidRPr="00E94400">
        <w:rPr>
          <w:rFonts w:asciiTheme="majorBidi" w:hAnsiTheme="majorBidi" w:cstheme="majorBidi"/>
          <w:b/>
          <w:bCs/>
          <w:sz w:val="28"/>
          <w:szCs w:val="28"/>
        </w:rPr>
        <w:t>an</w:t>
      </w:r>
      <w:r w:rsidR="00090C81" w:rsidRPr="00E94400">
        <w:rPr>
          <w:rFonts w:asciiTheme="majorBidi" w:hAnsiTheme="majorBidi" w:cstheme="majorBidi"/>
          <w:b/>
          <w:bCs/>
          <w:sz w:val="28"/>
          <w:szCs w:val="28"/>
        </w:rPr>
        <w:t xml:space="preserve"> Area </w:t>
      </w:r>
      <w:r w:rsidR="00442A47" w:rsidRPr="00E94400">
        <w:rPr>
          <w:rFonts w:asciiTheme="majorBidi" w:hAnsiTheme="majorBidi" w:cstheme="majorBidi"/>
          <w:b/>
          <w:bCs/>
          <w:sz w:val="28"/>
          <w:szCs w:val="28"/>
        </w:rPr>
        <w:t>Not</w:t>
      </w:r>
      <w:r w:rsidR="00E94400" w:rsidRPr="00E94400">
        <w:rPr>
          <w:rFonts w:asciiTheme="majorBidi" w:hAnsiTheme="majorBidi" w:cstheme="majorBidi"/>
          <w:b/>
          <w:bCs/>
          <w:sz w:val="28"/>
          <w:szCs w:val="28"/>
        </w:rPr>
        <w:t xml:space="preserve"> Exceeding</w:t>
      </w:r>
      <w:r w:rsidR="0091594F" w:rsidRPr="00E94400">
        <w:rPr>
          <w:rFonts w:asciiTheme="majorBidi" w:hAnsiTheme="majorBidi" w:cstheme="majorBidi"/>
          <w:b/>
          <w:bCs/>
          <w:sz w:val="28"/>
          <w:szCs w:val="28"/>
        </w:rPr>
        <w:t xml:space="preserve"> </w:t>
      </w:r>
      <w:r w:rsidR="00090C81" w:rsidRPr="00E94400">
        <w:rPr>
          <w:rFonts w:asciiTheme="majorBidi" w:hAnsiTheme="majorBidi" w:cstheme="majorBidi"/>
          <w:b/>
          <w:bCs/>
          <w:sz w:val="28"/>
          <w:szCs w:val="28"/>
        </w:rPr>
        <w:t>365 km</w:t>
      </w:r>
      <w:r w:rsidR="00090C81" w:rsidRPr="00E94400">
        <w:rPr>
          <w:rFonts w:asciiTheme="majorBidi" w:hAnsiTheme="majorBidi" w:cstheme="majorBidi"/>
          <w:b/>
          <w:bCs/>
          <w:sz w:val="28"/>
          <w:szCs w:val="28"/>
          <w:vertAlign w:val="superscript"/>
        </w:rPr>
        <w:t>2</w:t>
      </w:r>
    </w:p>
    <w:p w:rsidR="008959D5" w:rsidRPr="00E94400" w:rsidRDefault="008959D5" w:rsidP="00E1754B">
      <w:pPr>
        <w:pStyle w:val="BodyText"/>
        <w:bidi w:val="0"/>
        <w:jc w:val="both"/>
        <w:rPr>
          <w:rFonts w:asciiTheme="majorBidi" w:hAnsiTheme="majorBidi" w:cstheme="majorBidi"/>
          <w:sz w:val="8"/>
          <w:szCs w:val="8"/>
          <w:lang w:eastAsia="ar-SA"/>
        </w:rPr>
      </w:pPr>
    </w:p>
    <w:p w:rsidR="00E1754B" w:rsidRPr="00E94400" w:rsidRDefault="00E1754B" w:rsidP="004C07FF">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 xml:space="preserve">Gaza Strip is suffering from a serious environmental disaster due to the accumulation of more than half a million tons of solid waste in light of the </w:t>
      </w:r>
      <w:r w:rsidR="00C84B66" w:rsidRPr="00E94400">
        <w:rPr>
          <w:rFonts w:asciiTheme="majorBidi" w:hAnsiTheme="majorBidi" w:cstheme="majorBidi"/>
          <w:sz w:val="26"/>
          <w:szCs w:val="26"/>
          <w:lang w:eastAsia="ar-SA"/>
        </w:rPr>
        <w:t xml:space="preserve">almost </w:t>
      </w:r>
      <w:r w:rsidR="004C07FF" w:rsidRPr="00E94400">
        <w:rPr>
          <w:rFonts w:asciiTheme="majorBidi" w:hAnsiTheme="majorBidi" w:cstheme="majorBidi"/>
          <w:sz w:val="26"/>
          <w:szCs w:val="26"/>
          <w:lang w:eastAsia="ar-SA"/>
        </w:rPr>
        <w:t xml:space="preserve">total </w:t>
      </w:r>
      <w:r w:rsidRPr="00E94400">
        <w:rPr>
          <w:rFonts w:asciiTheme="majorBidi" w:hAnsiTheme="majorBidi" w:cstheme="majorBidi"/>
          <w:sz w:val="26"/>
          <w:szCs w:val="26"/>
          <w:lang w:eastAsia="ar-SA"/>
        </w:rPr>
        <w:t xml:space="preserve">collapse of the waste management system due to the ongoing Israeli aggression. Most waste collection vehicles </w:t>
      </w:r>
      <w:proofErr w:type="gramStart"/>
      <w:r w:rsidRPr="00E94400">
        <w:rPr>
          <w:rFonts w:asciiTheme="majorBidi" w:hAnsiTheme="majorBidi" w:cstheme="majorBidi"/>
          <w:sz w:val="26"/>
          <w:szCs w:val="26"/>
          <w:lang w:eastAsia="ar-SA"/>
        </w:rPr>
        <w:t>have been destroyed</w:t>
      </w:r>
      <w:proofErr w:type="gramEnd"/>
      <w:r w:rsidRPr="00E94400">
        <w:rPr>
          <w:rFonts w:asciiTheme="majorBidi" w:hAnsiTheme="majorBidi" w:cstheme="majorBidi"/>
          <w:sz w:val="26"/>
          <w:szCs w:val="26"/>
          <w:lang w:eastAsia="ar-SA"/>
        </w:rPr>
        <w:t xml:space="preserve"> and roads damaged, hindering municipal crews from reaching the main landfills. They </w:t>
      </w:r>
      <w:proofErr w:type="gramStart"/>
      <w:r w:rsidRPr="00E94400">
        <w:rPr>
          <w:rFonts w:asciiTheme="majorBidi" w:hAnsiTheme="majorBidi" w:cstheme="majorBidi"/>
          <w:sz w:val="26"/>
          <w:szCs w:val="26"/>
          <w:lang w:eastAsia="ar-SA"/>
        </w:rPr>
        <w:t>have been forced</w:t>
      </w:r>
      <w:proofErr w:type="gramEnd"/>
      <w:r w:rsidRPr="00E94400">
        <w:rPr>
          <w:rFonts w:asciiTheme="majorBidi" w:hAnsiTheme="majorBidi" w:cstheme="majorBidi"/>
          <w:sz w:val="26"/>
          <w:szCs w:val="26"/>
          <w:lang w:eastAsia="ar-SA"/>
        </w:rPr>
        <w:t xml:space="preserve"> to establish temporary landfills near residential areas, causing air pollution, the spread of skin and respiratory diseases, and the proliferation of insects and rodents. In addition, waste decomposition and the emission of toxic gases expose more than 42% of the population to health risks from this waste.</w:t>
      </w:r>
    </w:p>
    <w:p w:rsidR="00E1754B" w:rsidRPr="00E94400" w:rsidRDefault="00E1754B" w:rsidP="00E1754B">
      <w:pPr>
        <w:pStyle w:val="BodyText"/>
        <w:bidi w:val="0"/>
        <w:jc w:val="left"/>
        <w:rPr>
          <w:rFonts w:asciiTheme="majorBidi" w:hAnsiTheme="majorBidi" w:cstheme="majorBidi"/>
          <w:sz w:val="16"/>
          <w:szCs w:val="16"/>
          <w:lang w:eastAsia="ar-SA"/>
        </w:rPr>
      </w:pPr>
    </w:p>
    <w:p w:rsidR="00E94400" w:rsidRDefault="00E1754B" w:rsidP="00AE3097">
      <w:pPr>
        <w:pStyle w:val="BodyText"/>
        <w:bidi w:val="0"/>
        <w:jc w:val="both"/>
        <w:rPr>
          <w:rFonts w:asciiTheme="majorBidi" w:hAnsiTheme="majorBidi" w:cstheme="majorBidi"/>
          <w:sz w:val="26"/>
          <w:szCs w:val="26"/>
          <w:rtl/>
          <w:lang w:eastAsia="ar-SA"/>
        </w:rPr>
      </w:pPr>
      <w:r w:rsidRPr="00E94400">
        <w:rPr>
          <w:rFonts w:asciiTheme="majorBidi" w:hAnsiTheme="majorBidi" w:cstheme="majorBidi"/>
          <w:sz w:val="26"/>
          <w:szCs w:val="26"/>
          <w:lang w:eastAsia="ar-SA"/>
        </w:rPr>
        <w:t xml:space="preserve">Environmental degradation was not limited to solid waste alone, but also extended to the massive amount of rubble and debris resulting from the total or partial destruction of more than 173,000 buildings. The accumulated quantities </w:t>
      </w:r>
      <w:proofErr w:type="gramStart"/>
      <w:r w:rsidRPr="00E94400">
        <w:rPr>
          <w:rFonts w:asciiTheme="majorBidi" w:hAnsiTheme="majorBidi" w:cstheme="majorBidi"/>
          <w:sz w:val="26"/>
          <w:szCs w:val="26"/>
          <w:lang w:eastAsia="ar-SA"/>
        </w:rPr>
        <w:t>are estimated</w:t>
      </w:r>
      <w:proofErr w:type="gramEnd"/>
      <w:r w:rsidRPr="00E94400">
        <w:rPr>
          <w:rFonts w:asciiTheme="majorBidi" w:hAnsiTheme="majorBidi" w:cstheme="majorBidi"/>
          <w:sz w:val="26"/>
          <w:szCs w:val="26"/>
          <w:lang w:eastAsia="ar-SA"/>
        </w:rPr>
        <w:t xml:space="preserve"> at approximately 50 million tons of rubble,</w:t>
      </w:r>
      <w:r w:rsidR="00BA54E2" w:rsidRPr="00E94400">
        <w:rPr>
          <w:rFonts w:asciiTheme="majorBidi" w:hAnsiTheme="majorBidi" w:cstheme="majorBidi"/>
          <w:sz w:val="26"/>
          <w:szCs w:val="26"/>
        </w:rPr>
        <w:t xml:space="preserve"> </w:t>
      </w:r>
      <w:r w:rsidR="00BA54E2" w:rsidRPr="00E94400">
        <w:rPr>
          <w:rFonts w:asciiTheme="majorBidi" w:hAnsiTheme="majorBidi" w:cstheme="majorBidi"/>
          <w:sz w:val="26"/>
          <w:szCs w:val="26"/>
          <w:lang w:eastAsia="ar-SA"/>
        </w:rPr>
        <w:t xml:space="preserve">of </w:t>
      </w:r>
      <w:r w:rsidR="00671740" w:rsidRPr="00E94400">
        <w:rPr>
          <w:rFonts w:asciiTheme="majorBidi" w:hAnsiTheme="majorBidi" w:cstheme="majorBidi"/>
          <w:sz w:val="26"/>
          <w:szCs w:val="26"/>
          <w:lang w:eastAsia="ar-SA"/>
        </w:rPr>
        <w:t>which</w:t>
      </w:r>
      <w:r w:rsidR="00BA54E2" w:rsidRPr="00E94400">
        <w:rPr>
          <w:rFonts w:asciiTheme="majorBidi" w:hAnsiTheme="majorBidi" w:cstheme="majorBidi"/>
          <w:sz w:val="26"/>
          <w:szCs w:val="26"/>
          <w:lang w:eastAsia="ar-SA"/>
        </w:rPr>
        <w:t xml:space="preserve"> 2.3 million tons are mixed with </w:t>
      </w:r>
    </w:p>
    <w:p w:rsidR="00E94400" w:rsidRDefault="00E94400" w:rsidP="00E94400">
      <w:pPr>
        <w:pStyle w:val="BodyText"/>
        <w:bidi w:val="0"/>
        <w:jc w:val="both"/>
        <w:rPr>
          <w:rFonts w:asciiTheme="majorBidi" w:hAnsiTheme="majorBidi" w:cstheme="majorBidi"/>
          <w:sz w:val="26"/>
          <w:szCs w:val="26"/>
          <w:rtl/>
          <w:lang w:eastAsia="ar-SA"/>
        </w:rPr>
      </w:pPr>
    </w:p>
    <w:p w:rsidR="00E1754B" w:rsidRPr="00E94400" w:rsidRDefault="00BA54E2" w:rsidP="00E94400">
      <w:pPr>
        <w:pStyle w:val="BodyText"/>
        <w:bidi w:val="0"/>
        <w:jc w:val="both"/>
        <w:rPr>
          <w:rFonts w:asciiTheme="majorBidi" w:hAnsiTheme="majorBidi" w:cstheme="majorBidi"/>
          <w:sz w:val="26"/>
          <w:szCs w:val="26"/>
          <w:lang w:eastAsia="ar-SA"/>
        </w:rPr>
      </w:pPr>
      <w:proofErr w:type="gramStart"/>
      <w:r w:rsidRPr="00E94400">
        <w:rPr>
          <w:rFonts w:asciiTheme="majorBidi" w:hAnsiTheme="majorBidi" w:cstheme="majorBidi"/>
          <w:sz w:val="26"/>
          <w:szCs w:val="26"/>
          <w:lang w:eastAsia="ar-SA"/>
        </w:rPr>
        <w:t>hazardous</w:t>
      </w:r>
      <w:proofErr w:type="gramEnd"/>
      <w:r w:rsidRPr="00E94400">
        <w:rPr>
          <w:rFonts w:asciiTheme="majorBidi" w:hAnsiTheme="majorBidi" w:cstheme="majorBidi"/>
          <w:sz w:val="26"/>
          <w:szCs w:val="26"/>
          <w:lang w:eastAsia="ar-SA"/>
        </w:rPr>
        <w:t xml:space="preserve"> waste such as asbestos, thousands of tons of hazardous and medical waste have accumulated, and more than 100,000 tons of explosives and bombs have been dumped, representing an unprecedented environmental and humanitarian challenge.</w:t>
      </w:r>
      <w:r w:rsidR="00E1754B" w:rsidRPr="00E94400">
        <w:rPr>
          <w:rFonts w:asciiTheme="majorBidi" w:hAnsiTheme="majorBidi" w:cstheme="majorBidi"/>
          <w:sz w:val="26"/>
          <w:szCs w:val="26"/>
          <w:lang w:eastAsia="ar-SA"/>
        </w:rPr>
        <w:t xml:space="preserve"> </w:t>
      </w:r>
    </w:p>
    <w:p w:rsidR="00481071" w:rsidRPr="00E94400" w:rsidRDefault="00481071" w:rsidP="005B1974">
      <w:pPr>
        <w:pStyle w:val="BodyText"/>
        <w:bidi w:val="0"/>
        <w:jc w:val="both"/>
        <w:rPr>
          <w:rFonts w:asciiTheme="majorBidi" w:hAnsiTheme="majorBidi" w:cstheme="majorBidi"/>
          <w:b/>
          <w:bCs/>
          <w:sz w:val="16"/>
          <w:szCs w:val="16"/>
          <w:lang w:eastAsia="ar-SA"/>
        </w:rPr>
      </w:pPr>
    </w:p>
    <w:p w:rsidR="00E94400" w:rsidRDefault="00E94400" w:rsidP="00EA6948">
      <w:pPr>
        <w:pStyle w:val="BodyText"/>
        <w:bidi w:val="0"/>
        <w:jc w:val="both"/>
        <w:rPr>
          <w:rFonts w:asciiTheme="majorBidi" w:hAnsiTheme="majorBidi" w:cstheme="majorBidi"/>
          <w:b/>
          <w:bCs/>
          <w:sz w:val="28"/>
          <w:szCs w:val="28"/>
          <w:rtl/>
          <w:lang w:eastAsia="ar-SA"/>
        </w:rPr>
      </w:pPr>
    </w:p>
    <w:p w:rsidR="00E94400" w:rsidRDefault="00E94400" w:rsidP="00E94400">
      <w:pPr>
        <w:pStyle w:val="BodyText"/>
        <w:bidi w:val="0"/>
        <w:jc w:val="both"/>
        <w:rPr>
          <w:rFonts w:asciiTheme="majorBidi" w:hAnsiTheme="majorBidi" w:cstheme="majorBidi"/>
          <w:b/>
          <w:bCs/>
          <w:sz w:val="28"/>
          <w:szCs w:val="28"/>
          <w:rtl/>
          <w:lang w:eastAsia="ar-SA"/>
        </w:rPr>
      </w:pPr>
    </w:p>
    <w:p w:rsidR="00E94400" w:rsidRDefault="00E94400" w:rsidP="00E94400">
      <w:pPr>
        <w:pStyle w:val="BodyText"/>
        <w:bidi w:val="0"/>
        <w:jc w:val="both"/>
        <w:rPr>
          <w:rFonts w:asciiTheme="majorBidi" w:hAnsiTheme="majorBidi" w:cstheme="majorBidi"/>
          <w:b/>
          <w:bCs/>
          <w:sz w:val="28"/>
          <w:szCs w:val="28"/>
          <w:rtl/>
          <w:lang w:eastAsia="ar-SA"/>
        </w:rPr>
      </w:pPr>
    </w:p>
    <w:p w:rsidR="00E94400" w:rsidRDefault="00E94400" w:rsidP="00E94400">
      <w:pPr>
        <w:pStyle w:val="BodyText"/>
        <w:bidi w:val="0"/>
        <w:jc w:val="both"/>
        <w:rPr>
          <w:rFonts w:asciiTheme="majorBidi" w:hAnsiTheme="majorBidi" w:cstheme="majorBidi"/>
          <w:b/>
          <w:bCs/>
          <w:sz w:val="28"/>
          <w:szCs w:val="28"/>
          <w:rtl/>
          <w:lang w:eastAsia="ar-SA"/>
        </w:rPr>
      </w:pPr>
    </w:p>
    <w:p w:rsidR="00E94400" w:rsidRDefault="00E94400" w:rsidP="00E94400">
      <w:pPr>
        <w:pStyle w:val="BodyText"/>
        <w:bidi w:val="0"/>
        <w:jc w:val="both"/>
        <w:rPr>
          <w:rFonts w:asciiTheme="majorBidi" w:hAnsiTheme="majorBidi" w:cstheme="majorBidi"/>
          <w:b/>
          <w:bCs/>
          <w:sz w:val="28"/>
          <w:szCs w:val="28"/>
          <w:rtl/>
          <w:lang w:eastAsia="ar-SA"/>
        </w:rPr>
      </w:pPr>
    </w:p>
    <w:p w:rsidR="00E94400" w:rsidRDefault="00E94400" w:rsidP="00E94400">
      <w:pPr>
        <w:pStyle w:val="BodyText"/>
        <w:bidi w:val="0"/>
        <w:jc w:val="both"/>
        <w:rPr>
          <w:rFonts w:asciiTheme="majorBidi" w:hAnsiTheme="majorBidi" w:cstheme="majorBidi"/>
          <w:b/>
          <w:bCs/>
          <w:sz w:val="28"/>
          <w:szCs w:val="28"/>
          <w:rtl/>
          <w:lang w:eastAsia="ar-SA"/>
        </w:rPr>
      </w:pPr>
    </w:p>
    <w:p w:rsidR="00E1754B" w:rsidRPr="00E94400" w:rsidRDefault="00E1754B" w:rsidP="00E94400">
      <w:pPr>
        <w:pStyle w:val="BodyText"/>
        <w:bidi w:val="0"/>
        <w:jc w:val="both"/>
        <w:rPr>
          <w:rFonts w:asciiTheme="majorBidi" w:hAnsiTheme="majorBidi" w:cstheme="majorBidi"/>
          <w:b/>
          <w:bCs/>
          <w:sz w:val="28"/>
          <w:szCs w:val="28"/>
          <w:lang w:eastAsia="ar-SA"/>
        </w:rPr>
      </w:pPr>
      <w:proofErr w:type="gramStart"/>
      <w:r w:rsidRPr="00E94400">
        <w:rPr>
          <w:rFonts w:asciiTheme="majorBidi" w:hAnsiTheme="majorBidi" w:cstheme="majorBidi"/>
          <w:b/>
          <w:bCs/>
          <w:sz w:val="28"/>
          <w:szCs w:val="28"/>
          <w:lang w:eastAsia="ar-SA"/>
        </w:rPr>
        <w:t>81%</w:t>
      </w:r>
      <w:proofErr w:type="gramEnd"/>
      <w:r w:rsidRPr="00E94400">
        <w:rPr>
          <w:rFonts w:asciiTheme="majorBidi" w:hAnsiTheme="majorBidi" w:cstheme="majorBidi"/>
          <w:b/>
          <w:bCs/>
          <w:sz w:val="28"/>
          <w:szCs w:val="28"/>
          <w:lang w:eastAsia="ar-SA"/>
        </w:rPr>
        <w:t xml:space="preserve"> of </w:t>
      </w:r>
      <w:r w:rsidR="005B1974" w:rsidRPr="00E94400">
        <w:rPr>
          <w:rFonts w:asciiTheme="majorBidi" w:hAnsiTheme="majorBidi" w:cstheme="majorBidi"/>
          <w:b/>
          <w:bCs/>
          <w:sz w:val="28"/>
          <w:szCs w:val="28"/>
          <w:lang w:eastAsia="ar-SA"/>
        </w:rPr>
        <w:t>A</w:t>
      </w:r>
      <w:r w:rsidRPr="00E94400">
        <w:rPr>
          <w:rFonts w:asciiTheme="majorBidi" w:hAnsiTheme="majorBidi" w:cstheme="majorBidi"/>
          <w:b/>
          <w:bCs/>
          <w:sz w:val="28"/>
          <w:szCs w:val="28"/>
          <w:lang w:eastAsia="ar-SA"/>
        </w:rPr>
        <w:t xml:space="preserve">gricultural </w:t>
      </w:r>
      <w:r w:rsidR="005B1974" w:rsidRPr="00E94400">
        <w:rPr>
          <w:rFonts w:asciiTheme="majorBidi" w:hAnsiTheme="majorBidi" w:cstheme="majorBidi"/>
          <w:b/>
          <w:bCs/>
          <w:sz w:val="28"/>
          <w:szCs w:val="28"/>
          <w:lang w:eastAsia="ar-SA"/>
        </w:rPr>
        <w:t>L</w:t>
      </w:r>
      <w:r w:rsidRPr="00E94400">
        <w:rPr>
          <w:rFonts w:asciiTheme="majorBidi" w:hAnsiTheme="majorBidi" w:cstheme="majorBidi"/>
          <w:b/>
          <w:bCs/>
          <w:sz w:val="28"/>
          <w:szCs w:val="28"/>
          <w:lang w:eastAsia="ar-SA"/>
        </w:rPr>
        <w:t>and</w:t>
      </w:r>
      <w:r w:rsidR="00AB2364" w:rsidRPr="00E94400">
        <w:rPr>
          <w:rFonts w:asciiTheme="majorBidi" w:hAnsiTheme="majorBidi" w:cstheme="majorBidi"/>
          <w:b/>
          <w:bCs/>
          <w:sz w:val="28"/>
          <w:szCs w:val="28"/>
          <w:lang w:eastAsia="ar-SA"/>
        </w:rPr>
        <w:t>s</w:t>
      </w:r>
      <w:r w:rsidRPr="00E94400">
        <w:rPr>
          <w:rFonts w:asciiTheme="majorBidi" w:hAnsiTheme="majorBidi" w:cstheme="majorBidi"/>
          <w:b/>
          <w:bCs/>
          <w:sz w:val="28"/>
          <w:szCs w:val="28"/>
          <w:lang w:eastAsia="ar-SA"/>
        </w:rPr>
        <w:t xml:space="preserve"> in Gaza Strip </w:t>
      </w:r>
      <w:r w:rsidR="006E65F5" w:rsidRPr="00E94400">
        <w:rPr>
          <w:rFonts w:asciiTheme="majorBidi" w:hAnsiTheme="majorBidi" w:cstheme="majorBidi"/>
          <w:b/>
          <w:bCs/>
          <w:sz w:val="28"/>
          <w:szCs w:val="28"/>
          <w:lang w:eastAsia="ar-SA"/>
        </w:rPr>
        <w:t>Were</w:t>
      </w:r>
      <w:r w:rsidR="00AB2364" w:rsidRPr="00E94400">
        <w:rPr>
          <w:rFonts w:asciiTheme="majorBidi" w:hAnsiTheme="majorBidi" w:cstheme="majorBidi"/>
          <w:b/>
          <w:bCs/>
          <w:sz w:val="28"/>
          <w:szCs w:val="28"/>
          <w:lang w:eastAsia="ar-SA"/>
        </w:rPr>
        <w:t xml:space="preserve"> </w:t>
      </w:r>
      <w:r w:rsidR="00EA6948" w:rsidRPr="00E94400">
        <w:rPr>
          <w:rFonts w:asciiTheme="majorBidi" w:hAnsiTheme="majorBidi" w:cstheme="majorBidi"/>
          <w:b/>
          <w:bCs/>
          <w:sz w:val="28"/>
          <w:szCs w:val="28"/>
          <w:lang w:eastAsia="ar-SA"/>
        </w:rPr>
        <w:t>Destroyed</w:t>
      </w:r>
    </w:p>
    <w:p w:rsidR="008959D5" w:rsidRPr="00E94400" w:rsidRDefault="008959D5" w:rsidP="008959D5">
      <w:pPr>
        <w:pStyle w:val="BodyText"/>
        <w:bidi w:val="0"/>
        <w:jc w:val="both"/>
        <w:rPr>
          <w:rFonts w:asciiTheme="majorBidi" w:hAnsiTheme="majorBidi" w:cstheme="majorBidi"/>
          <w:b/>
          <w:bCs/>
          <w:sz w:val="8"/>
          <w:szCs w:val="8"/>
          <w:lang w:eastAsia="ar-SA"/>
        </w:rPr>
      </w:pPr>
    </w:p>
    <w:p w:rsidR="00E1754B" w:rsidRPr="00E94400" w:rsidRDefault="00E1754B" w:rsidP="00000F3A">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A recent assessment conducted by UNSTAT, based on aerial imagery and damage analysis up to March 30</w:t>
      </w:r>
      <w:r w:rsidR="00671740" w:rsidRPr="00E94400">
        <w:rPr>
          <w:rFonts w:asciiTheme="majorBidi" w:hAnsiTheme="majorBidi" w:cstheme="majorBidi"/>
          <w:sz w:val="26"/>
          <w:szCs w:val="26"/>
          <w:vertAlign w:val="superscript"/>
          <w:lang w:eastAsia="ar-SA"/>
        </w:rPr>
        <w:t>th</w:t>
      </w:r>
      <w:r w:rsidRPr="00E94400">
        <w:rPr>
          <w:rFonts w:asciiTheme="majorBidi" w:hAnsiTheme="majorBidi" w:cstheme="majorBidi"/>
          <w:sz w:val="26"/>
          <w:szCs w:val="26"/>
          <w:lang w:eastAsia="ar-SA"/>
        </w:rPr>
        <w:t xml:space="preserve">, 2025, showed that the Israeli aggression </w:t>
      </w:r>
      <w:r w:rsidR="007973EF" w:rsidRPr="00E94400">
        <w:rPr>
          <w:rFonts w:asciiTheme="majorBidi" w:hAnsiTheme="majorBidi" w:cstheme="majorBidi"/>
          <w:sz w:val="26"/>
          <w:szCs w:val="26"/>
          <w:lang w:eastAsia="ar-SA"/>
        </w:rPr>
        <w:t>against</w:t>
      </w:r>
      <w:r w:rsidR="00671740" w:rsidRPr="00E94400">
        <w:rPr>
          <w:rFonts w:asciiTheme="majorBidi" w:hAnsiTheme="majorBidi" w:cstheme="majorBidi"/>
          <w:sz w:val="26"/>
          <w:szCs w:val="26"/>
          <w:lang w:eastAsia="ar-SA"/>
        </w:rPr>
        <w:t xml:space="preserve"> </w:t>
      </w:r>
      <w:r w:rsidRPr="00E94400">
        <w:rPr>
          <w:rFonts w:asciiTheme="majorBidi" w:hAnsiTheme="majorBidi" w:cstheme="majorBidi"/>
          <w:sz w:val="26"/>
          <w:szCs w:val="26"/>
          <w:lang w:eastAsia="ar-SA"/>
        </w:rPr>
        <w:t>Gaza Strip caused widespread destruction to the agricultural sector, with approximately 81% of agricultural land</w:t>
      </w:r>
      <w:r w:rsidR="00AB2364" w:rsidRPr="00E94400">
        <w:rPr>
          <w:rFonts w:asciiTheme="majorBidi" w:hAnsiTheme="majorBidi" w:cstheme="majorBidi"/>
          <w:sz w:val="26"/>
          <w:szCs w:val="26"/>
          <w:lang w:eastAsia="ar-SA"/>
        </w:rPr>
        <w:t>s</w:t>
      </w:r>
      <w:r w:rsidRPr="00E94400">
        <w:rPr>
          <w:rFonts w:asciiTheme="majorBidi" w:hAnsiTheme="majorBidi" w:cstheme="majorBidi"/>
          <w:sz w:val="26"/>
          <w:szCs w:val="26"/>
          <w:lang w:eastAsia="ar-SA"/>
        </w:rPr>
        <w:t xml:space="preserve"> </w:t>
      </w:r>
      <w:r w:rsidR="00000F3A" w:rsidRPr="00E94400">
        <w:rPr>
          <w:rFonts w:asciiTheme="majorBidi" w:hAnsiTheme="majorBidi" w:cstheme="majorBidi"/>
          <w:sz w:val="26"/>
          <w:szCs w:val="26"/>
          <w:lang w:eastAsia="ar-SA"/>
        </w:rPr>
        <w:t>d</w:t>
      </w:r>
      <w:r w:rsidR="00DE0AAC" w:rsidRPr="00E94400">
        <w:rPr>
          <w:rFonts w:asciiTheme="majorBidi" w:hAnsiTheme="majorBidi" w:cstheme="majorBidi"/>
          <w:sz w:val="26"/>
          <w:szCs w:val="26"/>
          <w:lang w:eastAsia="ar-SA"/>
        </w:rPr>
        <w:t xml:space="preserve">estroyed </w:t>
      </w:r>
      <w:r w:rsidRPr="00E94400">
        <w:rPr>
          <w:rFonts w:asciiTheme="majorBidi" w:hAnsiTheme="majorBidi" w:cstheme="majorBidi"/>
          <w:sz w:val="26"/>
          <w:szCs w:val="26"/>
          <w:lang w:eastAsia="ar-SA"/>
        </w:rPr>
        <w:t xml:space="preserve">as a result of systematic bulldozing, the movement of heavy military vehicles, and continuous shelling. The report noted a significant increase in the rate of destruction in Khan </w:t>
      </w:r>
      <w:proofErr w:type="spellStart"/>
      <w:r w:rsidRPr="00E94400">
        <w:rPr>
          <w:rFonts w:asciiTheme="majorBidi" w:hAnsiTheme="majorBidi" w:cstheme="majorBidi"/>
          <w:sz w:val="26"/>
          <w:szCs w:val="26"/>
          <w:lang w:eastAsia="ar-SA"/>
        </w:rPr>
        <w:t>Yunis</w:t>
      </w:r>
      <w:proofErr w:type="spellEnd"/>
      <w:r w:rsidRPr="00E94400">
        <w:rPr>
          <w:rFonts w:asciiTheme="majorBidi" w:hAnsiTheme="majorBidi" w:cstheme="majorBidi"/>
          <w:sz w:val="26"/>
          <w:szCs w:val="26"/>
          <w:lang w:eastAsia="ar-SA"/>
        </w:rPr>
        <w:t xml:space="preserve"> Governorate, recording an 8% increase compared to the previous analysis issued in December 2024. Rafah Governorate also witnessed a sharp increase in the rate of </w:t>
      </w:r>
      <w:r w:rsidR="00000F3A" w:rsidRPr="00E94400">
        <w:rPr>
          <w:rFonts w:asciiTheme="majorBidi" w:hAnsiTheme="majorBidi" w:cstheme="majorBidi"/>
          <w:sz w:val="26"/>
          <w:szCs w:val="26"/>
          <w:lang w:eastAsia="ar-SA"/>
        </w:rPr>
        <w:t xml:space="preserve">destruction </w:t>
      </w:r>
      <w:r w:rsidR="00887C00" w:rsidRPr="00E94400">
        <w:rPr>
          <w:rFonts w:asciiTheme="majorBidi" w:hAnsiTheme="majorBidi" w:cstheme="majorBidi"/>
          <w:sz w:val="26"/>
          <w:szCs w:val="26"/>
          <w:lang w:eastAsia="ar-SA"/>
        </w:rPr>
        <w:t>made</w:t>
      </w:r>
      <w:r w:rsidRPr="00E94400">
        <w:rPr>
          <w:rFonts w:asciiTheme="majorBidi" w:hAnsiTheme="majorBidi" w:cstheme="majorBidi"/>
          <w:sz w:val="26"/>
          <w:szCs w:val="26"/>
          <w:lang w:eastAsia="ar-SA"/>
        </w:rPr>
        <w:t xml:space="preserve"> to agricultural land</w:t>
      </w:r>
      <w:r w:rsidR="00887C00" w:rsidRPr="00E94400">
        <w:rPr>
          <w:rFonts w:asciiTheme="majorBidi" w:hAnsiTheme="majorBidi" w:cstheme="majorBidi"/>
          <w:sz w:val="26"/>
          <w:szCs w:val="26"/>
          <w:lang w:eastAsia="ar-SA"/>
        </w:rPr>
        <w:t>s,</w:t>
      </w:r>
      <w:r w:rsidRPr="00E94400">
        <w:rPr>
          <w:rFonts w:asciiTheme="majorBidi" w:hAnsiTheme="majorBidi" w:cstheme="majorBidi"/>
          <w:sz w:val="26"/>
          <w:szCs w:val="26"/>
          <w:lang w:eastAsia="ar-SA"/>
        </w:rPr>
        <w:t xml:space="preserve"> rising from 67% to 74%, reflecting the rapid and ongoing deterioration of the agricultural infrastructure.</w:t>
      </w:r>
    </w:p>
    <w:p w:rsidR="00E1754B" w:rsidRPr="00E94400" w:rsidRDefault="00E1754B" w:rsidP="00E1754B">
      <w:pPr>
        <w:pStyle w:val="BodyText"/>
        <w:bidi w:val="0"/>
        <w:jc w:val="both"/>
        <w:rPr>
          <w:rFonts w:asciiTheme="majorBidi" w:hAnsiTheme="majorBidi" w:cstheme="majorBidi"/>
          <w:sz w:val="16"/>
          <w:szCs w:val="16"/>
          <w:lang w:eastAsia="ar-SA"/>
        </w:rPr>
      </w:pPr>
    </w:p>
    <w:p w:rsidR="008959D5" w:rsidRPr="00E94400" w:rsidRDefault="00E1754B" w:rsidP="00BA54E2">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These findings confirm that agriculture in Gaza Strip is at risk of complete collapse, threatening the food security of more than two million people.</w:t>
      </w:r>
    </w:p>
    <w:p w:rsidR="00EE77F4" w:rsidRPr="00E94400" w:rsidRDefault="00EE77F4" w:rsidP="00EE77F4">
      <w:pPr>
        <w:pStyle w:val="BodyText"/>
        <w:bidi w:val="0"/>
        <w:jc w:val="both"/>
        <w:rPr>
          <w:rFonts w:asciiTheme="majorBidi" w:hAnsiTheme="majorBidi" w:cstheme="majorBidi"/>
          <w:sz w:val="16"/>
          <w:szCs w:val="16"/>
          <w:lang w:eastAsia="ar-SA"/>
        </w:rPr>
      </w:pPr>
    </w:p>
    <w:p w:rsidR="00E1754B" w:rsidRPr="00E94400" w:rsidRDefault="00E1754B" w:rsidP="00E94400">
      <w:pPr>
        <w:pStyle w:val="BodyText"/>
        <w:bidi w:val="0"/>
        <w:jc w:val="center"/>
        <w:rPr>
          <w:rFonts w:asciiTheme="majorBidi" w:hAnsiTheme="majorBidi" w:cstheme="majorBidi"/>
          <w:b/>
          <w:bCs/>
          <w:sz w:val="28"/>
          <w:szCs w:val="28"/>
          <w:lang w:eastAsia="ar-SA"/>
        </w:rPr>
      </w:pPr>
      <w:r w:rsidRPr="00E94400">
        <w:rPr>
          <w:rFonts w:asciiTheme="majorBidi" w:hAnsiTheme="majorBidi" w:cstheme="majorBidi"/>
          <w:b/>
          <w:bCs/>
          <w:sz w:val="28"/>
          <w:szCs w:val="28"/>
          <w:lang w:eastAsia="ar-SA"/>
        </w:rPr>
        <w:t xml:space="preserve">Percentage of </w:t>
      </w:r>
      <w:r w:rsidR="008B0C35" w:rsidRPr="00E94400">
        <w:rPr>
          <w:rFonts w:asciiTheme="majorBidi" w:hAnsiTheme="majorBidi" w:cstheme="majorBidi"/>
          <w:b/>
          <w:bCs/>
          <w:sz w:val="28"/>
          <w:szCs w:val="28"/>
          <w:lang w:eastAsia="ar-SA"/>
        </w:rPr>
        <w:t>A</w:t>
      </w:r>
      <w:r w:rsidRPr="00E94400">
        <w:rPr>
          <w:rFonts w:asciiTheme="majorBidi" w:hAnsiTheme="majorBidi" w:cstheme="majorBidi"/>
          <w:b/>
          <w:bCs/>
          <w:sz w:val="28"/>
          <w:szCs w:val="28"/>
          <w:lang w:eastAsia="ar-SA"/>
        </w:rPr>
        <w:t xml:space="preserve">gricultural </w:t>
      </w:r>
      <w:r w:rsidR="008B0C35" w:rsidRPr="00E94400">
        <w:rPr>
          <w:rFonts w:asciiTheme="majorBidi" w:hAnsiTheme="majorBidi" w:cstheme="majorBidi"/>
          <w:b/>
          <w:bCs/>
          <w:sz w:val="28"/>
          <w:szCs w:val="28"/>
          <w:lang w:eastAsia="ar-SA"/>
        </w:rPr>
        <w:t>L</w:t>
      </w:r>
      <w:r w:rsidRPr="00E94400">
        <w:rPr>
          <w:rFonts w:asciiTheme="majorBidi" w:hAnsiTheme="majorBidi" w:cstheme="majorBidi"/>
          <w:b/>
          <w:bCs/>
          <w:sz w:val="28"/>
          <w:szCs w:val="28"/>
          <w:lang w:eastAsia="ar-SA"/>
        </w:rPr>
        <w:t xml:space="preserve">ands </w:t>
      </w:r>
      <w:r w:rsidR="00DE0AAC" w:rsidRPr="00E94400">
        <w:rPr>
          <w:rFonts w:asciiTheme="majorBidi" w:hAnsiTheme="majorBidi" w:cstheme="majorBidi"/>
          <w:b/>
          <w:bCs/>
          <w:sz w:val="28"/>
          <w:szCs w:val="28"/>
          <w:lang w:eastAsia="ar-SA"/>
        </w:rPr>
        <w:t xml:space="preserve">Destroyed </w:t>
      </w:r>
      <w:r w:rsidRPr="00E94400">
        <w:rPr>
          <w:rFonts w:asciiTheme="majorBidi" w:hAnsiTheme="majorBidi" w:cstheme="majorBidi"/>
          <w:b/>
          <w:bCs/>
          <w:sz w:val="28"/>
          <w:szCs w:val="28"/>
          <w:lang w:eastAsia="ar-SA"/>
        </w:rPr>
        <w:t xml:space="preserve">by the Israeli </w:t>
      </w:r>
      <w:r w:rsidR="008B0C35" w:rsidRPr="00E94400">
        <w:rPr>
          <w:rFonts w:asciiTheme="majorBidi" w:hAnsiTheme="majorBidi" w:cstheme="majorBidi"/>
          <w:b/>
          <w:bCs/>
          <w:sz w:val="28"/>
          <w:szCs w:val="28"/>
          <w:lang w:eastAsia="ar-SA"/>
        </w:rPr>
        <w:t xml:space="preserve">Aggression </w:t>
      </w:r>
      <w:r w:rsidR="00671740" w:rsidRPr="00E94400">
        <w:rPr>
          <w:rFonts w:asciiTheme="majorBidi" w:hAnsiTheme="majorBidi" w:cstheme="majorBidi"/>
          <w:b/>
          <w:bCs/>
          <w:sz w:val="28"/>
          <w:szCs w:val="28"/>
          <w:lang w:eastAsia="ar-SA"/>
        </w:rPr>
        <w:t xml:space="preserve">against </w:t>
      </w:r>
      <w:r w:rsidRPr="00E94400">
        <w:rPr>
          <w:rFonts w:asciiTheme="majorBidi" w:hAnsiTheme="majorBidi" w:cstheme="majorBidi"/>
          <w:b/>
          <w:bCs/>
          <w:sz w:val="28"/>
          <w:szCs w:val="28"/>
          <w:lang w:eastAsia="ar-SA"/>
        </w:rPr>
        <w:t xml:space="preserve">Gaza Strip by </w:t>
      </w:r>
      <w:r w:rsidR="008B0C35" w:rsidRPr="00E94400">
        <w:rPr>
          <w:rFonts w:asciiTheme="majorBidi" w:hAnsiTheme="majorBidi" w:cstheme="majorBidi"/>
          <w:b/>
          <w:bCs/>
          <w:sz w:val="28"/>
          <w:szCs w:val="28"/>
          <w:lang w:eastAsia="ar-SA"/>
        </w:rPr>
        <w:t>G</w:t>
      </w:r>
      <w:r w:rsidRPr="00E94400">
        <w:rPr>
          <w:rFonts w:asciiTheme="majorBidi" w:hAnsiTheme="majorBidi" w:cstheme="majorBidi"/>
          <w:b/>
          <w:bCs/>
          <w:sz w:val="28"/>
          <w:szCs w:val="28"/>
          <w:lang w:eastAsia="ar-SA"/>
        </w:rPr>
        <w:t xml:space="preserve">overnorate </w:t>
      </w:r>
      <w:proofErr w:type="gramStart"/>
      <w:r w:rsidR="008B0C35" w:rsidRPr="00E94400">
        <w:rPr>
          <w:rFonts w:asciiTheme="majorBidi" w:hAnsiTheme="majorBidi" w:cstheme="majorBidi"/>
          <w:b/>
          <w:bCs/>
          <w:sz w:val="28"/>
          <w:szCs w:val="28"/>
          <w:lang w:eastAsia="ar-SA"/>
        </w:rPr>
        <w:t>U</w:t>
      </w:r>
      <w:r w:rsidRPr="00E94400">
        <w:rPr>
          <w:rFonts w:asciiTheme="majorBidi" w:hAnsiTheme="majorBidi" w:cstheme="majorBidi"/>
          <w:b/>
          <w:bCs/>
          <w:sz w:val="28"/>
          <w:szCs w:val="28"/>
          <w:lang w:eastAsia="ar-SA"/>
        </w:rPr>
        <w:t>ntil</w:t>
      </w:r>
      <w:proofErr w:type="gramEnd"/>
      <w:r w:rsidRPr="00E94400">
        <w:rPr>
          <w:rFonts w:asciiTheme="majorBidi" w:hAnsiTheme="majorBidi" w:cstheme="majorBidi"/>
          <w:b/>
          <w:bCs/>
          <w:sz w:val="28"/>
          <w:szCs w:val="28"/>
          <w:lang w:eastAsia="ar-SA"/>
        </w:rPr>
        <w:t xml:space="preserve"> </w:t>
      </w:r>
      <w:r w:rsidR="005B1974" w:rsidRPr="00E94400">
        <w:rPr>
          <w:rFonts w:asciiTheme="majorBidi" w:hAnsiTheme="majorBidi" w:cstheme="majorBidi"/>
          <w:b/>
          <w:bCs/>
          <w:sz w:val="28"/>
          <w:szCs w:val="28"/>
          <w:lang w:eastAsia="ar-SA"/>
        </w:rPr>
        <w:t>30</w:t>
      </w:r>
      <w:r w:rsidRPr="00E94400">
        <w:rPr>
          <w:rFonts w:asciiTheme="majorBidi" w:hAnsiTheme="majorBidi" w:cstheme="majorBidi"/>
          <w:b/>
          <w:bCs/>
          <w:sz w:val="28"/>
          <w:szCs w:val="28"/>
          <w:lang w:eastAsia="ar-SA"/>
        </w:rPr>
        <w:t>/</w:t>
      </w:r>
      <w:r w:rsidR="005B1974" w:rsidRPr="00E94400">
        <w:rPr>
          <w:rFonts w:asciiTheme="majorBidi" w:hAnsiTheme="majorBidi" w:cstheme="majorBidi"/>
          <w:b/>
          <w:bCs/>
          <w:sz w:val="28"/>
          <w:szCs w:val="28"/>
          <w:lang w:eastAsia="ar-SA"/>
        </w:rPr>
        <w:t>03</w:t>
      </w:r>
      <w:r w:rsidRPr="00E94400">
        <w:rPr>
          <w:rFonts w:asciiTheme="majorBidi" w:hAnsiTheme="majorBidi" w:cstheme="majorBidi"/>
          <w:b/>
          <w:bCs/>
          <w:sz w:val="28"/>
          <w:szCs w:val="28"/>
          <w:lang w:eastAsia="ar-SA"/>
        </w:rPr>
        <w:t>/2025</w:t>
      </w:r>
    </w:p>
    <w:p w:rsidR="008959D5" w:rsidRPr="00E94400" w:rsidRDefault="008959D5" w:rsidP="008959D5">
      <w:pPr>
        <w:pStyle w:val="BodyText"/>
        <w:bidi w:val="0"/>
        <w:jc w:val="both"/>
        <w:rPr>
          <w:rFonts w:asciiTheme="majorBidi" w:hAnsiTheme="majorBidi" w:cstheme="majorBidi"/>
          <w:b/>
          <w:bCs/>
          <w:sz w:val="26"/>
          <w:szCs w:val="26"/>
          <w:lang w:eastAsia="ar-SA"/>
        </w:rPr>
      </w:pPr>
    </w:p>
    <w:tbl>
      <w:tblPr>
        <w:tblStyle w:val="TableGrid"/>
        <w:bidiVisual/>
        <w:tblW w:w="0" w:type="auto"/>
        <w:jc w:val="center"/>
        <w:tblLook w:val="04A0" w:firstRow="1" w:lastRow="0" w:firstColumn="1" w:lastColumn="0" w:noHBand="0" w:noVBand="1"/>
      </w:tblPr>
      <w:tblGrid>
        <w:gridCol w:w="2933"/>
        <w:gridCol w:w="2426"/>
      </w:tblGrid>
      <w:tr w:rsidR="00E1754B" w:rsidRPr="00E94400" w:rsidTr="00E94400">
        <w:trPr>
          <w:trHeight w:val="679"/>
          <w:jc w:val="center"/>
        </w:trPr>
        <w:tc>
          <w:tcPr>
            <w:tcW w:w="2933" w:type="dxa"/>
          </w:tcPr>
          <w:p w:rsidR="00E1754B" w:rsidRPr="00E94400" w:rsidRDefault="00E1754B" w:rsidP="00671740">
            <w:pPr>
              <w:autoSpaceDE w:val="0"/>
              <w:autoSpaceDN w:val="0"/>
              <w:adjustRightInd w:val="0"/>
              <w:jc w:val="center"/>
              <w:rPr>
                <w:rFonts w:asciiTheme="majorBidi" w:hAnsiTheme="majorBidi" w:cstheme="majorBidi"/>
                <w:b/>
                <w:bCs/>
                <w:color w:val="000000" w:themeColor="text1"/>
                <w:sz w:val="26"/>
                <w:szCs w:val="26"/>
                <w:rtl/>
              </w:rPr>
            </w:pPr>
            <w:r w:rsidRPr="00E94400">
              <w:rPr>
                <w:rFonts w:asciiTheme="majorBidi" w:hAnsiTheme="majorBidi" w:cstheme="majorBidi"/>
                <w:b/>
                <w:bCs/>
                <w:color w:val="000000" w:themeColor="text1"/>
                <w:sz w:val="26"/>
                <w:szCs w:val="26"/>
              </w:rPr>
              <w:t xml:space="preserve">% of </w:t>
            </w:r>
            <w:r w:rsidR="00DE0AAC" w:rsidRPr="00E94400">
              <w:rPr>
                <w:rFonts w:asciiTheme="majorBidi" w:hAnsiTheme="majorBidi" w:cstheme="majorBidi"/>
                <w:b/>
                <w:bCs/>
                <w:color w:val="000000" w:themeColor="text1"/>
                <w:sz w:val="26"/>
                <w:szCs w:val="26"/>
              </w:rPr>
              <w:t xml:space="preserve">Destroyed </w:t>
            </w:r>
            <w:r w:rsidR="00671740" w:rsidRPr="00E94400">
              <w:rPr>
                <w:rFonts w:asciiTheme="majorBidi" w:hAnsiTheme="majorBidi" w:cstheme="majorBidi"/>
                <w:b/>
                <w:bCs/>
                <w:color w:val="000000" w:themeColor="text1"/>
                <w:sz w:val="26"/>
                <w:szCs w:val="26"/>
              </w:rPr>
              <w:t>Agricultural Land</w:t>
            </w:r>
          </w:p>
        </w:tc>
        <w:tc>
          <w:tcPr>
            <w:tcW w:w="2426" w:type="dxa"/>
          </w:tcPr>
          <w:p w:rsidR="00E1754B" w:rsidRPr="00E94400" w:rsidRDefault="00E1754B" w:rsidP="00AE3E9F">
            <w:pPr>
              <w:autoSpaceDE w:val="0"/>
              <w:autoSpaceDN w:val="0"/>
              <w:adjustRightInd w:val="0"/>
              <w:jc w:val="center"/>
              <w:rPr>
                <w:rFonts w:asciiTheme="majorBidi" w:hAnsiTheme="majorBidi" w:cstheme="majorBidi"/>
                <w:b/>
                <w:bCs/>
                <w:color w:val="000000" w:themeColor="text1"/>
                <w:sz w:val="26"/>
                <w:szCs w:val="26"/>
                <w:rtl/>
              </w:rPr>
            </w:pPr>
            <w:r w:rsidRPr="00E94400">
              <w:rPr>
                <w:rFonts w:asciiTheme="majorBidi" w:hAnsiTheme="majorBidi" w:cstheme="majorBidi"/>
                <w:b/>
                <w:bCs/>
                <w:color w:val="000000" w:themeColor="text1"/>
                <w:sz w:val="26"/>
                <w:szCs w:val="26"/>
              </w:rPr>
              <w:t>Governorate</w:t>
            </w:r>
          </w:p>
        </w:tc>
      </w:tr>
      <w:tr w:rsidR="00E1754B" w:rsidRPr="00E94400" w:rsidTr="00E94400">
        <w:trPr>
          <w:trHeight w:val="345"/>
          <w:jc w:val="center"/>
        </w:trPr>
        <w:tc>
          <w:tcPr>
            <w:tcW w:w="2933" w:type="dxa"/>
            <w:vAlign w:val="center"/>
          </w:tcPr>
          <w:p w:rsidR="00E1754B" w:rsidRPr="00E94400" w:rsidRDefault="00E1754B" w:rsidP="00E94400">
            <w:pPr>
              <w:jc w:val="center"/>
              <w:rPr>
                <w:rFonts w:asciiTheme="majorBidi" w:hAnsiTheme="majorBidi" w:cstheme="majorBidi"/>
                <w:color w:val="000000" w:themeColor="text1"/>
                <w:sz w:val="26"/>
                <w:szCs w:val="26"/>
                <w:lang w:eastAsia="en-US"/>
              </w:rPr>
            </w:pPr>
            <w:r w:rsidRPr="00E94400">
              <w:rPr>
                <w:rFonts w:asciiTheme="majorBidi" w:hAnsiTheme="majorBidi" w:cstheme="majorBidi"/>
                <w:color w:val="000000" w:themeColor="text1"/>
                <w:sz w:val="26"/>
                <w:szCs w:val="26"/>
                <w:rtl/>
              </w:rPr>
              <w:t>88</w:t>
            </w:r>
          </w:p>
        </w:tc>
        <w:tc>
          <w:tcPr>
            <w:tcW w:w="2426" w:type="dxa"/>
            <w:vAlign w:val="center"/>
          </w:tcPr>
          <w:p w:rsidR="00E1754B" w:rsidRPr="00E94400" w:rsidRDefault="00E1754B" w:rsidP="005B1974">
            <w:pPr>
              <w:autoSpaceDE w:val="0"/>
              <w:autoSpaceDN w:val="0"/>
              <w:adjustRightInd w:val="0"/>
              <w:jc w:val="right"/>
              <w:rPr>
                <w:rFonts w:asciiTheme="majorBidi" w:hAnsiTheme="majorBidi" w:cstheme="majorBidi"/>
                <w:color w:val="000000" w:themeColor="text1"/>
                <w:sz w:val="26"/>
                <w:szCs w:val="26"/>
                <w:rtl/>
              </w:rPr>
            </w:pPr>
            <w:r w:rsidRPr="00E94400">
              <w:rPr>
                <w:rFonts w:asciiTheme="majorBidi" w:hAnsiTheme="majorBidi" w:cstheme="majorBidi"/>
                <w:color w:val="000000" w:themeColor="text1"/>
                <w:sz w:val="26"/>
                <w:szCs w:val="26"/>
              </w:rPr>
              <w:t>North Gaza</w:t>
            </w:r>
          </w:p>
        </w:tc>
      </w:tr>
      <w:tr w:rsidR="00E1754B" w:rsidRPr="00E94400" w:rsidTr="00E94400">
        <w:trPr>
          <w:trHeight w:val="345"/>
          <w:jc w:val="center"/>
        </w:trPr>
        <w:tc>
          <w:tcPr>
            <w:tcW w:w="2933" w:type="dxa"/>
            <w:vAlign w:val="center"/>
          </w:tcPr>
          <w:p w:rsidR="00E1754B" w:rsidRPr="00E94400" w:rsidRDefault="00E1754B" w:rsidP="00E94400">
            <w:pPr>
              <w:jc w:val="center"/>
              <w:rPr>
                <w:rFonts w:asciiTheme="majorBidi" w:hAnsiTheme="majorBidi" w:cstheme="majorBidi"/>
                <w:color w:val="000000" w:themeColor="text1"/>
                <w:sz w:val="26"/>
                <w:szCs w:val="26"/>
              </w:rPr>
            </w:pPr>
            <w:r w:rsidRPr="00E94400">
              <w:rPr>
                <w:rFonts w:asciiTheme="majorBidi" w:hAnsiTheme="majorBidi" w:cstheme="majorBidi"/>
                <w:color w:val="000000" w:themeColor="text1"/>
                <w:sz w:val="26"/>
                <w:szCs w:val="26"/>
                <w:rtl/>
              </w:rPr>
              <w:t>84</w:t>
            </w:r>
          </w:p>
        </w:tc>
        <w:tc>
          <w:tcPr>
            <w:tcW w:w="2426" w:type="dxa"/>
            <w:vAlign w:val="center"/>
          </w:tcPr>
          <w:p w:rsidR="00E1754B" w:rsidRPr="00E94400" w:rsidRDefault="00E1754B" w:rsidP="005B1974">
            <w:pPr>
              <w:autoSpaceDE w:val="0"/>
              <w:autoSpaceDN w:val="0"/>
              <w:adjustRightInd w:val="0"/>
              <w:jc w:val="right"/>
              <w:rPr>
                <w:rFonts w:asciiTheme="majorBidi" w:hAnsiTheme="majorBidi" w:cstheme="majorBidi"/>
                <w:color w:val="000000" w:themeColor="text1"/>
                <w:sz w:val="26"/>
                <w:szCs w:val="26"/>
                <w:rtl/>
              </w:rPr>
            </w:pPr>
            <w:r w:rsidRPr="00E94400">
              <w:rPr>
                <w:rFonts w:asciiTheme="majorBidi" w:hAnsiTheme="majorBidi" w:cstheme="majorBidi"/>
                <w:color w:val="000000" w:themeColor="text1"/>
                <w:sz w:val="26"/>
                <w:szCs w:val="26"/>
              </w:rPr>
              <w:t>Gaza</w:t>
            </w:r>
          </w:p>
        </w:tc>
      </w:tr>
      <w:tr w:rsidR="00E1754B" w:rsidRPr="00E94400" w:rsidTr="00E94400">
        <w:trPr>
          <w:trHeight w:val="485"/>
          <w:jc w:val="center"/>
        </w:trPr>
        <w:tc>
          <w:tcPr>
            <w:tcW w:w="2933" w:type="dxa"/>
            <w:vAlign w:val="center"/>
          </w:tcPr>
          <w:p w:rsidR="00E1754B" w:rsidRPr="00E94400" w:rsidRDefault="00E1754B" w:rsidP="00E94400">
            <w:pPr>
              <w:jc w:val="center"/>
              <w:rPr>
                <w:rFonts w:asciiTheme="majorBidi" w:hAnsiTheme="majorBidi" w:cstheme="majorBidi"/>
                <w:color w:val="000000" w:themeColor="text1"/>
                <w:sz w:val="26"/>
                <w:szCs w:val="26"/>
              </w:rPr>
            </w:pPr>
            <w:r w:rsidRPr="00E94400">
              <w:rPr>
                <w:rFonts w:asciiTheme="majorBidi" w:hAnsiTheme="majorBidi" w:cstheme="majorBidi"/>
                <w:color w:val="000000" w:themeColor="text1"/>
                <w:sz w:val="26"/>
                <w:szCs w:val="26"/>
                <w:rtl/>
              </w:rPr>
              <w:t>82</w:t>
            </w:r>
          </w:p>
        </w:tc>
        <w:tc>
          <w:tcPr>
            <w:tcW w:w="2426" w:type="dxa"/>
            <w:vAlign w:val="center"/>
          </w:tcPr>
          <w:p w:rsidR="00E1754B" w:rsidRPr="00E94400" w:rsidRDefault="00E1754B" w:rsidP="00671740">
            <w:pPr>
              <w:autoSpaceDE w:val="0"/>
              <w:autoSpaceDN w:val="0"/>
              <w:adjustRightInd w:val="0"/>
              <w:jc w:val="right"/>
              <w:rPr>
                <w:rFonts w:asciiTheme="majorBidi" w:hAnsiTheme="majorBidi" w:cstheme="majorBidi"/>
                <w:color w:val="000000" w:themeColor="text1"/>
                <w:sz w:val="26"/>
                <w:szCs w:val="26"/>
                <w:rtl/>
              </w:rPr>
            </w:pPr>
            <w:proofErr w:type="spellStart"/>
            <w:r w:rsidRPr="00E94400">
              <w:rPr>
                <w:rFonts w:asciiTheme="majorBidi" w:hAnsiTheme="majorBidi" w:cstheme="majorBidi"/>
                <w:color w:val="000000" w:themeColor="text1"/>
                <w:sz w:val="26"/>
                <w:szCs w:val="26"/>
              </w:rPr>
              <w:t>Dier</w:t>
            </w:r>
            <w:proofErr w:type="spellEnd"/>
            <w:r w:rsidRPr="00E94400">
              <w:rPr>
                <w:rFonts w:asciiTheme="majorBidi" w:hAnsiTheme="majorBidi" w:cstheme="majorBidi"/>
                <w:color w:val="000000" w:themeColor="text1"/>
                <w:sz w:val="26"/>
                <w:szCs w:val="26"/>
              </w:rPr>
              <w:t xml:space="preserve"> </w:t>
            </w:r>
            <w:r w:rsidR="00671740" w:rsidRPr="00E94400">
              <w:rPr>
                <w:rFonts w:asciiTheme="majorBidi" w:hAnsiTheme="majorBidi" w:cstheme="majorBidi"/>
                <w:color w:val="000000" w:themeColor="text1"/>
                <w:sz w:val="26"/>
                <w:szCs w:val="26"/>
              </w:rPr>
              <w:t>Al-</w:t>
            </w:r>
            <w:proofErr w:type="spellStart"/>
            <w:r w:rsidR="00671740" w:rsidRPr="00E94400">
              <w:rPr>
                <w:rFonts w:asciiTheme="majorBidi" w:hAnsiTheme="majorBidi" w:cstheme="majorBidi"/>
                <w:color w:val="000000" w:themeColor="text1"/>
                <w:sz w:val="26"/>
                <w:szCs w:val="26"/>
              </w:rPr>
              <w:t>Balah</w:t>
            </w:r>
            <w:proofErr w:type="spellEnd"/>
          </w:p>
        </w:tc>
      </w:tr>
      <w:tr w:rsidR="00E1754B" w:rsidRPr="00E94400" w:rsidTr="00E94400">
        <w:trPr>
          <w:trHeight w:val="345"/>
          <w:jc w:val="center"/>
        </w:trPr>
        <w:tc>
          <w:tcPr>
            <w:tcW w:w="2933" w:type="dxa"/>
            <w:vAlign w:val="center"/>
          </w:tcPr>
          <w:p w:rsidR="00E1754B" w:rsidRPr="00E94400" w:rsidRDefault="00E1754B" w:rsidP="00E94400">
            <w:pPr>
              <w:jc w:val="center"/>
              <w:rPr>
                <w:rFonts w:asciiTheme="majorBidi" w:hAnsiTheme="majorBidi" w:cstheme="majorBidi"/>
                <w:color w:val="000000" w:themeColor="text1"/>
                <w:sz w:val="26"/>
                <w:szCs w:val="26"/>
              </w:rPr>
            </w:pPr>
            <w:r w:rsidRPr="00E94400">
              <w:rPr>
                <w:rFonts w:asciiTheme="majorBidi" w:hAnsiTheme="majorBidi" w:cstheme="majorBidi"/>
                <w:color w:val="000000" w:themeColor="text1"/>
                <w:sz w:val="26"/>
                <w:szCs w:val="26"/>
                <w:rtl/>
              </w:rPr>
              <w:t>76</w:t>
            </w:r>
          </w:p>
        </w:tc>
        <w:tc>
          <w:tcPr>
            <w:tcW w:w="2426" w:type="dxa"/>
            <w:vAlign w:val="center"/>
          </w:tcPr>
          <w:p w:rsidR="00E1754B" w:rsidRPr="00E94400" w:rsidRDefault="00E1754B" w:rsidP="00671740">
            <w:pPr>
              <w:autoSpaceDE w:val="0"/>
              <w:autoSpaceDN w:val="0"/>
              <w:adjustRightInd w:val="0"/>
              <w:jc w:val="right"/>
              <w:rPr>
                <w:rFonts w:asciiTheme="majorBidi" w:hAnsiTheme="majorBidi" w:cstheme="majorBidi"/>
                <w:color w:val="000000" w:themeColor="text1"/>
                <w:sz w:val="26"/>
                <w:szCs w:val="26"/>
                <w:rtl/>
              </w:rPr>
            </w:pPr>
            <w:r w:rsidRPr="00E94400">
              <w:rPr>
                <w:rFonts w:asciiTheme="majorBidi" w:hAnsiTheme="majorBidi" w:cstheme="majorBidi"/>
                <w:color w:val="000000" w:themeColor="text1"/>
                <w:sz w:val="26"/>
                <w:szCs w:val="26"/>
              </w:rPr>
              <w:t>Khan</w:t>
            </w:r>
            <w:r w:rsidR="00671740" w:rsidRPr="00E94400">
              <w:rPr>
                <w:rFonts w:asciiTheme="majorBidi" w:hAnsiTheme="majorBidi" w:cstheme="majorBidi"/>
                <w:color w:val="000000" w:themeColor="text1"/>
                <w:sz w:val="26"/>
                <w:szCs w:val="26"/>
              </w:rPr>
              <w:t xml:space="preserve"> </w:t>
            </w:r>
            <w:proofErr w:type="spellStart"/>
            <w:r w:rsidR="00671740" w:rsidRPr="00E94400">
              <w:rPr>
                <w:rFonts w:asciiTheme="majorBidi" w:hAnsiTheme="majorBidi" w:cstheme="majorBidi"/>
                <w:color w:val="000000" w:themeColor="text1"/>
                <w:sz w:val="26"/>
                <w:szCs w:val="26"/>
              </w:rPr>
              <w:t>Yunis</w:t>
            </w:r>
            <w:proofErr w:type="spellEnd"/>
          </w:p>
        </w:tc>
      </w:tr>
      <w:tr w:rsidR="00E1754B" w:rsidRPr="00E94400" w:rsidTr="00E94400">
        <w:trPr>
          <w:trHeight w:val="345"/>
          <w:jc w:val="center"/>
        </w:trPr>
        <w:tc>
          <w:tcPr>
            <w:tcW w:w="2933" w:type="dxa"/>
            <w:vAlign w:val="center"/>
          </w:tcPr>
          <w:p w:rsidR="00E1754B" w:rsidRPr="00E94400" w:rsidRDefault="00E1754B" w:rsidP="00E94400">
            <w:pPr>
              <w:jc w:val="center"/>
              <w:rPr>
                <w:rFonts w:asciiTheme="majorBidi" w:hAnsiTheme="majorBidi" w:cstheme="majorBidi"/>
                <w:color w:val="000000" w:themeColor="text1"/>
                <w:sz w:val="26"/>
                <w:szCs w:val="26"/>
              </w:rPr>
            </w:pPr>
            <w:r w:rsidRPr="00E94400">
              <w:rPr>
                <w:rFonts w:asciiTheme="majorBidi" w:hAnsiTheme="majorBidi" w:cstheme="majorBidi"/>
                <w:color w:val="000000" w:themeColor="text1"/>
                <w:sz w:val="26"/>
                <w:szCs w:val="26"/>
                <w:rtl/>
              </w:rPr>
              <w:t>74</w:t>
            </w:r>
          </w:p>
        </w:tc>
        <w:tc>
          <w:tcPr>
            <w:tcW w:w="2426" w:type="dxa"/>
            <w:vAlign w:val="center"/>
          </w:tcPr>
          <w:p w:rsidR="00E1754B" w:rsidRPr="00E94400" w:rsidRDefault="00E1754B" w:rsidP="005B1974">
            <w:pPr>
              <w:autoSpaceDE w:val="0"/>
              <w:autoSpaceDN w:val="0"/>
              <w:adjustRightInd w:val="0"/>
              <w:jc w:val="right"/>
              <w:rPr>
                <w:rFonts w:asciiTheme="majorBidi" w:hAnsiTheme="majorBidi" w:cstheme="majorBidi"/>
                <w:color w:val="000000" w:themeColor="text1"/>
                <w:sz w:val="26"/>
                <w:szCs w:val="26"/>
                <w:rtl/>
              </w:rPr>
            </w:pPr>
            <w:r w:rsidRPr="00E94400">
              <w:rPr>
                <w:rFonts w:asciiTheme="majorBidi" w:hAnsiTheme="majorBidi" w:cstheme="majorBidi"/>
                <w:color w:val="000000" w:themeColor="text1"/>
                <w:sz w:val="26"/>
                <w:szCs w:val="26"/>
              </w:rPr>
              <w:t>Rafah</w:t>
            </w:r>
          </w:p>
        </w:tc>
      </w:tr>
      <w:tr w:rsidR="00E1754B" w:rsidRPr="00E94400" w:rsidTr="00E94400">
        <w:trPr>
          <w:trHeight w:val="345"/>
          <w:jc w:val="center"/>
        </w:trPr>
        <w:tc>
          <w:tcPr>
            <w:tcW w:w="2933" w:type="dxa"/>
            <w:vAlign w:val="center"/>
          </w:tcPr>
          <w:p w:rsidR="00E1754B" w:rsidRPr="00E94400" w:rsidRDefault="00E1754B" w:rsidP="00E94400">
            <w:pPr>
              <w:jc w:val="center"/>
              <w:rPr>
                <w:rFonts w:asciiTheme="majorBidi" w:hAnsiTheme="majorBidi" w:cstheme="majorBidi"/>
                <w:b/>
                <w:bCs/>
                <w:color w:val="000000" w:themeColor="text1"/>
                <w:sz w:val="26"/>
                <w:szCs w:val="26"/>
              </w:rPr>
            </w:pPr>
            <w:r w:rsidRPr="00E94400">
              <w:rPr>
                <w:rFonts w:asciiTheme="majorBidi" w:hAnsiTheme="majorBidi" w:cstheme="majorBidi"/>
                <w:b/>
                <w:bCs/>
                <w:color w:val="000000" w:themeColor="text1"/>
                <w:sz w:val="26"/>
                <w:szCs w:val="26"/>
                <w:rtl/>
              </w:rPr>
              <w:t>81</w:t>
            </w:r>
          </w:p>
        </w:tc>
        <w:tc>
          <w:tcPr>
            <w:tcW w:w="2426" w:type="dxa"/>
            <w:vAlign w:val="center"/>
          </w:tcPr>
          <w:p w:rsidR="00E1754B" w:rsidRPr="00E94400" w:rsidRDefault="00E1754B" w:rsidP="005B1974">
            <w:pPr>
              <w:autoSpaceDE w:val="0"/>
              <w:autoSpaceDN w:val="0"/>
              <w:adjustRightInd w:val="0"/>
              <w:jc w:val="right"/>
              <w:rPr>
                <w:rFonts w:asciiTheme="majorBidi" w:hAnsiTheme="majorBidi" w:cstheme="majorBidi"/>
                <w:b/>
                <w:bCs/>
                <w:color w:val="000000" w:themeColor="text1"/>
                <w:sz w:val="26"/>
                <w:szCs w:val="26"/>
                <w:rtl/>
              </w:rPr>
            </w:pPr>
            <w:r w:rsidRPr="00E94400">
              <w:rPr>
                <w:rFonts w:asciiTheme="majorBidi" w:hAnsiTheme="majorBidi" w:cstheme="majorBidi"/>
                <w:b/>
                <w:bCs/>
                <w:color w:val="000000" w:themeColor="text1"/>
                <w:sz w:val="26"/>
                <w:szCs w:val="26"/>
              </w:rPr>
              <w:t>Gaza Strip</w:t>
            </w:r>
          </w:p>
        </w:tc>
      </w:tr>
    </w:tbl>
    <w:p w:rsidR="008959D5" w:rsidRPr="00E94400" w:rsidRDefault="008959D5" w:rsidP="00E1754B">
      <w:pPr>
        <w:pStyle w:val="BodyText"/>
        <w:bidi w:val="0"/>
        <w:jc w:val="left"/>
        <w:rPr>
          <w:rFonts w:asciiTheme="majorBidi" w:hAnsiTheme="majorBidi" w:cstheme="majorBidi"/>
          <w:b/>
          <w:bCs/>
          <w:sz w:val="16"/>
          <w:szCs w:val="16"/>
          <w:lang w:eastAsia="ar-SA"/>
        </w:rPr>
      </w:pPr>
    </w:p>
    <w:p w:rsidR="00E1754B" w:rsidRPr="00E94400" w:rsidRDefault="006E65F5" w:rsidP="00D61D29">
      <w:pPr>
        <w:pStyle w:val="BodyText"/>
        <w:bidi w:val="0"/>
        <w:jc w:val="both"/>
        <w:rPr>
          <w:rFonts w:asciiTheme="majorBidi" w:hAnsiTheme="majorBidi" w:cstheme="majorBidi"/>
          <w:b/>
          <w:bCs/>
          <w:sz w:val="28"/>
          <w:szCs w:val="28"/>
          <w:lang w:eastAsia="ar-SA"/>
        </w:rPr>
      </w:pPr>
      <w:r w:rsidRPr="00E94400">
        <w:rPr>
          <w:rFonts w:asciiTheme="majorBidi" w:hAnsiTheme="majorBidi" w:cstheme="majorBidi"/>
          <w:b/>
          <w:bCs/>
          <w:sz w:val="28"/>
          <w:szCs w:val="28"/>
          <w:lang w:eastAsia="ar-SA"/>
        </w:rPr>
        <w:t xml:space="preserve">Israeli Waste and Settlements... a Continuing Suffering for the Palestinian Environment: Israel </w:t>
      </w:r>
      <w:proofErr w:type="gramStart"/>
      <w:r w:rsidRPr="00E94400">
        <w:rPr>
          <w:rFonts w:asciiTheme="majorBidi" w:hAnsiTheme="majorBidi" w:cstheme="majorBidi"/>
          <w:b/>
          <w:bCs/>
          <w:sz w:val="28"/>
          <w:szCs w:val="28"/>
          <w:lang w:eastAsia="ar-SA"/>
        </w:rPr>
        <w:t>Disposes</w:t>
      </w:r>
      <w:proofErr w:type="gramEnd"/>
      <w:r w:rsidR="008029EC" w:rsidRPr="00E94400">
        <w:rPr>
          <w:rFonts w:asciiTheme="majorBidi" w:hAnsiTheme="majorBidi" w:cstheme="majorBidi"/>
          <w:b/>
          <w:bCs/>
          <w:sz w:val="28"/>
          <w:szCs w:val="28"/>
          <w:lang w:eastAsia="ar-SA"/>
        </w:rPr>
        <w:t xml:space="preserve"> of</w:t>
      </w:r>
      <w:r w:rsidRPr="00E94400">
        <w:rPr>
          <w:rFonts w:asciiTheme="majorBidi" w:hAnsiTheme="majorBidi" w:cstheme="majorBidi"/>
          <w:b/>
          <w:bCs/>
          <w:sz w:val="28"/>
          <w:szCs w:val="28"/>
          <w:lang w:eastAsia="ar-SA"/>
        </w:rPr>
        <w:t xml:space="preserve"> 60,000 tons of Electronic Waste Annually in the West Bank</w:t>
      </w:r>
    </w:p>
    <w:p w:rsidR="006E65F5" w:rsidRPr="00E94400" w:rsidRDefault="006E65F5" w:rsidP="006E65F5">
      <w:pPr>
        <w:pStyle w:val="BodyText"/>
        <w:bidi w:val="0"/>
        <w:jc w:val="left"/>
        <w:rPr>
          <w:rFonts w:asciiTheme="majorBidi" w:hAnsiTheme="majorBidi" w:cstheme="majorBidi"/>
          <w:b/>
          <w:bCs/>
          <w:sz w:val="8"/>
          <w:szCs w:val="8"/>
          <w:lang w:eastAsia="ar-SA"/>
        </w:rPr>
      </w:pPr>
    </w:p>
    <w:p w:rsidR="005435F0" w:rsidRPr="00E94400" w:rsidRDefault="00615C7F" w:rsidP="00615C7F">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Israel dumps massive quantities of its hazardous waste in the West Bank, turning the Palestinian territories into an open dumping ground for toxic waste. This waste includes sewage, burnt oil, chemical solvents, heavy metals, medical and electronic waste, and batteries. An estimated 60,000 tons of electronic waste are smuggled into the West Bank annually</w:t>
      </w:r>
      <w:r w:rsidR="000C5384" w:rsidRPr="00E94400">
        <w:rPr>
          <w:rStyle w:val="EndnoteReference"/>
          <w:rFonts w:asciiTheme="majorBidi" w:hAnsiTheme="majorBidi" w:cstheme="majorBidi"/>
          <w:sz w:val="26"/>
          <w:szCs w:val="26"/>
          <w:lang w:eastAsia="ar-SA"/>
        </w:rPr>
        <w:endnoteReference w:id="4"/>
      </w:r>
      <w:r w:rsidRPr="00E94400">
        <w:rPr>
          <w:rFonts w:asciiTheme="majorBidi" w:hAnsiTheme="majorBidi" w:cstheme="majorBidi"/>
          <w:sz w:val="26"/>
          <w:szCs w:val="26"/>
          <w:lang w:eastAsia="ar-SA"/>
        </w:rPr>
        <w:t xml:space="preserve">, where it </w:t>
      </w:r>
      <w:proofErr w:type="gramStart"/>
      <w:r w:rsidRPr="00E94400">
        <w:rPr>
          <w:rFonts w:asciiTheme="majorBidi" w:hAnsiTheme="majorBidi" w:cstheme="majorBidi"/>
          <w:sz w:val="26"/>
          <w:szCs w:val="26"/>
          <w:lang w:eastAsia="ar-SA"/>
        </w:rPr>
        <w:t>is burned</w:t>
      </w:r>
      <w:proofErr w:type="gramEnd"/>
      <w:r w:rsidRPr="00E94400">
        <w:rPr>
          <w:rFonts w:asciiTheme="majorBidi" w:hAnsiTheme="majorBidi" w:cstheme="majorBidi"/>
          <w:sz w:val="26"/>
          <w:szCs w:val="26"/>
          <w:lang w:eastAsia="ar-SA"/>
        </w:rPr>
        <w:t xml:space="preserve"> to extract copper, further exacerbating environmental pollution. These practices are not only an environmental violation; they also pose a direct threat to the lives of millions of Palestinians by contaminating water and soil resources and exacerbating health and environmental damage.</w:t>
      </w:r>
    </w:p>
    <w:p w:rsidR="005435F0" w:rsidRPr="00E94400" w:rsidRDefault="005435F0" w:rsidP="005435F0">
      <w:pPr>
        <w:pStyle w:val="BodyText"/>
        <w:bidi w:val="0"/>
        <w:spacing w:line="120" w:lineRule="auto"/>
        <w:jc w:val="both"/>
        <w:rPr>
          <w:rFonts w:asciiTheme="majorBidi" w:hAnsiTheme="majorBidi" w:cstheme="majorBidi"/>
          <w:sz w:val="16"/>
          <w:szCs w:val="16"/>
          <w:lang w:eastAsia="ar-SA"/>
        </w:rPr>
      </w:pPr>
    </w:p>
    <w:p w:rsidR="00E1754B" w:rsidRPr="00E94400" w:rsidRDefault="00615C7F" w:rsidP="005435F0">
      <w:pPr>
        <w:pStyle w:val="BodyText"/>
        <w:bidi w:val="0"/>
        <w:jc w:val="both"/>
        <w:rPr>
          <w:rFonts w:asciiTheme="majorBidi" w:hAnsiTheme="majorBidi" w:cstheme="majorBidi"/>
          <w:b/>
          <w:bCs/>
          <w:sz w:val="26"/>
          <w:szCs w:val="26"/>
          <w:lang w:eastAsia="ar-SA"/>
        </w:rPr>
      </w:pPr>
      <w:r w:rsidRPr="00E94400">
        <w:rPr>
          <w:rFonts w:asciiTheme="majorBidi" w:hAnsiTheme="majorBidi" w:cstheme="majorBidi"/>
          <w:sz w:val="26"/>
          <w:szCs w:val="26"/>
          <w:lang w:eastAsia="ar-SA"/>
        </w:rPr>
        <w:t xml:space="preserve"> In this context, </w:t>
      </w:r>
      <w:proofErr w:type="gramStart"/>
      <w:r w:rsidRPr="00E94400">
        <w:rPr>
          <w:rFonts w:asciiTheme="majorBidi" w:hAnsiTheme="majorBidi" w:cstheme="majorBidi"/>
          <w:sz w:val="26"/>
          <w:szCs w:val="26"/>
          <w:lang w:eastAsia="ar-SA"/>
        </w:rPr>
        <w:t>a total of 535</w:t>
      </w:r>
      <w:proofErr w:type="gramEnd"/>
      <w:r w:rsidRPr="00E94400">
        <w:rPr>
          <w:rFonts w:asciiTheme="majorBidi" w:hAnsiTheme="majorBidi" w:cstheme="majorBidi"/>
          <w:sz w:val="26"/>
          <w:szCs w:val="26"/>
          <w:lang w:eastAsia="ar-SA"/>
        </w:rPr>
        <w:t xml:space="preserve"> environmental violations</w:t>
      </w:r>
      <w:r w:rsidR="000C5384" w:rsidRPr="00E94400">
        <w:rPr>
          <w:rStyle w:val="EndnoteReference"/>
          <w:rFonts w:asciiTheme="majorBidi" w:hAnsiTheme="majorBidi" w:cstheme="majorBidi"/>
          <w:sz w:val="26"/>
          <w:szCs w:val="26"/>
          <w:lang w:eastAsia="ar-SA"/>
        </w:rPr>
        <w:endnoteReference w:id="5"/>
      </w:r>
      <w:r w:rsidRPr="00E94400">
        <w:rPr>
          <w:rFonts w:asciiTheme="majorBidi" w:hAnsiTheme="majorBidi" w:cstheme="majorBidi"/>
          <w:sz w:val="26"/>
          <w:szCs w:val="26"/>
          <w:lang w:eastAsia="ar-SA"/>
        </w:rPr>
        <w:t xml:space="preserve"> were recorded by the </w:t>
      </w:r>
      <w:r w:rsidR="00040434" w:rsidRPr="00E94400">
        <w:rPr>
          <w:rFonts w:asciiTheme="majorBidi" w:hAnsiTheme="majorBidi" w:cstheme="majorBidi"/>
          <w:sz w:val="26"/>
          <w:szCs w:val="26"/>
          <w:lang w:eastAsia="ar-SA"/>
        </w:rPr>
        <w:t xml:space="preserve">Israeli </w:t>
      </w:r>
      <w:r w:rsidRPr="00E94400">
        <w:rPr>
          <w:rFonts w:asciiTheme="majorBidi" w:hAnsiTheme="majorBidi" w:cstheme="majorBidi"/>
          <w:sz w:val="26"/>
          <w:szCs w:val="26"/>
          <w:lang w:eastAsia="ar-SA"/>
        </w:rPr>
        <w:t>occupation authorities in the West Bank in 2024, reflecting the extent of the encroachment on the Palestinian environment.</w:t>
      </w:r>
    </w:p>
    <w:p w:rsidR="00E1754B" w:rsidRPr="00E94400" w:rsidRDefault="00E1754B" w:rsidP="00E1754B">
      <w:pPr>
        <w:pStyle w:val="BodyText"/>
        <w:bidi w:val="0"/>
        <w:jc w:val="left"/>
        <w:rPr>
          <w:rFonts w:asciiTheme="majorBidi" w:hAnsiTheme="majorBidi" w:cstheme="majorBidi"/>
          <w:b/>
          <w:bCs/>
          <w:sz w:val="16"/>
          <w:szCs w:val="16"/>
          <w:lang w:eastAsia="ar-SA"/>
        </w:rPr>
      </w:pPr>
    </w:p>
    <w:p w:rsidR="00BA54E2" w:rsidRPr="00E94400" w:rsidRDefault="00481071" w:rsidP="00707307">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Regarding settlement</w:t>
      </w:r>
      <w:r w:rsidR="00040434" w:rsidRPr="00E94400">
        <w:rPr>
          <w:rFonts w:asciiTheme="majorBidi" w:hAnsiTheme="majorBidi" w:cstheme="majorBidi"/>
          <w:sz w:val="26"/>
          <w:szCs w:val="26"/>
          <w:lang w:eastAsia="ar-SA"/>
        </w:rPr>
        <w:t>s</w:t>
      </w:r>
      <w:r w:rsidRPr="00E94400">
        <w:rPr>
          <w:rFonts w:asciiTheme="majorBidi" w:hAnsiTheme="majorBidi" w:cstheme="majorBidi"/>
          <w:sz w:val="26"/>
          <w:szCs w:val="26"/>
          <w:lang w:eastAsia="ar-SA"/>
        </w:rPr>
        <w:t xml:space="preserve">, </w:t>
      </w:r>
      <w:r w:rsidR="00615C7F" w:rsidRPr="00E94400">
        <w:rPr>
          <w:rFonts w:asciiTheme="majorBidi" w:hAnsiTheme="majorBidi" w:cstheme="majorBidi"/>
          <w:sz w:val="26"/>
          <w:szCs w:val="26"/>
          <w:lang w:eastAsia="ar-SA"/>
        </w:rPr>
        <w:t>the Israeli occupation continues to seize Palestinian agricultural lands under the pretext of settlement</w:t>
      </w:r>
      <w:r w:rsidR="00040434" w:rsidRPr="00E94400">
        <w:rPr>
          <w:rFonts w:asciiTheme="majorBidi" w:hAnsiTheme="majorBidi" w:cstheme="majorBidi"/>
          <w:sz w:val="26"/>
          <w:szCs w:val="26"/>
          <w:lang w:eastAsia="ar-SA"/>
        </w:rPr>
        <w:t>s</w:t>
      </w:r>
      <w:r w:rsidR="00615C7F" w:rsidRPr="00E94400">
        <w:rPr>
          <w:rFonts w:asciiTheme="majorBidi" w:hAnsiTheme="majorBidi" w:cstheme="majorBidi"/>
          <w:sz w:val="26"/>
          <w:szCs w:val="26"/>
          <w:lang w:eastAsia="ar-SA"/>
        </w:rPr>
        <w:t xml:space="preserve"> expansion. During 2024, the </w:t>
      </w:r>
      <w:r w:rsidR="00040434" w:rsidRPr="00E94400">
        <w:rPr>
          <w:rFonts w:asciiTheme="majorBidi" w:hAnsiTheme="majorBidi" w:cstheme="majorBidi"/>
          <w:sz w:val="26"/>
          <w:szCs w:val="26"/>
          <w:lang w:eastAsia="ar-SA"/>
        </w:rPr>
        <w:t xml:space="preserve">Israeli </w:t>
      </w:r>
      <w:r w:rsidR="00615C7F" w:rsidRPr="00E94400">
        <w:rPr>
          <w:rFonts w:asciiTheme="majorBidi" w:hAnsiTheme="majorBidi" w:cstheme="majorBidi"/>
          <w:sz w:val="26"/>
          <w:szCs w:val="26"/>
          <w:lang w:eastAsia="ar-SA"/>
        </w:rPr>
        <w:t xml:space="preserve">occupation authorities confiscated more than 46,000 </w:t>
      </w:r>
      <w:proofErr w:type="spellStart"/>
      <w:r w:rsidR="00040434" w:rsidRPr="00E94400">
        <w:rPr>
          <w:rFonts w:asciiTheme="majorBidi" w:hAnsiTheme="majorBidi" w:cstheme="majorBidi"/>
          <w:sz w:val="26"/>
          <w:szCs w:val="26"/>
          <w:lang w:eastAsia="ar-SA"/>
        </w:rPr>
        <w:t>dunums</w:t>
      </w:r>
      <w:proofErr w:type="spellEnd"/>
      <w:r w:rsidR="00040434" w:rsidRPr="00E94400">
        <w:rPr>
          <w:rFonts w:asciiTheme="majorBidi" w:hAnsiTheme="majorBidi" w:cstheme="majorBidi"/>
          <w:sz w:val="26"/>
          <w:szCs w:val="26"/>
          <w:lang w:eastAsia="ar-SA"/>
        </w:rPr>
        <w:t xml:space="preserve"> </w:t>
      </w:r>
      <w:r w:rsidR="00615C7F" w:rsidRPr="00E94400">
        <w:rPr>
          <w:rFonts w:asciiTheme="majorBidi" w:hAnsiTheme="majorBidi" w:cstheme="majorBidi"/>
          <w:sz w:val="26"/>
          <w:szCs w:val="26"/>
          <w:lang w:eastAsia="ar-SA"/>
        </w:rPr>
        <w:t>of West Bank land as part of an ongoing plan to impose geographic and demographic control.</w:t>
      </w:r>
    </w:p>
    <w:p w:rsidR="00E94400" w:rsidRDefault="00E94400" w:rsidP="00BA54E2">
      <w:pPr>
        <w:pStyle w:val="BodyText"/>
        <w:bidi w:val="0"/>
        <w:jc w:val="both"/>
        <w:rPr>
          <w:rFonts w:asciiTheme="majorBidi" w:hAnsiTheme="majorBidi" w:cstheme="majorBidi"/>
          <w:sz w:val="26"/>
          <w:szCs w:val="26"/>
          <w:rtl/>
          <w:lang w:eastAsia="ar-SA"/>
        </w:rPr>
      </w:pPr>
    </w:p>
    <w:p w:rsidR="00E94400" w:rsidRDefault="00E94400" w:rsidP="00E94400">
      <w:pPr>
        <w:pStyle w:val="BodyText"/>
        <w:bidi w:val="0"/>
        <w:jc w:val="both"/>
        <w:rPr>
          <w:rFonts w:asciiTheme="majorBidi" w:hAnsiTheme="majorBidi" w:cstheme="majorBidi"/>
          <w:sz w:val="26"/>
          <w:szCs w:val="26"/>
          <w:rtl/>
          <w:lang w:eastAsia="ar-SA"/>
        </w:rPr>
      </w:pPr>
    </w:p>
    <w:p w:rsidR="00E94400" w:rsidRDefault="00E94400" w:rsidP="00E94400">
      <w:pPr>
        <w:pStyle w:val="BodyText"/>
        <w:bidi w:val="0"/>
        <w:jc w:val="both"/>
        <w:rPr>
          <w:rFonts w:asciiTheme="majorBidi" w:hAnsiTheme="majorBidi" w:cstheme="majorBidi"/>
          <w:sz w:val="26"/>
          <w:szCs w:val="26"/>
          <w:rtl/>
          <w:lang w:eastAsia="ar-SA"/>
        </w:rPr>
      </w:pPr>
    </w:p>
    <w:p w:rsidR="00BA54E2" w:rsidRPr="00E94400" w:rsidRDefault="00BA54E2" w:rsidP="00E94400">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In addition, Israeli settlements in the West Bank directly contribute to the pollution of the</w:t>
      </w:r>
      <w:bookmarkStart w:id="0" w:name="_GoBack"/>
      <w:bookmarkEnd w:id="0"/>
      <w:r w:rsidRPr="00E94400">
        <w:rPr>
          <w:rFonts w:asciiTheme="majorBidi" w:hAnsiTheme="majorBidi" w:cstheme="majorBidi"/>
          <w:sz w:val="26"/>
          <w:szCs w:val="26"/>
          <w:lang w:eastAsia="ar-SA"/>
        </w:rPr>
        <w:t xml:space="preserve"> Palestinian environment by discharging large quantities of wastewater into agricultural lands and nearby valleys. In 2021, approximately 35 million cubic meters of wastewater from approximately 50 settlements </w:t>
      </w:r>
      <w:proofErr w:type="gramStart"/>
      <w:r w:rsidRPr="00E94400">
        <w:rPr>
          <w:rFonts w:asciiTheme="majorBidi" w:hAnsiTheme="majorBidi" w:cstheme="majorBidi"/>
          <w:sz w:val="26"/>
          <w:szCs w:val="26"/>
          <w:lang w:eastAsia="ar-SA"/>
        </w:rPr>
        <w:t>were estimated to be released</w:t>
      </w:r>
      <w:proofErr w:type="gramEnd"/>
      <w:r w:rsidRPr="00E94400">
        <w:rPr>
          <w:rFonts w:asciiTheme="majorBidi" w:hAnsiTheme="majorBidi" w:cstheme="majorBidi"/>
          <w:sz w:val="26"/>
          <w:szCs w:val="26"/>
          <w:lang w:eastAsia="ar-SA"/>
        </w:rPr>
        <w:t xml:space="preserve"> without adequate treatment, leading to a decline in soil fertility and the contamination of groundwater</w:t>
      </w:r>
      <w:r w:rsidRPr="00E94400">
        <w:rPr>
          <w:rStyle w:val="EndnoteReference"/>
          <w:rFonts w:asciiTheme="majorBidi" w:hAnsiTheme="majorBidi" w:cstheme="majorBidi"/>
          <w:sz w:val="26"/>
          <w:szCs w:val="26"/>
          <w:lang w:eastAsia="ar-SA"/>
        </w:rPr>
        <w:endnoteReference w:id="6"/>
      </w:r>
      <w:r w:rsidRPr="00E94400">
        <w:rPr>
          <w:rFonts w:asciiTheme="majorBidi" w:hAnsiTheme="majorBidi" w:cstheme="majorBidi"/>
          <w:sz w:val="26"/>
          <w:szCs w:val="26"/>
          <w:lang w:eastAsia="ar-SA"/>
        </w:rPr>
        <w:t>.</w:t>
      </w:r>
    </w:p>
    <w:p w:rsidR="00BA54E2" w:rsidRPr="00E94400" w:rsidRDefault="00BA54E2" w:rsidP="00BA54E2">
      <w:pPr>
        <w:pStyle w:val="BodyText"/>
        <w:bidi w:val="0"/>
        <w:jc w:val="both"/>
        <w:rPr>
          <w:rFonts w:asciiTheme="majorBidi" w:hAnsiTheme="majorBidi" w:cstheme="majorBidi"/>
          <w:sz w:val="16"/>
          <w:szCs w:val="16"/>
          <w:lang w:eastAsia="ar-SA"/>
        </w:rPr>
      </w:pPr>
    </w:p>
    <w:p w:rsidR="00E1754B" w:rsidRPr="00E94400" w:rsidRDefault="00615C7F" w:rsidP="00040434">
      <w:pPr>
        <w:pStyle w:val="BodyText"/>
        <w:bidi w:val="0"/>
        <w:jc w:val="left"/>
        <w:rPr>
          <w:rFonts w:asciiTheme="majorBidi" w:hAnsiTheme="majorBidi" w:cstheme="majorBidi"/>
          <w:b/>
          <w:bCs/>
          <w:sz w:val="26"/>
          <w:szCs w:val="26"/>
          <w:rtl/>
          <w:lang w:eastAsia="ar-SA"/>
        </w:rPr>
      </w:pPr>
      <w:r w:rsidRPr="00E94400">
        <w:rPr>
          <w:rFonts w:asciiTheme="majorBidi" w:hAnsiTheme="majorBidi" w:cstheme="majorBidi"/>
          <w:b/>
          <w:bCs/>
          <w:sz w:val="26"/>
          <w:szCs w:val="26"/>
          <w:lang w:eastAsia="ar-SA"/>
        </w:rPr>
        <w:t xml:space="preserve">Plastic </w:t>
      </w:r>
      <w:r w:rsidR="00040434" w:rsidRPr="00E94400">
        <w:rPr>
          <w:rFonts w:asciiTheme="majorBidi" w:hAnsiTheme="majorBidi" w:cstheme="majorBidi"/>
          <w:b/>
          <w:bCs/>
          <w:sz w:val="26"/>
          <w:szCs w:val="26"/>
          <w:lang w:eastAsia="ar-SA"/>
        </w:rPr>
        <w:t xml:space="preserve">Economy </w:t>
      </w:r>
      <w:r w:rsidRPr="00E94400">
        <w:rPr>
          <w:rFonts w:asciiTheme="majorBidi" w:hAnsiTheme="majorBidi" w:cstheme="majorBidi"/>
          <w:b/>
          <w:bCs/>
          <w:sz w:val="26"/>
          <w:szCs w:val="26"/>
          <w:lang w:eastAsia="ar-SA"/>
        </w:rPr>
        <w:t>in Palestine</w:t>
      </w:r>
    </w:p>
    <w:p w:rsidR="00615C7F" w:rsidRPr="00E94400" w:rsidRDefault="00615C7F" w:rsidP="00040434">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 xml:space="preserve">Data from the economic surveys </w:t>
      </w:r>
      <w:r w:rsidR="00887C00" w:rsidRPr="00E94400">
        <w:rPr>
          <w:rFonts w:asciiTheme="majorBidi" w:hAnsiTheme="majorBidi" w:cstheme="majorBidi"/>
          <w:sz w:val="26"/>
          <w:szCs w:val="26"/>
          <w:lang w:eastAsia="ar-SA"/>
        </w:rPr>
        <w:t xml:space="preserve">2023 </w:t>
      </w:r>
      <w:r w:rsidRPr="00E94400">
        <w:rPr>
          <w:rFonts w:asciiTheme="majorBidi" w:hAnsiTheme="majorBidi" w:cstheme="majorBidi"/>
          <w:sz w:val="26"/>
          <w:szCs w:val="26"/>
          <w:lang w:eastAsia="ar-SA"/>
        </w:rPr>
        <w:t xml:space="preserve">indicate that the number of establishments operating in the plastics industry in the private and civil society sectors in the West Bank (excluding J1) reached 193 establishments, employing 2,770 workers. The total </w:t>
      </w:r>
      <w:proofErr w:type="gramStart"/>
      <w:r w:rsidRPr="00E94400">
        <w:rPr>
          <w:rFonts w:asciiTheme="majorBidi" w:hAnsiTheme="majorBidi" w:cstheme="majorBidi"/>
          <w:sz w:val="26"/>
          <w:szCs w:val="26"/>
          <w:lang w:eastAsia="ar-SA"/>
        </w:rPr>
        <w:t>added value</w:t>
      </w:r>
      <w:proofErr w:type="gramEnd"/>
      <w:r w:rsidRPr="00E94400">
        <w:rPr>
          <w:rFonts w:asciiTheme="majorBidi" w:hAnsiTheme="majorBidi" w:cstheme="majorBidi"/>
          <w:sz w:val="26"/>
          <w:szCs w:val="26"/>
          <w:lang w:eastAsia="ar-SA"/>
        </w:rPr>
        <w:t xml:space="preserve"> of the plastics industry reached approximately </w:t>
      </w:r>
      <w:r w:rsidR="00040434" w:rsidRPr="00E94400">
        <w:rPr>
          <w:rFonts w:asciiTheme="majorBidi" w:hAnsiTheme="majorBidi" w:cstheme="majorBidi"/>
          <w:sz w:val="26"/>
          <w:szCs w:val="26"/>
          <w:lang w:eastAsia="ar-SA"/>
        </w:rPr>
        <w:t xml:space="preserve">USD </w:t>
      </w:r>
      <w:r w:rsidRPr="00E94400">
        <w:rPr>
          <w:rFonts w:asciiTheme="majorBidi" w:hAnsiTheme="majorBidi" w:cstheme="majorBidi"/>
          <w:sz w:val="26"/>
          <w:szCs w:val="26"/>
          <w:lang w:eastAsia="ar-SA"/>
        </w:rPr>
        <w:t>84 million in 2023.</w:t>
      </w:r>
    </w:p>
    <w:p w:rsidR="00A87642" w:rsidRPr="00E94400" w:rsidRDefault="00A87642" w:rsidP="00615C7F">
      <w:pPr>
        <w:pStyle w:val="BodyText"/>
        <w:bidi w:val="0"/>
        <w:jc w:val="both"/>
        <w:rPr>
          <w:rFonts w:asciiTheme="majorBidi" w:hAnsiTheme="majorBidi" w:cstheme="majorBidi"/>
          <w:sz w:val="16"/>
          <w:szCs w:val="16"/>
          <w:rtl/>
          <w:lang w:eastAsia="ar-SA"/>
        </w:rPr>
      </w:pPr>
    </w:p>
    <w:p w:rsidR="00615C7F" w:rsidRPr="00E94400" w:rsidRDefault="00615C7F" w:rsidP="00040434">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 xml:space="preserve">The total value of Palestinian imports of plastics and related products reached </w:t>
      </w:r>
      <w:r w:rsidR="00040434" w:rsidRPr="00E94400">
        <w:rPr>
          <w:rFonts w:asciiTheme="majorBidi" w:hAnsiTheme="majorBidi" w:cstheme="majorBidi"/>
          <w:sz w:val="26"/>
          <w:szCs w:val="26"/>
          <w:lang w:eastAsia="ar-SA"/>
        </w:rPr>
        <w:t xml:space="preserve">USD </w:t>
      </w:r>
      <w:r w:rsidRPr="00E94400">
        <w:rPr>
          <w:rFonts w:asciiTheme="majorBidi" w:hAnsiTheme="majorBidi" w:cstheme="majorBidi"/>
          <w:sz w:val="26"/>
          <w:szCs w:val="26"/>
          <w:lang w:eastAsia="ar-SA"/>
        </w:rPr>
        <w:t xml:space="preserve">291 million in 2023, compared to </w:t>
      </w:r>
      <w:r w:rsidR="00040434" w:rsidRPr="00E94400">
        <w:rPr>
          <w:rFonts w:asciiTheme="majorBidi" w:hAnsiTheme="majorBidi" w:cstheme="majorBidi"/>
          <w:sz w:val="26"/>
          <w:szCs w:val="26"/>
          <w:lang w:eastAsia="ar-SA"/>
        </w:rPr>
        <w:t xml:space="preserve">USD </w:t>
      </w:r>
      <w:r w:rsidRPr="00E94400">
        <w:rPr>
          <w:rFonts w:asciiTheme="majorBidi" w:hAnsiTheme="majorBidi" w:cstheme="majorBidi"/>
          <w:sz w:val="26"/>
          <w:szCs w:val="26"/>
          <w:lang w:eastAsia="ar-SA"/>
        </w:rPr>
        <w:t>324 million in 2022.</w:t>
      </w:r>
    </w:p>
    <w:p w:rsidR="00936727" w:rsidRPr="00E94400" w:rsidRDefault="00BA54E2" w:rsidP="00707307">
      <w:pPr>
        <w:pStyle w:val="BodyText"/>
        <w:bidi w:val="0"/>
        <w:jc w:val="both"/>
        <w:rPr>
          <w:rFonts w:asciiTheme="majorBidi" w:hAnsiTheme="majorBidi" w:cstheme="majorBidi"/>
          <w:sz w:val="26"/>
          <w:szCs w:val="26"/>
          <w:lang w:eastAsia="ar-SA"/>
        </w:rPr>
      </w:pPr>
      <w:r w:rsidRPr="00E94400">
        <w:rPr>
          <w:rFonts w:asciiTheme="majorBidi" w:hAnsiTheme="majorBidi" w:cstheme="majorBidi"/>
          <w:sz w:val="26"/>
          <w:szCs w:val="26"/>
          <w:lang w:eastAsia="ar-SA"/>
        </w:rPr>
        <w:t>The accumulation of large quantities of plastic and its disposal in environmentally unsound ways, such as burning, leads to the spread of unpleasant odors and toxic elements into the air and soil pollution. Therefore, the Environment Quality Authority, in cooperation with relevant authorities, has sought to combat the burning of plastic materials and reduce the amount of plastic disposed of by encouraging recycling and reuse.</w:t>
      </w:r>
    </w:p>
    <w:p w:rsidR="00645474" w:rsidRPr="00E94400" w:rsidRDefault="00645474" w:rsidP="00645474">
      <w:pPr>
        <w:pStyle w:val="BodyText"/>
        <w:bidi w:val="0"/>
        <w:jc w:val="left"/>
        <w:rPr>
          <w:rFonts w:asciiTheme="majorBidi" w:hAnsiTheme="majorBidi" w:cstheme="majorBidi"/>
          <w:sz w:val="26"/>
          <w:szCs w:val="26"/>
          <w:rtl/>
          <w:lang w:eastAsia="ar-SA"/>
        </w:rPr>
      </w:pPr>
    </w:p>
    <w:p w:rsidR="00E94400" w:rsidRPr="00E94400" w:rsidRDefault="00E94400" w:rsidP="00E94400">
      <w:pPr>
        <w:pStyle w:val="BodyText"/>
        <w:bidi w:val="0"/>
        <w:jc w:val="left"/>
        <w:rPr>
          <w:rFonts w:asciiTheme="majorBidi" w:hAnsiTheme="majorBidi" w:cstheme="majorBidi"/>
          <w:b/>
          <w:bCs/>
          <w:color w:val="000000"/>
          <w:sz w:val="26"/>
          <w:szCs w:val="26"/>
        </w:rPr>
      </w:pPr>
    </w:p>
    <w:sectPr w:rsidR="00E94400" w:rsidRPr="00E94400" w:rsidSect="00E94400">
      <w:headerReference w:type="default" r:id="rId9"/>
      <w:footerReference w:type="even" r:id="rId10"/>
      <w:footerReference w:type="default" r:id="rId11"/>
      <w:pgSz w:w="11906" w:h="16838" w:code="9"/>
      <w:pgMar w:top="630" w:right="1440" w:bottom="1440" w:left="1440" w:header="0" w:footer="270" w:gutter="0"/>
      <w:pgNumType w:start="1"/>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80" w:rsidRDefault="00CE5880" w:rsidP="0046196F">
      <w:r>
        <w:separator/>
      </w:r>
    </w:p>
  </w:endnote>
  <w:endnote w:type="continuationSeparator" w:id="0">
    <w:p w:rsidR="00CE5880" w:rsidRDefault="00CE5880" w:rsidP="0046196F">
      <w:r>
        <w:continuationSeparator/>
      </w:r>
    </w:p>
  </w:endnote>
  <w:endnote w:id="1">
    <w:p w:rsidR="00454115" w:rsidRPr="00E94400" w:rsidRDefault="00454115" w:rsidP="00C8366E">
      <w:pPr>
        <w:pStyle w:val="EndnoteText"/>
        <w:bidi w:val="0"/>
        <w:rPr>
          <w:sz w:val="24"/>
          <w:szCs w:val="24"/>
          <w:lang w:val="en-GB"/>
        </w:rPr>
      </w:pPr>
      <w:r w:rsidRPr="00E94400">
        <w:rPr>
          <w:rStyle w:val="EndnoteReference"/>
          <w:sz w:val="24"/>
          <w:szCs w:val="24"/>
        </w:rPr>
        <w:endnoteRef/>
      </w:r>
      <w:r w:rsidRPr="00E94400">
        <w:rPr>
          <w:sz w:val="24"/>
          <w:szCs w:val="24"/>
          <w:rtl/>
        </w:rPr>
        <w:t xml:space="preserve"> </w:t>
      </w:r>
      <w:r w:rsidRPr="00E94400">
        <w:rPr>
          <w:rFonts w:asciiTheme="majorBidi" w:hAnsiTheme="majorBidi" w:cstheme="majorBidi"/>
          <w:sz w:val="24"/>
          <w:szCs w:val="24"/>
        </w:rPr>
        <w:t xml:space="preserve">Environment Quality Authority, </w:t>
      </w:r>
      <w:r w:rsidRPr="00E94400">
        <w:rPr>
          <w:sz w:val="24"/>
          <w:szCs w:val="24"/>
        </w:rPr>
        <w:t>Environmental Damage Assessment Report, 2023/2024</w:t>
      </w:r>
    </w:p>
  </w:endnote>
  <w:endnote w:id="2">
    <w:p w:rsidR="004046EF" w:rsidRPr="00E94400" w:rsidRDefault="00C8366E" w:rsidP="00C8366E">
      <w:pPr>
        <w:pStyle w:val="EndnoteText"/>
        <w:bidi w:val="0"/>
        <w:jc w:val="lowKashida"/>
        <w:rPr>
          <w:sz w:val="24"/>
          <w:szCs w:val="24"/>
        </w:rPr>
      </w:pPr>
      <w:r w:rsidRPr="00E94400">
        <w:rPr>
          <w:rStyle w:val="EndnoteReference"/>
          <w:sz w:val="24"/>
          <w:szCs w:val="24"/>
        </w:rPr>
        <w:endnoteRef/>
      </w:r>
      <w:r w:rsidRPr="00E94400">
        <w:rPr>
          <w:rFonts w:asciiTheme="majorBidi" w:hAnsiTheme="majorBidi" w:cstheme="majorBidi" w:hint="cs"/>
          <w:sz w:val="24"/>
          <w:szCs w:val="24"/>
          <w:rtl/>
        </w:rPr>
        <w:t xml:space="preserve"> </w:t>
      </w:r>
      <w:r w:rsidR="004046EF" w:rsidRPr="00E94400">
        <w:rPr>
          <w:rFonts w:asciiTheme="majorBidi" w:hAnsiTheme="majorBidi" w:cstheme="majorBidi"/>
          <w:sz w:val="24"/>
          <w:szCs w:val="24"/>
        </w:rPr>
        <w:t xml:space="preserve">Water, Sanitation and Hygiene </w:t>
      </w:r>
      <w:r w:rsidR="00447170" w:rsidRPr="00E94400">
        <w:rPr>
          <w:rFonts w:asciiTheme="majorBidi" w:hAnsiTheme="majorBidi" w:cstheme="majorBidi"/>
          <w:sz w:val="24"/>
          <w:szCs w:val="24"/>
        </w:rPr>
        <w:t>(WASH, State of</w:t>
      </w:r>
      <w:r w:rsidR="004046EF" w:rsidRPr="00E94400">
        <w:rPr>
          <w:rFonts w:asciiTheme="majorBidi" w:hAnsiTheme="majorBidi" w:cstheme="majorBidi"/>
          <w:sz w:val="24"/>
          <w:szCs w:val="24"/>
        </w:rPr>
        <w:t xml:space="preserve"> Palestine</w:t>
      </w:r>
      <w:r w:rsidR="00447170" w:rsidRPr="00E94400">
        <w:rPr>
          <w:rFonts w:asciiTheme="majorBidi" w:hAnsiTheme="majorBidi" w:cstheme="majorBidi"/>
          <w:sz w:val="24"/>
          <w:szCs w:val="24"/>
        </w:rPr>
        <w:t>)</w:t>
      </w:r>
      <w:r w:rsidR="004046EF" w:rsidRPr="00E94400">
        <w:rPr>
          <w:rStyle w:val="EndnoteReference"/>
          <w:sz w:val="24"/>
          <w:szCs w:val="24"/>
        </w:rPr>
        <w:t xml:space="preserve"> </w:t>
      </w:r>
    </w:p>
  </w:endnote>
  <w:endnote w:id="3">
    <w:p w:rsidR="004046EF" w:rsidRPr="00E94400" w:rsidRDefault="004046EF" w:rsidP="00C8366E">
      <w:pPr>
        <w:pStyle w:val="EndnoteText"/>
        <w:bidi w:val="0"/>
        <w:rPr>
          <w:sz w:val="24"/>
          <w:szCs w:val="24"/>
        </w:rPr>
      </w:pPr>
      <w:r w:rsidRPr="00E94400">
        <w:rPr>
          <w:rStyle w:val="EndnoteReference"/>
          <w:sz w:val="24"/>
          <w:szCs w:val="24"/>
        </w:rPr>
        <w:endnoteRef/>
      </w:r>
      <w:r w:rsidRPr="00E94400">
        <w:rPr>
          <w:sz w:val="24"/>
          <w:szCs w:val="24"/>
          <w:rtl/>
        </w:rPr>
        <w:t xml:space="preserve"> </w:t>
      </w:r>
      <w:r w:rsidR="007D1AFA" w:rsidRPr="00E94400">
        <w:rPr>
          <w:rFonts w:asciiTheme="majorBidi" w:hAnsiTheme="majorBidi" w:cstheme="majorBidi"/>
          <w:sz w:val="24"/>
          <w:szCs w:val="24"/>
        </w:rPr>
        <w:t>Oxfam International Headquarters</w:t>
      </w:r>
    </w:p>
  </w:endnote>
  <w:endnote w:id="4">
    <w:p w:rsidR="000C5384" w:rsidRPr="00E94400" w:rsidRDefault="000C5384" w:rsidP="00C8366E">
      <w:pPr>
        <w:pStyle w:val="EndnoteText"/>
        <w:bidi w:val="0"/>
        <w:rPr>
          <w:sz w:val="24"/>
          <w:szCs w:val="24"/>
        </w:rPr>
      </w:pPr>
      <w:r w:rsidRPr="00E94400">
        <w:rPr>
          <w:rStyle w:val="EndnoteReference"/>
          <w:sz w:val="24"/>
          <w:szCs w:val="24"/>
        </w:rPr>
        <w:endnoteRef/>
      </w:r>
      <w:r w:rsidRPr="00E94400">
        <w:rPr>
          <w:sz w:val="24"/>
          <w:szCs w:val="24"/>
          <w:rtl/>
        </w:rPr>
        <w:t xml:space="preserve"> </w:t>
      </w:r>
      <w:r w:rsidR="009274EA" w:rsidRPr="00E94400">
        <w:rPr>
          <w:rFonts w:asciiTheme="majorBidi" w:hAnsiTheme="majorBidi" w:cstheme="majorBidi"/>
          <w:sz w:val="24"/>
          <w:szCs w:val="24"/>
        </w:rPr>
        <w:t>The Palestinian Forum for Israeli Studies (MADAR)</w:t>
      </w:r>
    </w:p>
  </w:endnote>
  <w:endnote w:id="5">
    <w:p w:rsidR="000C5384" w:rsidRPr="00E94400" w:rsidRDefault="000C5384" w:rsidP="00C8366E">
      <w:pPr>
        <w:pStyle w:val="EndnoteText"/>
        <w:bidi w:val="0"/>
        <w:rPr>
          <w:sz w:val="24"/>
          <w:szCs w:val="24"/>
        </w:rPr>
      </w:pPr>
      <w:r w:rsidRPr="00E94400">
        <w:rPr>
          <w:rStyle w:val="EndnoteReference"/>
          <w:sz w:val="24"/>
          <w:szCs w:val="24"/>
        </w:rPr>
        <w:endnoteRef/>
      </w:r>
      <w:r w:rsidRPr="00E94400">
        <w:rPr>
          <w:sz w:val="24"/>
          <w:szCs w:val="24"/>
          <w:rtl/>
        </w:rPr>
        <w:t xml:space="preserve"> </w:t>
      </w:r>
      <w:r w:rsidRPr="00E94400">
        <w:rPr>
          <w:rFonts w:asciiTheme="majorBidi" w:hAnsiTheme="majorBidi" w:cstheme="majorBidi"/>
          <w:sz w:val="24"/>
          <w:szCs w:val="24"/>
        </w:rPr>
        <w:t>Environment Quality Authority, Annual Report, 2024</w:t>
      </w:r>
    </w:p>
  </w:endnote>
  <w:endnote w:id="6">
    <w:p w:rsidR="00BA54E2" w:rsidRPr="00E94400" w:rsidRDefault="00BA54E2" w:rsidP="00C8366E">
      <w:pPr>
        <w:pStyle w:val="EndnoteText"/>
        <w:bidi w:val="0"/>
        <w:rPr>
          <w:sz w:val="24"/>
          <w:szCs w:val="24"/>
          <w:rtl/>
        </w:rPr>
      </w:pPr>
      <w:r w:rsidRPr="00E94400">
        <w:rPr>
          <w:rStyle w:val="EndnoteReference"/>
          <w:sz w:val="24"/>
          <w:szCs w:val="24"/>
        </w:rPr>
        <w:endnoteRef/>
      </w:r>
      <w:r w:rsidRPr="00E94400">
        <w:rPr>
          <w:sz w:val="24"/>
          <w:szCs w:val="24"/>
          <w:rtl/>
        </w:rPr>
        <w:t xml:space="preserve"> </w:t>
      </w:r>
      <w:r w:rsidRPr="00E94400">
        <w:rPr>
          <w:rFonts w:asciiTheme="majorBidi" w:hAnsiTheme="majorBidi" w:cstheme="majorBidi"/>
          <w:sz w:val="24"/>
          <w:szCs w:val="24"/>
        </w:rPr>
        <w:t xml:space="preserve">Study implemented by Premiere </w:t>
      </w:r>
      <w:proofErr w:type="spellStart"/>
      <w:r w:rsidRPr="00E94400">
        <w:rPr>
          <w:rFonts w:asciiTheme="majorBidi" w:hAnsiTheme="majorBidi" w:cstheme="majorBidi"/>
          <w:sz w:val="24"/>
          <w:szCs w:val="24"/>
        </w:rPr>
        <w:t>Urgence</w:t>
      </w:r>
      <w:proofErr w:type="spellEnd"/>
      <w:r w:rsidRPr="00E94400">
        <w:rPr>
          <w:rFonts w:ascii="Simplified Arabic" w:hAnsi="Simplified Arabic" w:cs="Simplified Arabic"/>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50" w:rsidRDefault="00C73050" w:rsidP="00C730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73050" w:rsidRDefault="00C7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49805768"/>
      <w:docPartObj>
        <w:docPartGallery w:val="Page Numbers (Bottom of Page)"/>
        <w:docPartUnique/>
      </w:docPartObj>
    </w:sdtPr>
    <w:sdtEndPr>
      <w:rPr>
        <w:noProof/>
      </w:rPr>
    </w:sdtEndPr>
    <w:sdtContent>
      <w:p w:rsidR="00E94400" w:rsidRDefault="00E94400">
        <w:pPr>
          <w:pStyle w:val="Footer"/>
          <w:jc w:val="center"/>
        </w:pPr>
        <w:r>
          <w:fldChar w:fldCharType="begin"/>
        </w:r>
        <w:r>
          <w:instrText xml:space="preserve"> PAGE   \* MERGEFORMAT </w:instrText>
        </w:r>
        <w:r>
          <w:fldChar w:fldCharType="separate"/>
        </w:r>
        <w:r>
          <w:rPr>
            <w:noProof/>
            <w:rtl/>
          </w:rPr>
          <w:t>5</w:t>
        </w:r>
        <w:r>
          <w:rPr>
            <w:noProof/>
          </w:rPr>
          <w:fldChar w:fldCharType="end"/>
        </w:r>
      </w:p>
    </w:sdtContent>
  </w:sdt>
  <w:p w:rsidR="004046EF" w:rsidRDefault="004046EF" w:rsidP="004046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80" w:rsidRDefault="00CE5880" w:rsidP="0046196F">
      <w:r>
        <w:separator/>
      </w:r>
    </w:p>
  </w:footnote>
  <w:footnote w:type="continuationSeparator" w:id="0">
    <w:p w:rsidR="00CE5880" w:rsidRDefault="00CE5880" w:rsidP="0046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50" w:rsidRDefault="00C73050" w:rsidP="00572A9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1207"/>
    <w:multiLevelType w:val="hybridMultilevel"/>
    <w:tmpl w:val="9132D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121593"/>
    <w:multiLevelType w:val="hybridMultilevel"/>
    <w:tmpl w:val="7AB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6F"/>
    <w:rsid w:val="00000F3A"/>
    <w:rsid w:val="00000FDC"/>
    <w:rsid w:val="00003544"/>
    <w:rsid w:val="00040434"/>
    <w:rsid w:val="000457D3"/>
    <w:rsid w:val="000545E4"/>
    <w:rsid w:val="000556DE"/>
    <w:rsid w:val="00056400"/>
    <w:rsid w:val="00060543"/>
    <w:rsid w:val="000700C5"/>
    <w:rsid w:val="0008284E"/>
    <w:rsid w:val="00090C81"/>
    <w:rsid w:val="00092FF8"/>
    <w:rsid w:val="00096443"/>
    <w:rsid w:val="000A5353"/>
    <w:rsid w:val="000B1A43"/>
    <w:rsid w:val="000B6444"/>
    <w:rsid w:val="000C480F"/>
    <w:rsid w:val="000C5384"/>
    <w:rsid w:val="000C6E96"/>
    <w:rsid w:val="000D57DC"/>
    <w:rsid w:val="000D5E50"/>
    <w:rsid w:val="000E357D"/>
    <w:rsid w:val="000F39B2"/>
    <w:rsid w:val="000F7561"/>
    <w:rsid w:val="00103BB2"/>
    <w:rsid w:val="0010693D"/>
    <w:rsid w:val="00106B8B"/>
    <w:rsid w:val="001074CE"/>
    <w:rsid w:val="0011578A"/>
    <w:rsid w:val="00115BCB"/>
    <w:rsid w:val="00115E7A"/>
    <w:rsid w:val="0011627B"/>
    <w:rsid w:val="001215A6"/>
    <w:rsid w:val="00124EBD"/>
    <w:rsid w:val="00126DE4"/>
    <w:rsid w:val="00130066"/>
    <w:rsid w:val="00130AB2"/>
    <w:rsid w:val="00130D04"/>
    <w:rsid w:val="00130DEF"/>
    <w:rsid w:val="0013152B"/>
    <w:rsid w:val="00137D54"/>
    <w:rsid w:val="00137DC6"/>
    <w:rsid w:val="00144220"/>
    <w:rsid w:val="00145FBB"/>
    <w:rsid w:val="00147CFA"/>
    <w:rsid w:val="00151FCF"/>
    <w:rsid w:val="00152C54"/>
    <w:rsid w:val="001573DF"/>
    <w:rsid w:val="001808B8"/>
    <w:rsid w:val="00182DB8"/>
    <w:rsid w:val="001875D4"/>
    <w:rsid w:val="001A3933"/>
    <w:rsid w:val="001A5C9A"/>
    <w:rsid w:val="001B29E4"/>
    <w:rsid w:val="001B3E40"/>
    <w:rsid w:val="001B6405"/>
    <w:rsid w:val="001B69E9"/>
    <w:rsid w:val="001C2E7C"/>
    <w:rsid w:val="001C40AB"/>
    <w:rsid w:val="001C504F"/>
    <w:rsid w:val="001C6ED7"/>
    <w:rsid w:val="001D36E4"/>
    <w:rsid w:val="0020078D"/>
    <w:rsid w:val="00204BEB"/>
    <w:rsid w:val="00210AD8"/>
    <w:rsid w:val="0021430E"/>
    <w:rsid w:val="00215F57"/>
    <w:rsid w:val="00217EFF"/>
    <w:rsid w:val="002202DC"/>
    <w:rsid w:val="002217D1"/>
    <w:rsid w:val="00222092"/>
    <w:rsid w:val="00231FB6"/>
    <w:rsid w:val="002321F3"/>
    <w:rsid w:val="00237E2A"/>
    <w:rsid w:val="00244473"/>
    <w:rsid w:val="00244B76"/>
    <w:rsid w:val="002633AB"/>
    <w:rsid w:val="002674C6"/>
    <w:rsid w:val="00272E79"/>
    <w:rsid w:val="002829B6"/>
    <w:rsid w:val="0028379A"/>
    <w:rsid w:val="00293A2E"/>
    <w:rsid w:val="00295146"/>
    <w:rsid w:val="002A32F0"/>
    <w:rsid w:val="002A6862"/>
    <w:rsid w:val="002A6C48"/>
    <w:rsid w:val="002B06D3"/>
    <w:rsid w:val="002B6312"/>
    <w:rsid w:val="002B63EF"/>
    <w:rsid w:val="002C4AAC"/>
    <w:rsid w:val="002C65B1"/>
    <w:rsid w:val="002D1ECE"/>
    <w:rsid w:val="002D38EE"/>
    <w:rsid w:val="002E4CCD"/>
    <w:rsid w:val="002E6230"/>
    <w:rsid w:val="002F0E94"/>
    <w:rsid w:val="002F2112"/>
    <w:rsid w:val="002F4533"/>
    <w:rsid w:val="003020FF"/>
    <w:rsid w:val="003158DF"/>
    <w:rsid w:val="00322A24"/>
    <w:rsid w:val="00323970"/>
    <w:rsid w:val="00326EAE"/>
    <w:rsid w:val="00335EC8"/>
    <w:rsid w:val="00335F15"/>
    <w:rsid w:val="00342106"/>
    <w:rsid w:val="00346FF7"/>
    <w:rsid w:val="00350B1F"/>
    <w:rsid w:val="00352378"/>
    <w:rsid w:val="00352D97"/>
    <w:rsid w:val="00360BAC"/>
    <w:rsid w:val="00366BD6"/>
    <w:rsid w:val="00374061"/>
    <w:rsid w:val="003740DC"/>
    <w:rsid w:val="003752D3"/>
    <w:rsid w:val="0038049A"/>
    <w:rsid w:val="00384229"/>
    <w:rsid w:val="003878C0"/>
    <w:rsid w:val="00395A97"/>
    <w:rsid w:val="00396515"/>
    <w:rsid w:val="003A4FC2"/>
    <w:rsid w:val="003B6A48"/>
    <w:rsid w:val="003C177E"/>
    <w:rsid w:val="003C1EDB"/>
    <w:rsid w:val="003C3EF9"/>
    <w:rsid w:val="003D32F6"/>
    <w:rsid w:val="003D5B9B"/>
    <w:rsid w:val="003E1368"/>
    <w:rsid w:val="003E38FF"/>
    <w:rsid w:val="003F41B5"/>
    <w:rsid w:val="003F6FC9"/>
    <w:rsid w:val="00401AF4"/>
    <w:rsid w:val="00403ED9"/>
    <w:rsid w:val="00404162"/>
    <w:rsid w:val="004046EF"/>
    <w:rsid w:val="00413F20"/>
    <w:rsid w:val="004147C6"/>
    <w:rsid w:val="004149BD"/>
    <w:rsid w:val="0042088C"/>
    <w:rsid w:val="00421326"/>
    <w:rsid w:val="00424C2F"/>
    <w:rsid w:val="004278A4"/>
    <w:rsid w:val="00427C76"/>
    <w:rsid w:val="004303F9"/>
    <w:rsid w:val="00442A47"/>
    <w:rsid w:val="00447170"/>
    <w:rsid w:val="00450DF8"/>
    <w:rsid w:val="00454115"/>
    <w:rsid w:val="00456EB6"/>
    <w:rsid w:val="004615FF"/>
    <w:rsid w:val="0046196F"/>
    <w:rsid w:val="00472534"/>
    <w:rsid w:val="00476E9A"/>
    <w:rsid w:val="00481071"/>
    <w:rsid w:val="004863F7"/>
    <w:rsid w:val="0049143A"/>
    <w:rsid w:val="00494BEC"/>
    <w:rsid w:val="004A2CED"/>
    <w:rsid w:val="004A5B3F"/>
    <w:rsid w:val="004B0ACA"/>
    <w:rsid w:val="004B0E78"/>
    <w:rsid w:val="004B36B9"/>
    <w:rsid w:val="004C07FF"/>
    <w:rsid w:val="004D10E9"/>
    <w:rsid w:val="004D3F79"/>
    <w:rsid w:val="004D4962"/>
    <w:rsid w:val="004E1628"/>
    <w:rsid w:val="004E5EBD"/>
    <w:rsid w:val="004F6313"/>
    <w:rsid w:val="00511A0F"/>
    <w:rsid w:val="00511ED4"/>
    <w:rsid w:val="00512D85"/>
    <w:rsid w:val="0051321C"/>
    <w:rsid w:val="005233BD"/>
    <w:rsid w:val="005251DD"/>
    <w:rsid w:val="00525C68"/>
    <w:rsid w:val="00535542"/>
    <w:rsid w:val="00540BE9"/>
    <w:rsid w:val="005432E7"/>
    <w:rsid w:val="005435F0"/>
    <w:rsid w:val="00572A90"/>
    <w:rsid w:val="0057397C"/>
    <w:rsid w:val="00577ACB"/>
    <w:rsid w:val="005862CC"/>
    <w:rsid w:val="00597325"/>
    <w:rsid w:val="005A62EE"/>
    <w:rsid w:val="005B03CF"/>
    <w:rsid w:val="005B1281"/>
    <w:rsid w:val="005B192E"/>
    <w:rsid w:val="005B1974"/>
    <w:rsid w:val="005B200B"/>
    <w:rsid w:val="005B777A"/>
    <w:rsid w:val="005C2F25"/>
    <w:rsid w:val="005C5E47"/>
    <w:rsid w:val="005C614E"/>
    <w:rsid w:val="005C67C1"/>
    <w:rsid w:val="005E26DE"/>
    <w:rsid w:val="005E735C"/>
    <w:rsid w:val="005E7404"/>
    <w:rsid w:val="005F0091"/>
    <w:rsid w:val="00606029"/>
    <w:rsid w:val="006119F6"/>
    <w:rsid w:val="00615C7F"/>
    <w:rsid w:val="00617CF8"/>
    <w:rsid w:val="0062061E"/>
    <w:rsid w:val="00621A4B"/>
    <w:rsid w:val="00622311"/>
    <w:rsid w:val="006237AF"/>
    <w:rsid w:val="006242D0"/>
    <w:rsid w:val="00627DEB"/>
    <w:rsid w:val="006341D7"/>
    <w:rsid w:val="0063683F"/>
    <w:rsid w:val="006372C1"/>
    <w:rsid w:val="006414A1"/>
    <w:rsid w:val="00645474"/>
    <w:rsid w:val="00662753"/>
    <w:rsid w:val="00671740"/>
    <w:rsid w:val="00673D02"/>
    <w:rsid w:val="006746D2"/>
    <w:rsid w:val="00687120"/>
    <w:rsid w:val="00691EC4"/>
    <w:rsid w:val="006A3802"/>
    <w:rsid w:val="006A62AB"/>
    <w:rsid w:val="006A7CB1"/>
    <w:rsid w:val="006B0734"/>
    <w:rsid w:val="006B32FD"/>
    <w:rsid w:val="006B6FA1"/>
    <w:rsid w:val="006C17F5"/>
    <w:rsid w:val="006D27AF"/>
    <w:rsid w:val="006D4FC6"/>
    <w:rsid w:val="006D75E4"/>
    <w:rsid w:val="006E0C85"/>
    <w:rsid w:val="006E0F9D"/>
    <w:rsid w:val="006E1B2C"/>
    <w:rsid w:val="006E3524"/>
    <w:rsid w:val="006E3B44"/>
    <w:rsid w:val="006E6326"/>
    <w:rsid w:val="006E65F5"/>
    <w:rsid w:val="006E7223"/>
    <w:rsid w:val="006F03F1"/>
    <w:rsid w:val="006F20D8"/>
    <w:rsid w:val="00702558"/>
    <w:rsid w:val="00703060"/>
    <w:rsid w:val="00707307"/>
    <w:rsid w:val="0071210B"/>
    <w:rsid w:val="00716018"/>
    <w:rsid w:val="00717BF9"/>
    <w:rsid w:val="00717D62"/>
    <w:rsid w:val="007217B0"/>
    <w:rsid w:val="0072231B"/>
    <w:rsid w:val="00723888"/>
    <w:rsid w:val="00724CD1"/>
    <w:rsid w:val="0072532C"/>
    <w:rsid w:val="00735495"/>
    <w:rsid w:val="00740D12"/>
    <w:rsid w:val="0074170A"/>
    <w:rsid w:val="0074314A"/>
    <w:rsid w:val="007523BA"/>
    <w:rsid w:val="007527EB"/>
    <w:rsid w:val="0076315B"/>
    <w:rsid w:val="0076332F"/>
    <w:rsid w:val="0077342F"/>
    <w:rsid w:val="007746B2"/>
    <w:rsid w:val="007750B5"/>
    <w:rsid w:val="00775779"/>
    <w:rsid w:val="00786A35"/>
    <w:rsid w:val="007935D0"/>
    <w:rsid w:val="00794248"/>
    <w:rsid w:val="007973EF"/>
    <w:rsid w:val="007A0036"/>
    <w:rsid w:val="007B16CC"/>
    <w:rsid w:val="007C0D89"/>
    <w:rsid w:val="007D1AFA"/>
    <w:rsid w:val="007D1BC4"/>
    <w:rsid w:val="007D6917"/>
    <w:rsid w:val="007D71C5"/>
    <w:rsid w:val="007E0A98"/>
    <w:rsid w:val="008029EC"/>
    <w:rsid w:val="00812F0C"/>
    <w:rsid w:val="00817390"/>
    <w:rsid w:val="00824784"/>
    <w:rsid w:val="00834BED"/>
    <w:rsid w:val="00834EA3"/>
    <w:rsid w:val="00841DE4"/>
    <w:rsid w:val="008443FF"/>
    <w:rsid w:val="008503D1"/>
    <w:rsid w:val="008644A2"/>
    <w:rsid w:val="00867869"/>
    <w:rsid w:val="008731BE"/>
    <w:rsid w:val="00875CB1"/>
    <w:rsid w:val="00876DCC"/>
    <w:rsid w:val="00883426"/>
    <w:rsid w:val="00883458"/>
    <w:rsid w:val="00883796"/>
    <w:rsid w:val="008851CB"/>
    <w:rsid w:val="00887C00"/>
    <w:rsid w:val="00891C16"/>
    <w:rsid w:val="00892E0B"/>
    <w:rsid w:val="00893DC6"/>
    <w:rsid w:val="008959D5"/>
    <w:rsid w:val="008A1215"/>
    <w:rsid w:val="008A2059"/>
    <w:rsid w:val="008A2751"/>
    <w:rsid w:val="008A33A4"/>
    <w:rsid w:val="008A7659"/>
    <w:rsid w:val="008B0C35"/>
    <w:rsid w:val="008D1CAD"/>
    <w:rsid w:val="008D4B75"/>
    <w:rsid w:val="008D6D17"/>
    <w:rsid w:val="008E1EDD"/>
    <w:rsid w:val="009000D8"/>
    <w:rsid w:val="009016E2"/>
    <w:rsid w:val="00912F3E"/>
    <w:rsid w:val="0091594F"/>
    <w:rsid w:val="00915C01"/>
    <w:rsid w:val="009164F5"/>
    <w:rsid w:val="00917533"/>
    <w:rsid w:val="009274EA"/>
    <w:rsid w:val="009357F3"/>
    <w:rsid w:val="00935940"/>
    <w:rsid w:val="00936727"/>
    <w:rsid w:val="00941AF3"/>
    <w:rsid w:val="00944147"/>
    <w:rsid w:val="00952865"/>
    <w:rsid w:val="00953A45"/>
    <w:rsid w:val="00956749"/>
    <w:rsid w:val="00966CE2"/>
    <w:rsid w:val="009858BC"/>
    <w:rsid w:val="00992429"/>
    <w:rsid w:val="009926EF"/>
    <w:rsid w:val="009A03DB"/>
    <w:rsid w:val="009B127C"/>
    <w:rsid w:val="009C51E9"/>
    <w:rsid w:val="009C79A4"/>
    <w:rsid w:val="009D28ED"/>
    <w:rsid w:val="009D65D2"/>
    <w:rsid w:val="009E2292"/>
    <w:rsid w:val="009E267E"/>
    <w:rsid w:val="009E3C76"/>
    <w:rsid w:val="009F0479"/>
    <w:rsid w:val="009F05FE"/>
    <w:rsid w:val="009F2141"/>
    <w:rsid w:val="009F7CD2"/>
    <w:rsid w:val="00A04A3C"/>
    <w:rsid w:val="00A066C1"/>
    <w:rsid w:val="00A172CB"/>
    <w:rsid w:val="00A2489A"/>
    <w:rsid w:val="00A27AE0"/>
    <w:rsid w:val="00A33071"/>
    <w:rsid w:val="00A41884"/>
    <w:rsid w:val="00A42636"/>
    <w:rsid w:val="00A50F5C"/>
    <w:rsid w:val="00A63712"/>
    <w:rsid w:val="00A7036B"/>
    <w:rsid w:val="00A72E4E"/>
    <w:rsid w:val="00A75AFD"/>
    <w:rsid w:val="00A75F65"/>
    <w:rsid w:val="00A76854"/>
    <w:rsid w:val="00A80712"/>
    <w:rsid w:val="00A86995"/>
    <w:rsid w:val="00A87642"/>
    <w:rsid w:val="00A9293B"/>
    <w:rsid w:val="00A96329"/>
    <w:rsid w:val="00AA2878"/>
    <w:rsid w:val="00AA28A4"/>
    <w:rsid w:val="00AA65F0"/>
    <w:rsid w:val="00AB2364"/>
    <w:rsid w:val="00AB3615"/>
    <w:rsid w:val="00AB40D8"/>
    <w:rsid w:val="00AB4876"/>
    <w:rsid w:val="00AD151A"/>
    <w:rsid w:val="00AD4433"/>
    <w:rsid w:val="00AD5B26"/>
    <w:rsid w:val="00AE0CA7"/>
    <w:rsid w:val="00AE3097"/>
    <w:rsid w:val="00AE3D96"/>
    <w:rsid w:val="00AE523F"/>
    <w:rsid w:val="00AE5735"/>
    <w:rsid w:val="00AE5BFE"/>
    <w:rsid w:val="00AF5384"/>
    <w:rsid w:val="00AF7653"/>
    <w:rsid w:val="00B03160"/>
    <w:rsid w:val="00B073C1"/>
    <w:rsid w:val="00B142F7"/>
    <w:rsid w:val="00B24424"/>
    <w:rsid w:val="00B3130A"/>
    <w:rsid w:val="00B31B6F"/>
    <w:rsid w:val="00B32C59"/>
    <w:rsid w:val="00B3717D"/>
    <w:rsid w:val="00B37607"/>
    <w:rsid w:val="00B44DB2"/>
    <w:rsid w:val="00B45DA1"/>
    <w:rsid w:val="00B50D50"/>
    <w:rsid w:val="00B523AF"/>
    <w:rsid w:val="00B57C1A"/>
    <w:rsid w:val="00B6477B"/>
    <w:rsid w:val="00B72901"/>
    <w:rsid w:val="00B756A0"/>
    <w:rsid w:val="00B80B8F"/>
    <w:rsid w:val="00B81527"/>
    <w:rsid w:val="00B8234C"/>
    <w:rsid w:val="00B854CE"/>
    <w:rsid w:val="00B85D65"/>
    <w:rsid w:val="00B91015"/>
    <w:rsid w:val="00BA3BF2"/>
    <w:rsid w:val="00BA54E2"/>
    <w:rsid w:val="00BA71CE"/>
    <w:rsid w:val="00BA7D1A"/>
    <w:rsid w:val="00BC008B"/>
    <w:rsid w:val="00BC3FF4"/>
    <w:rsid w:val="00BC4420"/>
    <w:rsid w:val="00BD1620"/>
    <w:rsid w:val="00BD3A2F"/>
    <w:rsid w:val="00BD3FFE"/>
    <w:rsid w:val="00BE219F"/>
    <w:rsid w:val="00BE5942"/>
    <w:rsid w:val="00BF04D3"/>
    <w:rsid w:val="00BF54F6"/>
    <w:rsid w:val="00BF56E8"/>
    <w:rsid w:val="00C019B8"/>
    <w:rsid w:val="00C0626A"/>
    <w:rsid w:val="00C0670D"/>
    <w:rsid w:val="00C10B0B"/>
    <w:rsid w:val="00C16CAF"/>
    <w:rsid w:val="00C20CAD"/>
    <w:rsid w:val="00C31D2A"/>
    <w:rsid w:val="00C3637E"/>
    <w:rsid w:val="00C425E7"/>
    <w:rsid w:val="00C4606C"/>
    <w:rsid w:val="00C50DBD"/>
    <w:rsid w:val="00C536FC"/>
    <w:rsid w:val="00C60910"/>
    <w:rsid w:val="00C60EA9"/>
    <w:rsid w:val="00C73050"/>
    <w:rsid w:val="00C8366E"/>
    <w:rsid w:val="00C83720"/>
    <w:rsid w:val="00C846D5"/>
    <w:rsid w:val="00C84B66"/>
    <w:rsid w:val="00C874EA"/>
    <w:rsid w:val="00C91553"/>
    <w:rsid w:val="00CA1233"/>
    <w:rsid w:val="00CA1D56"/>
    <w:rsid w:val="00CA55C2"/>
    <w:rsid w:val="00CB30BF"/>
    <w:rsid w:val="00CD10BF"/>
    <w:rsid w:val="00CD2A2A"/>
    <w:rsid w:val="00CD45AC"/>
    <w:rsid w:val="00CD6436"/>
    <w:rsid w:val="00CE3D3E"/>
    <w:rsid w:val="00CE56C3"/>
    <w:rsid w:val="00CE5880"/>
    <w:rsid w:val="00CF54EB"/>
    <w:rsid w:val="00CF62A3"/>
    <w:rsid w:val="00D04ACB"/>
    <w:rsid w:val="00D10BB1"/>
    <w:rsid w:val="00D159F6"/>
    <w:rsid w:val="00D17A76"/>
    <w:rsid w:val="00D205C5"/>
    <w:rsid w:val="00D31CFA"/>
    <w:rsid w:val="00D33A54"/>
    <w:rsid w:val="00D4616C"/>
    <w:rsid w:val="00D526A2"/>
    <w:rsid w:val="00D61D29"/>
    <w:rsid w:val="00D70F15"/>
    <w:rsid w:val="00D74C40"/>
    <w:rsid w:val="00D774EA"/>
    <w:rsid w:val="00D77A90"/>
    <w:rsid w:val="00D81E35"/>
    <w:rsid w:val="00D86334"/>
    <w:rsid w:val="00D93D89"/>
    <w:rsid w:val="00D951A9"/>
    <w:rsid w:val="00D96F8F"/>
    <w:rsid w:val="00D9718B"/>
    <w:rsid w:val="00DA232F"/>
    <w:rsid w:val="00DA2B01"/>
    <w:rsid w:val="00DA3647"/>
    <w:rsid w:val="00DB0E61"/>
    <w:rsid w:val="00DB7289"/>
    <w:rsid w:val="00DC1F7E"/>
    <w:rsid w:val="00DC4ADB"/>
    <w:rsid w:val="00DD39DB"/>
    <w:rsid w:val="00DD43FD"/>
    <w:rsid w:val="00DD6E63"/>
    <w:rsid w:val="00DE0AAC"/>
    <w:rsid w:val="00DF3759"/>
    <w:rsid w:val="00DF39A7"/>
    <w:rsid w:val="00E04803"/>
    <w:rsid w:val="00E1754B"/>
    <w:rsid w:val="00E21B8B"/>
    <w:rsid w:val="00E35444"/>
    <w:rsid w:val="00E43D13"/>
    <w:rsid w:val="00E462CA"/>
    <w:rsid w:val="00E54217"/>
    <w:rsid w:val="00E60132"/>
    <w:rsid w:val="00E67664"/>
    <w:rsid w:val="00E876DE"/>
    <w:rsid w:val="00E87898"/>
    <w:rsid w:val="00E90F03"/>
    <w:rsid w:val="00E91529"/>
    <w:rsid w:val="00E94400"/>
    <w:rsid w:val="00EA156A"/>
    <w:rsid w:val="00EA3D42"/>
    <w:rsid w:val="00EA6948"/>
    <w:rsid w:val="00EB0C00"/>
    <w:rsid w:val="00EC6789"/>
    <w:rsid w:val="00EC70B1"/>
    <w:rsid w:val="00EE4175"/>
    <w:rsid w:val="00EE77F4"/>
    <w:rsid w:val="00EF0F15"/>
    <w:rsid w:val="00EF3717"/>
    <w:rsid w:val="00EF485D"/>
    <w:rsid w:val="00F00F0A"/>
    <w:rsid w:val="00F11DEC"/>
    <w:rsid w:val="00F12BB7"/>
    <w:rsid w:val="00F1736F"/>
    <w:rsid w:val="00F26EC1"/>
    <w:rsid w:val="00F35520"/>
    <w:rsid w:val="00F373E5"/>
    <w:rsid w:val="00F5080B"/>
    <w:rsid w:val="00F51922"/>
    <w:rsid w:val="00F84656"/>
    <w:rsid w:val="00F858D4"/>
    <w:rsid w:val="00F914EE"/>
    <w:rsid w:val="00F91C59"/>
    <w:rsid w:val="00F94081"/>
    <w:rsid w:val="00F94900"/>
    <w:rsid w:val="00FA0D1B"/>
    <w:rsid w:val="00FA52EA"/>
    <w:rsid w:val="00FB2846"/>
    <w:rsid w:val="00FC0EFD"/>
    <w:rsid w:val="00FC3029"/>
    <w:rsid w:val="00FE63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0164"/>
  <w15:docId w15:val="{8F2C0C33-208B-487A-BC8E-B096817D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6F"/>
    <w:pPr>
      <w:bidi/>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link w:val="Heading3Char"/>
    <w:uiPriority w:val="9"/>
    <w:qFormat/>
    <w:rsid w:val="00CA1D56"/>
    <w:pPr>
      <w:bidi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6196F"/>
    <w:pPr>
      <w:jc w:val="center"/>
    </w:pPr>
    <w:rPr>
      <w:b/>
      <w:bCs/>
    </w:rPr>
  </w:style>
  <w:style w:type="character" w:customStyle="1" w:styleId="TitleChar">
    <w:name w:val="Title Char"/>
    <w:basedOn w:val="DefaultParagraphFont"/>
    <w:link w:val="Title"/>
    <w:uiPriority w:val="99"/>
    <w:rsid w:val="0046196F"/>
    <w:rPr>
      <w:rFonts w:ascii="Times New Roman" w:eastAsia="Times New Roman" w:hAnsi="Times New Roman" w:cs="Times New Roman"/>
      <w:b/>
      <w:bCs/>
      <w:sz w:val="24"/>
      <w:szCs w:val="24"/>
      <w:lang w:eastAsia="ar-SA"/>
    </w:rPr>
  </w:style>
  <w:style w:type="paragraph" w:styleId="Header">
    <w:name w:val="header"/>
    <w:basedOn w:val="Normal"/>
    <w:link w:val="HeaderChar"/>
    <w:rsid w:val="0046196F"/>
    <w:pPr>
      <w:tabs>
        <w:tab w:val="center" w:pos="4153"/>
        <w:tab w:val="right" w:pos="8306"/>
      </w:tabs>
    </w:pPr>
  </w:style>
  <w:style w:type="character" w:customStyle="1" w:styleId="HeaderChar">
    <w:name w:val="Header Char"/>
    <w:basedOn w:val="DefaultParagraphFont"/>
    <w:link w:val="Header"/>
    <w:uiPriority w:val="99"/>
    <w:rsid w:val="0046196F"/>
    <w:rPr>
      <w:rFonts w:ascii="Times New Roman" w:eastAsia="Times New Roman" w:hAnsi="Times New Roman" w:cs="Times New Roman"/>
      <w:sz w:val="24"/>
      <w:szCs w:val="24"/>
      <w:lang w:eastAsia="ar-SA"/>
    </w:rPr>
  </w:style>
  <w:style w:type="character" w:styleId="Hyperlink">
    <w:name w:val="Hyperlink"/>
    <w:basedOn w:val="DefaultParagraphFont"/>
    <w:rsid w:val="0046196F"/>
    <w:rPr>
      <w:strike w:val="0"/>
      <w:dstrike w:val="0"/>
      <w:color w:val="C9581E"/>
      <w:u w:val="none"/>
      <w:effect w:val="none"/>
    </w:rPr>
  </w:style>
  <w:style w:type="paragraph" w:styleId="Footer">
    <w:name w:val="footer"/>
    <w:basedOn w:val="Normal"/>
    <w:link w:val="FooterChar"/>
    <w:uiPriority w:val="99"/>
    <w:rsid w:val="0046196F"/>
    <w:pPr>
      <w:tabs>
        <w:tab w:val="center" w:pos="4153"/>
        <w:tab w:val="right" w:pos="8306"/>
      </w:tabs>
    </w:pPr>
  </w:style>
  <w:style w:type="character" w:customStyle="1" w:styleId="FooterChar">
    <w:name w:val="Footer Char"/>
    <w:basedOn w:val="DefaultParagraphFont"/>
    <w:link w:val="Footer"/>
    <w:uiPriority w:val="99"/>
    <w:rsid w:val="0046196F"/>
    <w:rPr>
      <w:rFonts w:ascii="Times New Roman" w:eastAsia="Times New Roman" w:hAnsi="Times New Roman" w:cs="Times New Roman"/>
      <w:sz w:val="24"/>
      <w:szCs w:val="24"/>
      <w:lang w:eastAsia="ar-SA"/>
    </w:rPr>
  </w:style>
  <w:style w:type="character" w:styleId="PageNumber">
    <w:name w:val="page number"/>
    <w:basedOn w:val="DefaultParagraphFont"/>
    <w:rsid w:val="0046196F"/>
  </w:style>
  <w:style w:type="paragraph" w:styleId="NormalWeb">
    <w:name w:val="Normal (Web)"/>
    <w:basedOn w:val="Normal"/>
    <w:uiPriority w:val="99"/>
    <w:unhideWhenUsed/>
    <w:rsid w:val="0046196F"/>
    <w:pPr>
      <w:bidi w:val="0"/>
      <w:spacing w:before="100" w:beforeAutospacing="1" w:after="100" w:afterAutospacing="1"/>
    </w:pPr>
    <w:rPr>
      <w:lang w:eastAsia="en-US"/>
    </w:rPr>
  </w:style>
  <w:style w:type="paragraph" w:styleId="ListParagraph">
    <w:name w:val="List Paragraph"/>
    <w:basedOn w:val="Normal"/>
    <w:uiPriority w:val="34"/>
    <w:qFormat/>
    <w:rsid w:val="0046196F"/>
    <w:pPr>
      <w:ind w:left="720"/>
      <w:contextualSpacing/>
    </w:pPr>
  </w:style>
  <w:style w:type="paragraph" w:styleId="BalloonText">
    <w:name w:val="Balloon Text"/>
    <w:basedOn w:val="Normal"/>
    <w:link w:val="BalloonTextChar"/>
    <w:uiPriority w:val="99"/>
    <w:semiHidden/>
    <w:unhideWhenUsed/>
    <w:rsid w:val="0046196F"/>
    <w:rPr>
      <w:rFonts w:ascii="Tahoma" w:hAnsi="Tahoma" w:cs="Tahoma"/>
      <w:sz w:val="16"/>
      <w:szCs w:val="16"/>
    </w:rPr>
  </w:style>
  <w:style w:type="character" w:customStyle="1" w:styleId="BalloonTextChar">
    <w:name w:val="Balloon Text Char"/>
    <w:basedOn w:val="DefaultParagraphFont"/>
    <w:link w:val="BalloonText"/>
    <w:uiPriority w:val="99"/>
    <w:semiHidden/>
    <w:rsid w:val="0046196F"/>
    <w:rPr>
      <w:rFonts w:ascii="Tahoma" w:eastAsia="Times New Roman" w:hAnsi="Tahoma" w:cs="Tahoma"/>
      <w:sz w:val="16"/>
      <w:szCs w:val="16"/>
      <w:lang w:eastAsia="ar-SA"/>
    </w:rPr>
  </w:style>
  <w:style w:type="paragraph" w:styleId="BodyText">
    <w:name w:val="Body Text"/>
    <w:basedOn w:val="Normal"/>
    <w:link w:val="BodyTextChar"/>
    <w:semiHidden/>
    <w:rsid w:val="00EC70B1"/>
    <w:pPr>
      <w:jc w:val="lowKashida"/>
    </w:pPr>
    <w:rPr>
      <w:rFonts w:cs="Simplified Arabic"/>
      <w:sz w:val="20"/>
      <w:szCs w:val="20"/>
      <w:lang w:eastAsia="en-US"/>
    </w:rPr>
  </w:style>
  <w:style w:type="character" w:customStyle="1" w:styleId="BodyTextChar">
    <w:name w:val="Body Text Char"/>
    <w:basedOn w:val="DefaultParagraphFont"/>
    <w:link w:val="BodyText"/>
    <w:semiHidden/>
    <w:rsid w:val="00EC70B1"/>
    <w:rPr>
      <w:rFonts w:ascii="Times New Roman" w:eastAsia="Times New Roman" w:hAnsi="Times New Roman" w:cs="Simplified Arabic"/>
      <w:sz w:val="20"/>
      <w:szCs w:val="20"/>
    </w:rPr>
  </w:style>
  <w:style w:type="character" w:styleId="CommentReference">
    <w:name w:val="annotation reference"/>
    <w:basedOn w:val="DefaultParagraphFont"/>
    <w:uiPriority w:val="99"/>
    <w:semiHidden/>
    <w:unhideWhenUsed/>
    <w:rsid w:val="002C65B1"/>
    <w:rPr>
      <w:sz w:val="16"/>
      <w:szCs w:val="16"/>
    </w:rPr>
  </w:style>
  <w:style w:type="paragraph" w:styleId="CommentText">
    <w:name w:val="annotation text"/>
    <w:basedOn w:val="Normal"/>
    <w:link w:val="CommentTextChar"/>
    <w:uiPriority w:val="99"/>
    <w:semiHidden/>
    <w:unhideWhenUsed/>
    <w:rsid w:val="002C65B1"/>
    <w:rPr>
      <w:sz w:val="20"/>
      <w:szCs w:val="20"/>
    </w:rPr>
  </w:style>
  <w:style w:type="character" w:customStyle="1" w:styleId="CommentTextChar">
    <w:name w:val="Comment Text Char"/>
    <w:basedOn w:val="DefaultParagraphFont"/>
    <w:link w:val="CommentText"/>
    <w:uiPriority w:val="99"/>
    <w:semiHidden/>
    <w:rsid w:val="002C65B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2C65B1"/>
    <w:rPr>
      <w:b/>
      <w:bCs/>
    </w:rPr>
  </w:style>
  <w:style w:type="character" w:customStyle="1" w:styleId="CommentSubjectChar">
    <w:name w:val="Comment Subject Char"/>
    <w:basedOn w:val="CommentTextChar"/>
    <w:link w:val="CommentSubject"/>
    <w:semiHidden/>
    <w:rsid w:val="002C65B1"/>
    <w:rPr>
      <w:rFonts w:ascii="Times New Roman" w:eastAsia="Times New Roman" w:hAnsi="Times New Roman" w:cs="Times New Roman"/>
      <w:b/>
      <w:bCs/>
      <w:sz w:val="20"/>
      <w:szCs w:val="20"/>
      <w:lang w:eastAsia="ar-SA"/>
    </w:rPr>
  </w:style>
  <w:style w:type="table" w:styleId="TableGrid">
    <w:name w:val="Table Grid"/>
    <w:basedOn w:val="TableNormal"/>
    <w:uiPriority w:val="99"/>
    <w:unhideWhenUsed/>
    <w:rsid w:val="004D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F6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F6FC9"/>
    <w:rPr>
      <w:rFonts w:ascii="Courier New" w:eastAsia="Times New Roman" w:hAnsi="Courier New" w:cs="Courier New"/>
      <w:sz w:val="20"/>
      <w:szCs w:val="20"/>
    </w:rPr>
  </w:style>
  <w:style w:type="character" w:customStyle="1" w:styleId="y2iqfc">
    <w:name w:val="y2iqfc"/>
    <w:basedOn w:val="DefaultParagraphFont"/>
    <w:rsid w:val="003F6FC9"/>
  </w:style>
  <w:style w:type="paragraph" w:styleId="Revision">
    <w:name w:val="Revision"/>
    <w:hidden/>
    <w:uiPriority w:val="99"/>
    <w:semiHidden/>
    <w:rsid w:val="00BE5942"/>
    <w:pPr>
      <w:spacing w:after="0" w:line="240" w:lineRule="auto"/>
    </w:pPr>
    <w:rPr>
      <w:rFonts w:ascii="Times New Roman" w:eastAsia="Times New Roman" w:hAnsi="Times New Roman" w:cs="Times New Roman"/>
      <w:sz w:val="24"/>
      <w:szCs w:val="24"/>
      <w:lang w:eastAsia="ar-SA"/>
    </w:rPr>
  </w:style>
  <w:style w:type="character" w:styleId="Emphasis">
    <w:name w:val="Emphasis"/>
    <w:basedOn w:val="DefaultParagraphFont"/>
    <w:uiPriority w:val="20"/>
    <w:qFormat/>
    <w:rsid w:val="00723888"/>
    <w:rPr>
      <w:i/>
      <w:iCs/>
    </w:rPr>
  </w:style>
  <w:style w:type="paragraph" w:styleId="FootnoteText">
    <w:name w:val="footnote text"/>
    <w:basedOn w:val="Normal"/>
    <w:link w:val="FootnoteTextChar"/>
    <w:uiPriority w:val="99"/>
    <w:semiHidden/>
    <w:unhideWhenUsed/>
    <w:rsid w:val="00322A24"/>
    <w:rPr>
      <w:sz w:val="20"/>
      <w:szCs w:val="20"/>
    </w:rPr>
  </w:style>
  <w:style w:type="character" w:customStyle="1" w:styleId="FootnoteTextChar">
    <w:name w:val="Footnote Text Char"/>
    <w:basedOn w:val="DefaultParagraphFont"/>
    <w:link w:val="FootnoteText"/>
    <w:uiPriority w:val="99"/>
    <w:semiHidden/>
    <w:rsid w:val="00322A24"/>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322A24"/>
    <w:rPr>
      <w:vertAlign w:val="superscript"/>
    </w:rPr>
  </w:style>
  <w:style w:type="character" w:customStyle="1" w:styleId="Heading3Char">
    <w:name w:val="Heading 3 Char"/>
    <w:basedOn w:val="DefaultParagraphFont"/>
    <w:link w:val="Heading3"/>
    <w:uiPriority w:val="9"/>
    <w:rsid w:val="00CA1D56"/>
    <w:rPr>
      <w:rFonts w:ascii="Times New Roman" w:eastAsia="Times New Roman" w:hAnsi="Times New Roman" w:cs="Times New Roman"/>
      <w:b/>
      <w:bCs/>
      <w:sz w:val="27"/>
      <w:szCs w:val="27"/>
    </w:rPr>
  </w:style>
  <w:style w:type="paragraph" w:styleId="EndnoteText">
    <w:name w:val="endnote text"/>
    <w:basedOn w:val="Normal"/>
    <w:link w:val="EndnoteTextChar"/>
    <w:uiPriority w:val="99"/>
    <w:semiHidden/>
    <w:unhideWhenUsed/>
    <w:rsid w:val="004046EF"/>
    <w:rPr>
      <w:sz w:val="20"/>
      <w:szCs w:val="20"/>
    </w:rPr>
  </w:style>
  <w:style w:type="character" w:customStyle="1" w:styleId="EndnoteTextChar">
    <w:name w:val="Endnote Text Char"/>
    <w:basedOn w:val="DefaultParagraphFont"/>
    <w:link w:val="EndnoteText"/>
    <w:uiPriority w:val="99"/>
    <w:semiHidden/>
    <w:rsid w:val="004046EF"/>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4046EF"/>
    <w:rPr>
      <w:vertAlign w:val="superscript"/>
    </w:rPr>
  </w:style>
  <w:style w:type="character" w:styleId="Strong">
    <w:name w:val="Strong"/>
    <w:basedOn w:val="DefaultParagraphFont"/>
    <w:uiPriority w:val="22"/>
    <w:qFormat/>
    <w:rsid w:val="00BC008B"/>
    <w:rPr>
      <w:b/>
      <w:bCs/>
    </w:rPr>
  </w:style>
  <w:style w:type="character" w:customStyle="1" w:styleId="overflow-hidden">
    <w:name w:val="overflow-hidden"/>
    <w:basedOn w:val="DefaultParagraphFont"/>
    <w:rsid w:val="00BC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97894">
      <w:bodyDiv w:val="1"/>
      <w:marLeft w:val="0"/>
      <w:marRight w:val="0"/>
      <w:marTop w:val="0"/>
      <w:marBottom w:val="0"/>
      <w:divBdr>
        <w:top w:val="none" w:sz="0" w:space="0" w:color="auto"/>
        <w:left w:val="none" w:sz="0" w:space="0" w:color="auto"/>
        <w:bottom w:val="none" w:sz="0" w:space="0" w:color="auto"/>
        <w:right w:val="none" w:sz="0" w:space="0" w:color="auto"/>
      </w:divBdr>
    </w:div>
    <w:div w:id="120467870">
      <w:bodyDiv w:val="1"/>
      <w:marLeft w:val="0"/>
      <w:marRight w:val="0"/>
      <w:marTop w:val="0"/>
      <w:marBottom w:val="0"/>
      <w:divBdr>
        <w:top w:val="none" w:sz="0" w:space="0" w:color="auto"/>
        <w:left w:val="none" w:sz="0" w:space="0" w:color="auto"/>
        <w:bottom w:val="none" w:sz="0" w:space="0" w:color="auto"/>
        <w:right w:val="none" w:sz="0" w:space="0" w:color="auto"/>
      </w:divBdr>
    </w:div>
    <w:div w:id="676928430">
      <w:bodyDiv w:val="1"/>
      <w:marLeft w:val="0"/>
      <w:marRight w:val="0"/>
      <w:marTop w:val="0"/>
      <w:marBottom w:val="0"/>
      <w:divBdr>
        <w:top w:val="none" w:sz="0" w:space="0" w:color="auto"/>
        <w:left w:val="none" w:sz="0" w:space="0" w:color="auto"/>
        <w:bottom w:val="none" w:sz="0" w:space="0" w:color="auto"/>
        <w:right w:val="none" w:sz="0" w:space="0" w:color="auto"/>
      </w:divBdr>
    </w:div>
    <w:div w:id="763503376">
      <w:bodyDiv w:val="1"/>
      <w:marLeft w:val="0"/>
      <w:marRight w:val="0"/>
      <w:marTop w:val="0"/>
      <w:marBottom w:val="0"/>
      <w:divBdr>
        <w:top w:val="none" w:sz="0" w:space="0" w:color="auto"/>
        <w:left w:val="none" w:sz="0" w:space="0" w:color="auto"/>
        <w:bottom w:val="none" w:sz="0" w:space="0" w:color="auto"/>
        <w:right w:val="none" w:sz="0" w:space="0" w:color="auto"/>
      </w:divBdr>
    </w:div>
    <w:div w:id="805857970">
      <w:bodyDiv w:val="1"/>
      <w:marLeft w:val="0"/>
      <w:marRight w:val="0"/>
      <w:marTop w:val="0"/>
      <w:marBottom w:val="0"/>
      <w:divBdr>
        <w:top w:val="none" w:sz="0" w:space="0" w:color="auto"/>
        <w:left w:val="none" w:sz="0" w:space="0" w:color="auto"/>
        <w:bottom w:val="none" w:sz="0" w:space="0" w:color="auto"/>
        <w:right w:val="none" w:sz="0" w:space="0" w:color="auto"/>
      </w:divBdr>
      <w:divsChild>
        <w:div w:id="800920612">
          <w:marLeft w:val="0"/>
          <w:marRight w:val="0"/>
          <w:marTop w:val="0"/>
          <w:marBottom w:val="0"/>
          <w:divBdr>
            <w:top w:val="none" w:sz="0" w:space="0" w:color="auto"/>
            <w:left w:val="none" w:sz="0" w:space="0" w:color="auto"/>
            <w:bottom w:val="none" w:sz="0" w:space="0" w:color="auto"/>
            <w:right w:val="none" w:sz="0" w:space="0" w:color="auto"/>
          </w:divBdr>
          <w:divsChild>
            <w:div w:id="595283668">
              <w:marLeft w:val="0"/>
              <w:marRight w:val="0"/>
              <w:marTop w:val="0"/>
              <w:marBottom w:val="0"/>
              <w:divBdr>
                <w:top w:val="none" w:sz="0" w:space="0" w:color="auto"/>
                <w:left w:val="none" w:sz="0" w:space="0" w:color="auto"/>
                <w:bottom w:val="none" w:sz="0" w:space="0" w:color="auto"/>
                <w:right w:val="none" w:sz="0" w:space="0" w:color="auto"/>
              </w:divBdr>
              <w:divsChild>
                <w:div w:id="1697802575">
                  <w:marLeft w:val="0"/>
                  <w:marRight w:val="0"/>
                  <w:marTop w:val="0"/>
                  <w:marBottom w:val="0"/>
                  <w:divBdr>
                    <w:top w:val="none" w:sz="0" w:space="0" w:color="auto"/>
                    <w:left w:val="none" w:sz="0" w:space="0" w:color="auto"/>
                    <w:bottom w:val="none" w:sz="0" w:space="0" w:color="auto"/>
                    <w:right w:val="none" w:sz="0" w:space="0" w:color="auto"/>
                  </w:divBdr>
                  <w:divsChild>
                    <w:div w:id="645817043">
                      <w:marLeft w:val="0"/>
                      <w:marRight w:val="0"/>
                      <w:marTop w:val="0"/>
                      <w:marBottom w:val="0"/>
                      <w:divBdr>
                        <w:top w:val="none" w:sz="0" w:space="0" w:color="auto"/>
                        <w:left w:val="none" w:sz="0" w:space="0" w:color="auto"/>
                        <w:bottom w:val="none" w:sz="0" w:space="0" w:color="auto"/>
                        <w:right w:val="none" w:sz="0" w:space="0" w:color="auto"/>
                      </w:divBdr>
                      <w:divsChild>
                        <w:div w:id="830414978">
                          <w:marLeft w:val="0"/>
                          <w:marRight w:val="0"/>
                          <w:marTop w:val="0"/>
                          <w:marBottom w:val="0"/>
                          <w:divBdr>
                            <w:top w:val="none" w:sz="0" w:space="0" w:color="auto"/>
                            <w:left w:val="none" w:sz="0" w:space="0" w:color="auto"/>
                            <w:bottom w:val="none" w:sz="0" w:space="0" w:color="auto"/>
                            <w:right w:val="none" w:sz="0" w:space="0" w:color="auto"/>
                          </w:divBdr>
                          <w:divsChild>
                            <w:div w:id="502284100">
                              <w:marLeft w:val="0"/>
                              <w:marRight w:val="0"/>
                              <w:marTop w:val="0"/>
                              <w:marBottom w:val="0"/>
                              <w:divBdr>
                                <w:top w:val="none" w:sz="0" w:space="0" w:color="auto"/>
                                <w:left w:val="none" w:sz="0" w:space="0" w:color="auto"/>
                                <w:bottom w:val="none" w:sz="0" w:space="0" w:color="auto"/>
                                <w:right w:val="none" w:sz="0" w:space="0" w:color="auto"/>
                              </w:divBdr>
                              <w:divsChild>
                                <w:div w:id="1850558693">
                                  <w:marLeft w:val="0"/>
                                  <w:marRight w:val="0"/>
                                  <w:marTop w:val="0"/>
                                  <w:marBottom w:val="0"/>
                                  <w:divBdr>
                                    <w:top w:val="none" w:sz="0" w:space="0" w:color="auto"/>
                                    <w:left w:val="none" w:sz="0" w:space="0" w:color="auto"/>
                                    <w:bottom w:val="none" w:sz="0" w:space="0" w:color="auto"/>
                                    <w:right w:val="none" w:sz="0" w:space="0" w:color="auto"/>
                                  </w:divBdr>
                                  <w:divsChild>
                                    <w:div w:id="973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6762">
                          <w:marLeft w:val="0"/>
                          <w:marRight w:val="0"/>
                          <w:marTop w:val="0"/>
                          <w:marBottom w:val="0"/>
                          <w:divBdr>
                            <w:top w:val="none" w:sz="0" w:space="0" w:color="auto"/>
                            <w:left w:val="none" w:sz="0" w:space="0" w:color="auto"/>
                            <w:bottom w:val="none" w:sz="0" w:space="0" w:color="auto"/>
                            <w:right w:val="none" w:sz="0" w:space="0" w:color="auto"/>
                          </w:divBdr>
                          <w:divsChild>
                            <w:div w:id="1892811219">
                              <w:marLeft w:val="0"/>
                              <w:marRight w:val="0"/>
                              <w:marTop w:val="0"/>
                              <w:marBottom w:val="0"/>
                              <w:divBdr>
                                <w:top w:val="none" w:sz="0" w:space="0" w:color="auto"/>
                                <w:left w:val="none" w:sz="0" w:space="0" w:color="auto"/>
                                <w:bottom w:val="none" w:sz="0" w:space="0" w:color="auto"/>
                                <w:right w:val="none" w:sz="0" w:space="0" w:color="auto"/>
                              </w:divBdr>
                              <w:divsChild>
                                <w:div w:id="6146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446881">
      <w:bodyDiv w:val="1"/>
      <w:marLeft w:val="0"/>
      <w:marRight w:val="0"/>
      <w:marTop w:val="0"/>
      <w:marBottom w:val="0"/>
      <w:divBdr>
        <w:top w:val="none" w:sz="0" w:space="0" w:color="auto"/>
        <w:left w:val="none" w:sz="0" w:space="0" w:color="auto"/>
        <w:bottom w:val="none" w:sz="0" w:space="0" w:color="auto"/>
        <w:right w:val="none" w:sz="0" w:space="0" w:color="auto"/>
      </w:divBdr>
    </w:div>
    <w:div w:id="982471328">
      <w:bodyDiv w:val="1"/>
      <w:marLeft w:val="0"/>
      <w:marRight w:val="0"/>
      <w:marTop w:val="0"/>
      <w:marBottom w:val="0"/>
      <w:divBdr>
        <w:top w:val="none" w:sz="0" w:space="0" w:color="auto"/>
        <w:left w:val="none" w:sz="0" w:space="0" w:color="auto"/>
        <w:bottom w:val="none" w:sz="0" w:space="0" w:color="auto"/>
        <w:right w:val="none" w:sz="0" w:space="0" w:color="auto"/>
      </w:divBdr>
    </w:div>
    <w:div w:id="1071075716">
      <w:bodyDiv w:val="1"/>
      <w:marLeft w:val="0"/>
      <w:marRight w:val="0"/>
      <w:marTop w:val="0"/>
      <w:marBottom w:val="0"/>
      <w:divBdr>
        <w:top w:val="none" w:sz="0" w:space="0" w:color="auto"/>
        <w:left w:val="none" w:sz="0" w:space="0" w:color="auto"/>
        <w:bottom w:val="none" w:sz="0" w:space="0" w:color="auto"/>
        <w:right w:val="none" w:sz="0" w:space="0" w:color="auto"/>
      </w:divBdr>
    </w:div>
    <w:div w:id="1235435934">
      <w:bodyDiv w:val="1"/>
      <w:marLeft w:val="0"/>
      <w:marRight w:val="0"/>
      <w:marTop w:val="0"/>
      <w:marBottom w:val="0"/>
      <w:divBdr>
        <w:top w:val="none" w:sz="0" w:space="0" w:color="auto"/>
        <w:left w:val="none" w:sz="0" w:space="0" w:color="auto"/>
        <w:bottom w:val="none" w:sz="0" w:space="0" w:color="auto"/>
        <w:right w:val="none" w:sz="0" w:space="0" w:color="auto"/>
      </w:divBdr>
    </w:div>
    <w:div w:id="1498616862">
      <w:bodyDiv w:val="1"/>
      <w:marLeft w:val="0"/>
      <w:marRight w:val="0"/>
      <w:marTop w:val="0"/>
      <w:marBottom w:val="0"/>
      <w:divBdr>
        <w:top w:val="none" w:sz="0" w:space="0" w:color="auto"/>
        <w:left w:val="none" w:sz="0" w:space="0" w:color="auto"/>
        <w:bottom w:val="none" w:sz="0" w:space="0" w:color="auto"/>
        <w:right w:val="none" w:sz="0" w:space="0" w:color="auto"/>
      </w:divBdr>
    </w:div>
    <w:div w:id="1645087906">
      <w:bodyDiv w:val="1"/>
      <w:marLeft w:val="0"/>
      <w:marRight w:val="0"/>
      <w:marTop w:val="0"/>
      <w:marBottom w:val="0"/>
      <w:divBdr>
        <w:top w:val="none" w:sz="0" w:space="0" w:color="auto"/>
        <w:left w:val="none" w:sz="0" w:space="0" w:color="auto"/>
        <w:bottom w:val="none" w:sz="0" w:space="0" w:color="auto"/>
        <w:right w:val="none" w:sz="0" w:space="0" w:color="auto"/>
      </w:divBdr>
    </w:div>
    <w:div w:id="18747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i="0" u="none" strike="noStrike" baseline="0">
                <a:effectLst/>
                <a:latin typeface="Times New Roman" panose="02020603050405020304" pitchFamily="18" charset="0"/>
                <a:cs typeface="Times New Roman" panose="02020603050405020304" pitchFamily="18" charset="0"/>
              </a:rPr>
              <a:t>Price of Drinking Water in Gaza Strip that Distributed by Tankers During 2023-2024 </a:t>
            </a:r>
            <a:endParaRPr lang="en-US" sz="9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252708418460316"/>
          <c:y val="0.23887500065602219"/>
          <c:w val="0.78000795132025047"/>
          <c:h val="0.54333822580109059"/>
        </c:manualLayout>
      </c:layout>
      <c:barChart>
        <c:barDir val="col"/>
        <c:grouping val="clustered"/>
        <c:varyColors val="0"/>
        <c:ser>
          <c:idx val="0"/>
          <c:order val="0"/>
          <c:tx>
            <c:strRef>
              <c:f>Sheet1!$B$1</c:f>
              <c:strCache>
                <c:ptCount val="1"/>
                <c:pt idx="0">
                  <c:v>2023</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one cubic meter  of water (1000 lit)</c:v>
                </c:pt>
                <c:pt idx="1">
                  <c:v>0.5 cubic meter  of water (500 lit)</c:v>
                </c:pt>
              </c:strCache>
            </c:strRef>
          </c:cat>
          <c:val>
            <c:numRef>
              <c:f>Sheet1!$B$2:$B$3</c:f>
              <c:numCache>
                <c:formatCode>General</c:formatCode>
                <c:ptCount val="2"/>
                <c:pt idx="0">
                  <c:v>30</c:v>
                </c:pt>
                <c:pt idx="1">
                  <c:v>17</c:v>
                </c:pt>
              </c:numCache>
            </c:numRef>
          </c:val>
          <c:extLst>
            <c:ext xmlns:c16="http://schemas.microsoft.com/office/drawing/2014/chart" uri="{C3380CC4-5D6E-409C-BE32-E72D297353CC}">
              <c16:uniqueId val="{00000000-A8DE-41A1-A27A-328D1FA90FA0}"/>
            </c:ext>
          </c:extLst>
        </c:ser>
        <c:ser>
          <c:idx val="1"/>
          <c:order val="1"/>
          <c:tx>
            <c:strRef>
              <c:f>Sheet1!$C$1</c:f>
              <c:strCache>
                <c:ptCount val="1"/>
                <c:pt idx="0">
                  <c:v>2024</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A8DE-41A1-A27A-328D1FA90FA0}"/>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0-7566-40D3-BC44-971FE9F94735}"/>
              </c:ext>
            </c:extLst>
          </c:dPt>
          <c:dLbls>
            <c:dLbl>
              <c:idx val="0"/>
              <c:layout>
                <c:manualLayout>
                  <c:x val="0"/>
                  <c:y val="1.8761726078799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DE-41A1-A27A-328D1FA90F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one cubic meter  of water (1000 lit)</c:v>
                </c:pt>
                <c:pt idx="1">
                  <c:v>0.5 cubic meter  of water (500 lit)</c:v>
                </c:pt>
              </c:strCache>
            </c:strRef>
          </c:cat>
          <c:val>
            <c:numRef>
              <c:f>Sheet1!$C$2:$C$3</c:f>
              <c:numCache>
                <c:formatCode>General</c:formatCode>
                <c:ptCount val="2"/>
                <c:pt idx="0">
                  <c:v>160.4</c:v>
                </c:pt>
                <c:pt idx="1">
                  <c:v>80.2</c:v>
                </c:pt>
              </c:numCache>
            </c:numRef>
          </c:val>
          <c:extLst>
            <c:ext xmlns:c16="http://schemas.microsoft.com/office/drawing/2014/chart" uri="{C3380CC4-5D6E-409C-BE32-E72D297353CC}">
              <c16:uniqueId val="{00000002-A8DE-41A1-A27A-328D1FA90FA0}"/>
            </c:ext>
          </c:extLst>
        </c:ser>
        <c:dLbls>
          <c:showLegendKey val="0"/>
          <c:showVal val="0"/>
          <c:showCatName val="0"/>
          <c:showSerName val="0"/>
          <c:showPercent val="0"/>
          <c:showBubbleSize val="0"/>
        </c:dLbls>
        <c:gapWidth val="219"/>
        <c:overlap val="-27"/>
        <c:axId val="365194272"/>
        <c:axId val="365192960"/>
      </c:barChart>
      <c:catAx>
        <c:axId val="365194272"/>
        <c:scaling>
          <c:orientation val="minMax"/>
        </c:scaling>
        <c:delete val="0"/>
        <c:axPos val="b"/>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5192960"/>
        <c:crosses val="autoZero"/>
        <c:auto val="1"/>
        <c:lblAlgn val="ctr"/>
        <c:lblOffset val="100"/>
        <c:noMultiLvlLbl val="0"/>
      </c:catAx>
      <c:valAx>
        <c:axId val="3651929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NIS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194272"/>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AEDE-DE41-41AF-816D-20A8DBE7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1747</Words>
  <Characters>9959</Characters>
  <Application>Microsoft Office Word</Application>
  <DocSecurity>0</DocSecurity>
  <Lines>82</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hbadran;DMASAD</dc:creator>
  <cp:lastModifiedBy>Hadeel Badran</cp:lastModifiedBy>
  <cp:revision>3</cp:revision>
  <cp:lastPrinted>2025-05-28T06:09:00Z</cp:lastPrinted>
  <dcterms:created xsi:type="dcterms:W3CDTF">2025-06-01T07:01:00Z</dcterms:created>
  <dcterms:modified xsi:type="dcterms:W3CDTF">2025-06-01T07:11:00Z</dcterms:modified>
</cp:coreProperties>
</file>