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1FB" w:rsidRPr="00FE243C" w:rsidRDefault="005931FB" w:rsidP="005931FB">
      <w:pPr>
        <w:keepNext/>
        <w:tabs>
          <w:tab w:val="right" w:pos="567"/>
        </w:tabs>
        <w:bidi w:val="0"/>
        <w:spacing w:after="0" w:line="240" w:lineRule="auto"/>
        <w:jc w:val="center"/>
        <w:outlineLvl w:val="4"/>
        <w:rPr>
          <w:rFonts w:ascii="Times New Roman" w:eastAsia="Times New Roman" w:hAnsi="Times New Roman" w:cs="Times New Roman"/>
          <w:b/>
          <w:bCs/>
          <w:snapToGrid w:val="0"/>
          <w:sz w:val="32"/>
          <w:szCs w:val="32"/>
        </w:rPr>
      </w:pPr>
      <w:r w:rsidRPr="00FE243C">
        <w:rPr>
          <w:rFonts w:ascii="Times New Roman" w:eastAsia="Times New Roman" w:hAnsi="Times New Roman" w:cs="Times New Roman"/>
          <w:b/>
          <w:bCs/>
          <w:snapToGrid w:val="0"/>
          <w:sz w:val="32"/>
          <w:szCs w:val="32"/>
        </w:rPr>
        <w:t>Palestinian Central Bureau of Statistics (PCBS)</w:t>
      </w:r>
    </w:p>
    <w:p w:rsidR="005931FB" w:rsidRPr="00D232EE" w:rsidRDefault="005931FB" w:rsidP="005931FB">
      <w:pPr>
        <w:spacing w:after="0" w:line="240" w:lineRule="auto"/>
        <w:jc w:val="center"/>
        <w:rPr>
          <w:rFonts w:ascii="Times New Roman" w:eastAsia="Times New Roman" w:hAnsi="Times New Roman" w:cs="Times New Roman" w:hint="cs"/>
          <w:snapToGrid w:val="0"/>
          <w:sz w:val="14"/>
          <w:szCs w:val="14"/>
        </w:rPr>
      </w:pPr>
    </w:p>
    <w:p w:rsidR="005931FB" w:rsidRPr="00D232EE" w:rsidRDefault="005931FB" w:rsidP="005931FB">
      <w:pPr>
        <w:keepNext/>
        <w:widowControl w:val="0"/>
        <w:spacing w:after="0" w:line="240" w:lineRule="auto"/>
        <w:jc w:val="center"/>
        <w:outlineLvl w:val="5"/>
        <w:rPr>
          <w:rFonts w:asciiTheme="majorBidi" w:hAnsiTheme="majorBidi" w:cstheme="majorBidi"/>
          <w:b/>
          <w:bCs/>
          <w:sz w:val="28"/>
          <w:szCs w:val="28"/>
          <w:rtl/>
          <w:lang w:val="en-GB"/>
        </w:rPr>
      </w:pPr>
      <w:r w:rsidRPr="00D232EE">
        <w:rPr>
          <w:rFonts w:ascii="Times New Roman" w:eastAsia="Times New Roman" w:hAnsi="Times New Roman" w:cs="Times New Roman"/>
          <w:b/>
          <w:bCs/>
          <w:snapToGrid w:val="0"/>
          <w:sz w:val="28"/>
          <w:szCs w:val="28"/>
        </w:rPr>
        <w:t xml:space="preserve">On the Occasion of the </w:t>
      </w:r>
      <w:r w:rsidRPr="00D232EE">
        <w:rPr>
          <w:rFonts w:asciiTheme="majorBidi" w:hAnsiTheme="majorBidi" w:cstheme="majorBidi"/>
          <w:b/>
          <w:bCs/>
          <w:sz w:val="28"/>
          <w:szCs w:val="28"/>
          <w:lang w:val="en-GB"/>
        </w:rPr>
        <w:t>World Health Day, 07/04/2023</w:t>
      </w:r>
    </w:p>
    <w:p w:rsidR="005931FB" w:rsidRPr="005931FB" w:rsidRDefault="005931FB" w:rsidP="005931FB">
      <w:pPr>
        <w:bidi w:val="0"/>
        <w:spacing w:line="240" w:lineRule="auto"/>
        <w:rPr>
          <w:rFonts w:asciiTheme="majorBidi" w:hAnsiTheme="majorBidi" w:cstheme="majorBidi"/>
          <w:b/>
          <w:bCs/>
          <w:sz w:val="16"/>
          <w:szCs w:val="16"/>
        </w:rPr>
      </w:pPr>
    </w:p>
    <w:p w:rsidR="008D7D2D" w:rsidRPr="00FE243C" w:rsidRDefault="008D7D2D" w:rsidP="005931FB">
      <w:pPr>
        <w:bidi w:val="0"/>
        <w:spacing w:after="0" w:line="240" w:lineRule="auto"/>
        <w:rPr>
          <w:rFonts w:asciiTheme="majorBidi" w:hAnsiTheme="majorBidi" w:cstheme="majorBidi"/>
          <w:b/>
          <w:bCs/>
          <w:sz w:val="28"/>
          <w:szCs w:val="28"/>
          <w:lang w:val="en-GB"/>
        </w:rPr>
      </w:pPr>
      <w:r w:rsidRPr="00FE243C">
        <w:rPr>
          <w:rFonts w:asciiTheme="majorBidi" w:hAnsiTheme="majorBidi" w:cstheme="majorBidi"/>
          <w:b/>
          <w:bCs/>
          <w:sz w:val="28"/>
          <w:szCs w:val="28"/>
          <w:lang w:val="en-GB"/>
        </w:rPr>
        <w:t>Health services in Palestine</w:t>
      </w:r>
    </w:p>
    <w:p w:rsidR="00322EF2" w:rsidRPr="005931FB" w:rsidRDefault="008D7D2D" w:rsidP="005931FB">
      <w:pPr>
        <w:bidi w:val="0"/>
        <w:spacing w:after="0" w:line="240" w:lineRule="auto"/>
        <w:jc w:val="both"/>
        <w:rPr>
          <w:rFonts w:asciiTheme="majorBidi" w:hAnsiTheme="majorBidi" w:cstheme="majorBidi"/>
          <w:sz w:val="26"/>
          <w:szCs w:val="26"/>
          <w:lang w:val="en-GB"/>
        </w:rPr>
      </w:pPr>
      <w:r w:rsidRPr="005931FB">
        <w:rPr>
          <w:rFonts w:asciiTheme="majorBidi" w:hAnsiTheme="majorBidi" w:cstheme="majorBidi"/>
          <w:sz w:val="26"/>
          <w:szCs w:val="26"/>
          <w:lang w:val="en-GB"/>
        </w:rPr>
        <w:t>Four main sectors supervise the provision of health services in Palestine</w:t>
      </w:r>
      <w:r w:rsidR="0004703D" w:rsidRPr="005931FB">
        <w:rPr>
          <w:rFonts w:asciiTheme="majorBidi" w:hAnsiTheme="majorBidi" w:cstheme="majorBidi"/>
          <w:sz w:val="26"/>
          <w:szCs w:val="26"/>
          <w:lang w:val="en-GB"/>
        </w:rPr>
        <w:t>; the g</w:t>
      </w:r>
      <w:r w:rsidRPr="005931FB">
        <w:rPr>
          <w:rFonts w:asciiTheme="majorBidi" w:hAnsiTheme="majorBidi" w:cstheme="majorBidi"/>
          <w:sz w:val="26"/>
          <w:szCs w:val="26"/>
          <w:lang w:val="en-GB"/>
        </w:rPr>
        <w:t xml:space="preserve">overnment health sector (Ministry of Health and Military Medical Services), UNRWA, NGOs and the private sector. These sectors played a complementary role in improving health services and the health situation in Palestine over the past decade. The number of primary health care centres increased from 706 centres in 2010 to reach 765 centres in 2021. The Ministry of Health bears the greatest burden, as 64% of the primary centres are affiliated to the Ministry of Health, followed by NGOs </w:t>
      </w:r>
      <w:r w:rsidR="00F066EC" w:rsidRPr="005931FB">
        <w:rPr>
          <w:rFonts w:asciiTheme="majorBidi" w:hAnsiTheme="majorBidi" w:cstheme="majorBidi"/>
          <w:sz w:val="26"/>
          <w:szCs w:val="26"/>
          <w:lang w:val="en-GB"/>
        </w:rPr>
        <w:t xml:space="preserve">by </w:t>
      </w:r>
      <w:r w:rsidRPr="005931FB">
        <w:rPr>
          <w:rFonts w:asciiTheme="majorBidi" w:hAnsiTheme="majorBidi" w:cstheme="majorBidi"/>
          <w:sz w:val="26"/>
          <w:szCs w:val="26"/>
          <w:lang w:val="en-GB"/>
        </w:rPr>
        <w:t>25%</w:t>
      </w:r>
      <w:r w:rsidR="00434806" w:rsidRPr="005931FB">
        <w:rPr>
          <w:rFonts w:asciiTheme="majorBidi" w:hAnsiTheme="majorBidi" w:cstheme="majorBidi"/>
          <w:sz w:val="26"/>
          <w:szCs w:val="26"/>
          <w:lang w:val="en-GB"/>
        </w:rPr>
        <w:t>, UNRWA by 9% and Military Medical Services by 2%</w:t>
      </w:r>
      <w:r w:rsidRPr="005931FB">
        <w:rPr>
          <w:rFonts w:asciiTheme="majorBidi" w:hAnsiTheme="majorBidi" w:cstheme="majorBidi"/>
          <w:sz w:val="26"/>
          <w:szCs w:val="26"/>
          <w:lang w:val="en-GB"/>
        </w:rPr>
        <w:t>. The number of hospitals also increased from 76 in 2010</w:t>
      </w:r>
      <w:r w:rsidR="00F066EC" w:rsidRPr="005931FB">
        <w:rPr>
          <w:rFonts w:asciiTheme="majorBidi" w:hAnsiTheme="majorBidi" w:cstheme="majorBidi"/>
          <w:sz w:val="26"/>
          <w:szCs w:val="26"/>
          <w:lang w:val="en-GB"/>
        </w:rPr>
        <w:t>,</w:t>
      </w:r>
      <w:r w:rsidRPr="005931FB">
        <w:rPr>
          <w:rFonts w:asciiTheme="majorBidi" w:hAnsiTheme="majorBidi" w:cstheme="majorBidi"/>
          <w:sz w:val="26"/>
          <w:szCs w:val="26"/>
          <w:lang w:val="en-GB"/>
        </w:rPr>
        <w:t xml:space="preserve"> </w:t>
      </w:r>
      <w:r w:rsidR="00F066EC" w:rsidRPr="005931FB">
        <w:rPr>
          <w:rFonts w:asciiTheme="majorBidi" w:hAnsiTheme="majorBidi" w:cstheme="majorBidi"/>
          <w:sz w:val="26"/>
          <w:szCs w:val="26"/>
          <w:lang w:val="en-GB"/>
        </w:rPr>
        <w:t xml:space="preserve">distributed </w:t>
      </w:r>
      <w:r w:rsidRPr="005931FB">
        <w:rPr>
          <w:rFonts w:asciiTheme="majorBidi" w:hAnsiTheme="majorBidi" w:cstheme="majorBidi"/>
          <w:sz w:val="26"/>
          <w:szCs w:val="26"/>
          <w:lang w:val="en-GB"/>
        </w:rPr>
        <w:t xml:space="preserve">to 51 hospitals in the West Bank and 25 in Gaza Strip, </w:t>
      </w:r>
      <w:r w:rsidR="00F066EC" w:rsidRPr="005931FB">
        <w:rPr>
          <w:rFonts w:asciiTheme="majorBidi" w:hAnsiTheme="majorBidi" w:cstheme="majorBidi"/>
          <w:sz w:val="26"/>
          <w:szCs w:val="26"/>
          <w:lang w:val="en-GB"/>
        </w:rPr>
        <w:t>reaching</w:t>
      </w:r>
      <w:r w:rsidRPr="005931FB">
        <w:rPr>
          <w:rFonts w:asciiTheme="majorBidi" w:hAnsiTheme="majorBidi" w:cstheme="majorBidi"/>
          <w:sz w:val="26"/>
          <w:szCs w:val="26"/>
          <w:lang w:val="en-GB"/>
        </w:rPr>
        <w:t xml:space="preserve"> 89 hospitals in 2021</w:t>
      </w:r>
      <w:r w:rsidR="00F066EC" w:rsidRPr="005931FB">
        <w:rPr>
          <w:rFonts w:asciiTheme="majorBidi" w:hAnsiTheme="majorBidi" w:cstheme="majorBidi"/>
          <w:sz w:val="26"/>
          <w:szCs w:val="26"/>
          <w:lang w:val="en-GB"/>
        </w:rPr>
        <w:t xml:space="preserve"> (</w:t>
      </w:r>
      <w:r w:rsidRPr="005931FB">
        <w:rPr>
          <w:rFonts w:asciiTheme="majorBidi" w:hAnsiTheme="majorBidi" w:cstheme="majorBidi"/>
          <w:sz w:val="26"/>
          <w:szCs w:val="26"/>
          <w:lang w:val="en-GB"/>
        </w:rPr>
        <w:t>54 hospitals in the West Bank and 35 in Gaza Strip</w:t>
      </w:r>
      <w:r w:rsidR="00F066EC" w:rsidRPr="005931FB">
        <w:rPr>
          <w:rFonts w:asciiTheme="majorBidi" w:hAnsiTheme="majorBidi" w:cstheme="majorBidi"/>
          <w:sz w:val="26"/>
          <w:szCs w:val="26"/>
          <w:lang w:val="en-GB"/>
        </w:rPr>
        <w:t>)</w:t>
      </w:r>
      <w:r w:rsidRPr="005931FB">
        <w:rPr>
          <w:rFonts w:asciiTheme="majorBidi" w:hAnsiTheme="majorBidi" w:cstheme="majorBidi"/>
          <w:sz w:val="26"/>
          <w:szCs w:val="26"/>
          <w:lang w:val="en-GB"/>
        </w:rPr>
        <w:t xml:space="preserve">. </w:t>
      </w:r>
      <w:r w:rsidR="00322EF2" w:rsidRPr="005931FB">
        <w:rPr>
          <w:rFonts w:asciiTheme="majorBidi" w:hAnsiTheme="majorBidi" w:cstheme="majorBidi"/>
          <w:sz w:val="26"/>
          <w:szCs w:val="26"/>
          <w:lang w:val="en-GB"/>
        </w:rPr>
        <w:t xml:space="preserve">The total number of </w:t>
      </w:r>
      <w:r w:rsidR="005F24E5" w:rsidRPr="005931FB">
        <w:rPr>
          <w:rFonts w:asciiTheme="majorBidi" w:hAnsiTheme="majorBidi" w:cstheme="majorBidi"/>
          <w:sz w:val="26"/>
          <w:szCs w:val="26"/>
        </w:rPr>
        <w:t xml:space="preserve">hospital </w:t>
      </w:r>
      <w:r w:rsidR="00322EF2" w:rsidRPr="005931FB">
        <w:rPr>
          <w:rFonts w:asciiTheme="majorBidi" w:hAnsiTheme="majorBidi" w:cstheme="majorBidi"/>
          <w:sz w:val="26"/>
          <w:szCs w:val="26"/>
          <w:lang w:val="en-GB"/>
        </w:rPr>
        <w:t xml:space="preserve">beds in Palestine </w:t>
      </w:r>
      <w:r w:rsidR="003C6964" w:rsidRPr="005931FB">
        <w:rPr>
          <w:rFonts w:asciiTheme="majorBidi" w:hAnsiTheme="majorBidi" w:cstheme="majorBidi"/>
          <w:sz w:val="26"/>
          <w:szCs w:val="26"/>
          <w:lang w:val="en-GB"/>
        </w:rPr>
        <w:t xml:space="preserve">in 2021 </w:t>
      </w:r>
      <w:r w:rsidR="00322EF2" w:rsidRPr="005931FB">
        <w:rPr>
          <w:rFonts w:asciiTheme="majorBidi" w:hAnsiTheme="majorBidi" w:cstheme="majorBidi"/>
          <w:sz w:val="26"/>
          <w:szCs w:val="26"/>
          <w:lang w:val="en-GB"/>
        </w:rPr>
        <w:t>was 7,296 beds</w:t>
      </w:r>
      <w:r w:rsidR="005F24E5" w:rsidRPr="005931FB">
        <w:rPr>
          <w:rFonts w:asciiTheme="majorBidi" w:hAnsiTheme="majorBidi" w:cstheme="majorBidi"/>
          <w:sz w:val="26"/>
          <w:szCs w:val="26"/>
          <w:lang w:val="en-GB"/>
        </w:rPr>
        <w:t xml:space="preserve"> (</w:t>
      </w:r>
      <w:r w:rsidR="00322EF2" w:rsidRPr="005931FB">
        <w:rPr>
          <w:rFonts w:asciiTheme="majorBidi" w:hAnsiTheme="majorBidi" w:cstheme="majorBidi"/>
          <w:sz w:val="26"/>
          <w:szCs w:val="26"/>
          <w:lang w:val="en-GB"/>
        </w:rPr>
        <w:t xml:space="preserve">4,270 in </w:t>
      </w:r>
      <w:r w:rsidR="005F24E5" w:rsidRPr="005931FB">
        <w:rPr>
          <w:rFonts w:asciiTheme="majorBidi" w:hAnsiTheme="majorBidi" w:cstheme="majorBidi"/>
          <w:sz w:val="26"/>
          <w:szCs w:val="26"/>
          <w:lang w:val="en-GB"/>
        </w:rPr>
        <w:t xml:space="preserve">the </w:t>
      </w:r>
      <w:r w:rsidR="00322EF2" w:rsidRPr="005931FB">
        <w:rPr>
          <w:rFonts w:asciiTheme="majorBidi" w:hAnsiTheme="majorBidi" w:cstheme="majorBidi"/>
          <w:sz w:val="26"/>
          <w:szCs w:val="26"/>
          <w:lang w:val="en-GB"/>
        </w:rPr>
        <w:t>West Bank and 3,026 in Gaza Strip</w:t>
      </w:r>
      <w:r w:rsidR="005F24E5" w:rsidRPr="005931FB">
        <w:rPr>
          <w:rFonts w:asciiTheme="majorBidi" w:hAnsiTheme="majorBidi" w:cstheme="majorBidi"/>
          <w:sz w:val="26"/>
          <w:szCs w:val="26"/>
          <w:lang w:val="en-GB"/>
        </w:rPr>
        <w:t>)</w:t>
      </w:r>
      <w:r w:rsidR="00322EF2" w:rsidRPr="005931FB">
        <w:rPr>
          <w:rFonts w:asciiTheme="majorBidi" w:hAnsiTheme="majorBidi" w:cstheme="majorBidi"/>
          <w:sz w:val="26"/>
          <w:szCs w:val="26"/>
          <w:lang w:val="en-GB"/>
        </w:rPr>
        <w:t>.</w:t>
      </w:r>
    </w:p>
    <w:p w:rsidR="00A64C3F" w:rsidRPr="005931FB" w:rsidRDefault="00A64C3F" w:rsidP="005931FB">
      <w:pPr>
        <w:bidi w:val="0"/>
        <w:spacing w:line="240" w:lineRule="auto"/>
        <w:jc w:val="both"/>
        <w:rPr>
          <w:rFonts w:asciiTheme="majorBidi" w:hAnsiTheme="majorBidi" w:cstheme="majorBidi"/>
          <w:sz w:val="16"/>
          <w:szCs w:val="16"/>
          <w:lang w:val="en-GB"/>
        </w:rPr>
      </w:pPr>
    </w:p>
    <w:p w:rsidR="002A3F2D" w:rsidRPr="005931FB" w:rsidRDefault="002A3F2D" w:rsidP="005931FB">
      <w:pPr>
        <w:bidi w:val="0"/>
        <w:spacing w:after="0" w:line="240" w:lineRule="auto"/>
        <w:jc w:val="both"/>
        <w:rPr>
          <w:rFonts w:asciiTheme="majorBidi" w:hAnsiTheme="majorBidi" w:cstheme="majorBidi"/>
          <w:sz w:val="26"/>
          <w:szCs w:val="26"/>
        </w:rPr>
      </w:pPr>
      <w:r w:rsidRPr="005931FB">
        <w:rPr>
          <w:rFonts w:asciiTheme="majorBidi" w:hAnsiTheme="majorBidi" w:cstheme="majorBidi"/>
          <w:sz w:val="26"/>
          <w:szCs w:val="26"/>
          <w:lang w:val="en-GB"/>
        </w:rPr>
        <w:t xml:space="preserve">Health forces play a major role in improving health status and increasing access to required health services. Since 2010, the number of physicians registered </w:t>
      </w:r>
      <w:r w:rsidRPr="005931FB">
        <w:rPr>
          <w:rFonts w:asciiTheme="majorBidi" w:hAnsiTheme="majorBidi" w:cstheme="majorBidi"/>
          <w:sz w:val="26"/>
          <w:szCs w:val="26"/>
        </w:rPr>
        <w:t xml:space="preserve">in the </w:t>
      </w:r>
      <w:r w:rsidR="00A9459C" w:rsidRPr="005931FB">
        <w:rPr>
          <w:rFonts w:asciiTheme="majorBidi" w:hAnsiTheme="majorBidi" w:cstheme="majorBidi"/>
          <w:sz w:val="26"/>
          <w:szCs w:val="26"/>
        </w:rPr>
        <w:t>Medical</w:t>
      </w:r>
      <w:r w:rsidR="00A9459C" w:rsidRPr="005931FB">
        <w:rPr>
          <w:rFonts w:asciiTheme="majorBidi" w:hAnsiTheme="majorBidi" w:cstheme="majorBidi"/>
          <w:sz w:val="26"/>
          <w:szCs w:val="26"/>
          <w:lang w:val="en-GB"/>
        </w:rPr>
        <w:t xml:space="preserve"> </w:t>
      </w:r>
      <w:r w:rsidRPr="005931FB">
        <w:rPr>
          <w:rFonts w:asciiTheme="majorBidi" w:hAnsiTheme="majorBidi" w:cstheme="majorBidi"/>
          <w:sz w:val="26"/>
          <w:szCs w:val="26"/>
          <w:lang w:val="en-GB"/>
        </w:rPr>
        <w:t>Association increased from 6,</w:t>
      </w:r>
      <w:r w:rsidR="00322EF2" w:rsidRPr="005931FB">
        <w:rPr>
          <w:rFonts w:asciiTheme="majorBidi" w:hAnsiTheme="majorBidi" w:cstheme="majorBidi"/>
          <w:sz w:val="26"/>
          <w:szCs w:val="26"/>
          <w:lang w:val="en-GB"/>
        </w:rPr>
        <w:t>764 physicians to 14,054 in 2021</w:t>
      </w:r>
      <w:r w:rsidR="00914B91" w:rsidRPr="005931FB">
        <w:rPr>
          <w:rFonts w:asciiTheme="majorBidi" w:hAnsiTheme="majorBidi" w:cstheme="majorBidi"/>
          <w:sz w:val="26"/>
          <w:szCs w:val="26"/>
          <w:lang w:val="en-GB"/>
        </w:rPr>
        <w:t>(</w:t>
      </w:r>
      <w:r w:rsidR="00322EF2" w:rsidRPr="005931FB">
        <w:rPr>
          <w:rFonts w:asciiTheme="majorBidi" w:hAnsiTheme="majorBidi" w:cstheme="majorBidi"/>
          <w:sz w:val="26"/>
          <w:szCs w:val="26"/>
          <w:lang w:val="en-GB"/>
        </w:rPr>
        <w:t>8,001</w:t>
      </w:r>
      <w:r w:rsidR="005F24E5" w:rsidRPr="005931FB">
        <w:rPr>
          <w:rFonts w:asciiTheme="majorBidi" w:hAnsiTheme="majorBidi" w:cstheme="majorBidi"/>
          <w:sz w:val="26"/>
          <w:szCs w:val="26"/>
          <w:lang w:val="en-GB"/>
        </w:rPr>
        <w:t xml:space="preserve"> physicians</w:t>
      </w:r>
      <w:r w:rsidR="00322EF2" w:rsidRPr="005931FB">
        <w:rPr>
          <w:rFonts w:asciiTheme="majorBidi" w:hAnsiTheme="majorBidi" w:cstheme="majorBidi"/>
          <w:sz w:val="26"/>
          <w:szCs w:val="26"/>
          <w:lang w:val="en-GB"/>
        </w:rPr>
        <w:t xml:space="preserve"> in </w:t>
      </w:r>
      <w:r w:rsidR="005F24E5" w:rsidRPr="005931FB">
        <w:rPr>
          <w:rFonts w:asciiTheme="majorBidi" w:hAnsiTheme="majorBidi" w:cstheme="majorBidi"/>
          <w:sz w:val="26"/>
          <w:szCs w:val="26"/>
          <w:lang w:val="en-GB"/>
        </w:rPr>
        <w:t xml:space="preserve">the </w:t>
      </w:r>
      <w:r w:rsidR="00322EF2" w:rsidRPr="005931FB">
        <w:rPr>
          <w:rFonts w:asciiTheme="majorBidi" w:hAnsiTheme="majorBidi" w:cstheme="majorBidi"/>
          <w:sz w:val="26"/>
          <w:szCs w:val="26"/>
          <w:lang w:val="en-GB"/>
        </w:rPr>
        <w:t xml:space="preserve">West Bank </w:t>
      </w:r>
      <w:r w:rsidR="003C6964" w:rsidRPr="005931FB">
        <w:rPr>
          <w:rFonts w:asciiTheme="majorBidi" w:hAnsiTheme="majorBidi" w:cstheme="majorBidi"/>
          <w:sz w:val="26"/>
          <w:szCs w:val="26"/>
          <w:lang w:val="en-GB"/>
        </w:rPr>
        <w:t xml:space="preserve">and </w:t>
      </w:r>
      <w:r w:rsidR="003C6964" w:rsidRPr="005931FB">
        <w:rPr>
          <w:rFonts w:asciiTheme="majorBidi" w:hAnsiTheme="majorBidi" w:cstheme="majorBidi"/>
          <w:sz w:val="26"/>
          <w:szCs w:val="26"/>
        </w:rPr>
        <w:t>6,053</w:t>
      </w:r>
      <w:r w:rsidR="00322EF2" w:rsidRPr="005931FB">
        <w:rPr>
          <w:rFonts w:asciiTheme="majorBidi" w:hAnsiTheme="majorBidi" w:cstheme="majorBidi"/>
          <w:sz w:val="26"/>
          <w:szCs w:val="26"/>
          <w:lang w:val="en-GB"/>
        </w:rPr>
        <w:t xml:space="preserve"> </w:t>
      </w:r>
      <w:r w:rsidR="005F24E5" w:rsidRPr="005931FB">
        <w:rPr>
          <w:rFonts w:asciiTheme="majorBidi" w:hAnsiTheme="majorBidi" w:cstheme="majorBidi"/>
          <w:sz w:val="26"/>
          <w:szCs w:val="26"/>
          <w:lang w:val="en-GB"/>
        </w:rPr>
        <w:t xml:space="preserve">physicians </w:t>
      </w:r>
      <w:r w:rsidR="00322EF2" w:rsidRPr="005931FB">
        <w:rPr>
          <w:rFonts w:asciiTheme="majorBidi" w:hAnsiTheme="majorBidi" w:cstheme="majorBidi"/>
          <w:sz w:val="26"/>
          <w:szCs w:val="26"/>
          <w:lang w:val="en-GB"/>
        </w:rPr>
        <w:t>in Gaza Strip</w:t>
      </w:r>
      <w:r w:rsidR="00914B91" w:rsidRPr="005931FB">
        <w:rPr>
          <w:rFonts w:asciiTheme="majorBidi" w:hAnsiTheme="majorBidi" w:cstheme="majorBidi"/>
          <w:sz w:val="26"/>
          <w:szCs w:val="26"/>
          <w:lang w:val="en-GB"/>
        </w:rPr>
        <w:t>)</w:t>
      </w:r>
      <w:r w:rsidRPr="005931FB">
        <w:rPr>
          <w:rFonts w:asciiTheme="majorBidi" w:hAnsiTheme="majorBidi" w:cstheme="majorBidi"/>
          <w:sz w:val="26"/>
          <w:szCs w:val="26"/>
          <w:lang w:val="en-GB"/>
        </w:rPr>
        <w:t xml:space="preserve">. As for the number of nurses, it increased from </w:t>
      </w:r>
      <w:r w:rsidR="00322EF2" w:rsidRPr="005931FB">
        <w:rPr>
          <w:rFonts w:asciiTheme="majorBidi" w:hAnsiTheme="majorBidi" w:cstheme="majorBidi"/>
          <w:sz w:val="26"/>
          <w:szCs w:val="26"/>
          <w:lang w:val="en-GB"/>
        </w:rPr>
        <w:t>10,520</w:t>
      </w:r>
      <w:r w:rsidR="005F24E5" w:rsidRPr="005931FB">
        <w:rPr>
          <w:rFonts w:asciiTheme="majorBidi" w:hAnsiTheme="majorBidi" w:cstheme="majorBidi"/>
          <w:sz w:val="26"/>
          <w:szCs w:val="26"/>
          <w:lang w:val="en-GB"/>
        </w:rPr>
        <w:t xml:space="preserve"> nurses</w:t>
      </w:r>
      <w:r w:rsidRPr="005931FB">
        <w:rPr>
          <w:rFonts w:asciiTheme="majorBidi" w:hAnsiTheme="majorBidi" w:cstheme="majorBidi"/>
          <w:sz w:val="26"/>
          <w:szCs w:val="26"/>
          <w:lang w:val="en-GB"/>
        </w:rPr>
        <w:t xml:space="preserve"> in 2010 to </w:t>
      </w:r>
      <w:r w:rsidR="00322EF2" w:rsidRPr="005931FB">
        <w:rPr>
          <w:rFonts w:asciiTheme="majorBidi" w:hAnsiTheme="majorBidi" w:cstheme="majorBidi"/>
          <w:sz w:val="26"/>
          <w:szCs w:val="26"/>
          <w:lang w:val="en-GB"/>
        </w:rPr>
        <w:t>22,478</w:t>
      </w:r>
      <w:r w:rsidRPr="005931FB">
        <w:rPr>
          <w:rFonts w:asciiTheme="majorBidi" w:hAnsiTheme="majorBidi" w:cstheme="majorBidi"/>
          <w:sz w:val="26"/>
          <w:szCs w:val="26"/>
          <w:lang w:val="en-GB"/>
        </w:rPr>
        <w:t xml:space="preserve"> nurses in 2021</w:t>
      </w:r>
      <w:r w:rsidR="00322EF2" w:rsidRPr="005931FB">
        <w:rPr>
          <w:rFonts w:asciiTheme="majorBidi" w:hAnsiTheme="majorBidi" w:cstheme="majorBidi"/>
          <w:sz w:val="26"/>
          <w:szCs w:val="26"/>
          <w:lang w:val="en-GB"/>
        </w:rPr>
        <w:t xml:space="preserve"> </w:t>
      </w:r>
      <w:r w:rsidR="00914B91" w:rsidRPr="005931FB">
        <w:rPr>
          <w:rFonts w:asciiTheme="majorBidi" w:hAnsiTheme="majorBidi" w:cstheme="majorBidi"/>
          <w:sz w:val="26"/>
          <w:szCs w:val="26"/>
          <w:lang w:val="en-GB"/>
        </w:rPr>
        <w:t>(</w:t>
      </w:r>
      <w:r w:rsidR="00322EF2" w:rsidRPr="005931FB">
        <w:rPr>
          <w:rFonts w:asciiTheme="majorBidi" w:hAnsiTheme="majorBidi" w:cstheme="majorBidi"/>
          <w:sz w:val="26"/>
          <w:szCs w:val="26"/>
          <w:lang w:val="en-GB"/>
        </w:rPr>
        <w:t>11,494</w:t>
      </w:r>
      <w:r w:rsidR="005F24E5" w:rsidRPr="005931FB">
        <w:rPr>
          <w:rFonts w:asciiTheme="majorBidi" w:hAnsiTheme="majorBidi" w:cstheme="majorBidi"/>
          <w:sz w:val="26"/>
          <w:szCs w:val="26"/>
          <w:lang w:val="en-GB"/>
        </w:rPr>
        <w:t xml:space="preserve"> nurses</w:t>
      </w:r>
      <w:r w:rsidR="00322EF2" w:rsidRPr="005931FB">
        <w:rPr>
          <w:rFonts w:asciiTheme="majorBidi" w:hAnsiTheme="majorBidi" w:cstheme="majorBidi"/>
          <w:sz w:val="26"/>
          <w:szCs w:val="26"/>
          <w:lang w:val="en-GB"/>
        </w:rPr>
        <w:t xml:space="preserve"> in </w:t>
      </w:r>
      <w:r w:rsidR="005F24E5" w:rsidRPr="005931FB">
        <w:rPr>
          <w:rFonts w:asciiTheme="majorBidi" w:hAnsiTheme="majorBidi" w:cstheme="majorBidi"/>
          <w:sz w:val="26"/>
          <w:szCs w:val="26"/>
          <w:lang w:val="en-GB"/>
        </w:rPr>
        <w:t xml:space="preserve">the </w:t>
      </w:r>
      <w:r w:rsidR="00322EF2" w:rsidRPr="005931FB">
        <w:rPr>
          <w:rFonts w:asciiTheme="majorBidi" w:hAnsiTheme="majorBidi" w:cstheme="majorBidi"/>
          <w:sz w:val="26"/>
          <w:szCs w:val="26"/>
          <w:lang w:val="en-GB"/>
        </w:rPr>
        <w:t xml:space="preserve">West Bank and 10,984 </w:t>
      </w:r>
      <w:r w:rsidR="005F24E5" w:rsidRPr="005931FB">
        <w:rPr>
          <w:rFonts w:asciiTheme="majorBidi" w:hAnsiTheme="majorBidi" w:cstheme="majorBidi"/>
          <w:sz w:val="26"/>
          <w:szCs w:val="26"/>
          <w:lang w:val="en-GB"/>
        </w:rPr>
        <w:t xml:space="preserve">nurses </w:t>
      </w:r>
      <w:r w:rsidR="00322EF2" w:rsidRPr="005931FB">
        <w:rPr>
          <w:rFonts w:asciiTheme="majorBidi" w:hAnsiTheme="majorBidi" w:cstheme="majorBidi"/>
          <w:sz w:val="26"/>
          <w:szCs w:val="26"/>
          <w:lang w:val="en-GB"/>
        </w:rPr>
        <w:t>in Gaza Strip</w:t>
      </w:r>
      <w:r w:rsidR="00914B91" w:rsidRPr="005931FB">
        <w:rPr>
          <w:rFonts w:asciiTheme="majorBidi" w:hAnsiTheme="majorBidi" w:cstheme="majorBidi"/>
          <w:sz w:val="26"/>
          <w:szCs w:val="26"/>
          <w:lang w:val="en-GB"/>
        </w:rPr>
        <w:t>)</w:t>
      </w:r>
      <w:r w:rsidRPr="005931FB">
        <w:rPr>
          <w:rFonts w:asciiTheme="majorBidi" w:hAnsiTheme="majorBidi" w:cstheme="majorBidi"/>
          <w:sz w:val="26"/>
          <w:szCs w:val="26"/>
          <w:lang w:val="en-GB"/>
        </w:rPr>
        <w:t>.</w:t>
      </w:r>
    </w:p>
    <w:p w:rsidR="008D7D2D" w:rsidRPr="005931FB" w:rsidRDefault="008D7D2D" w:rsidP="005931FB">
      <w:pPr>
        <w:bidi w:val="0"/>
        <w:spacing w:after="0" w:line="240" w:lineRule="auto"/>
        <w:jc w:val="both"/>
        <w:rPr>
          <w:rFonts w:asciiTheme="majorBidi" w:hAnsiTheme="majorBidi" w:cstheme="majorBidi"/>
          <w:sz w:val="26"/>
          <w:szCs w:val="26"/>
        </w:rPr>
      </w:pPr>
    </w:p>
    <w:p w:rsidR="008D7D2D" w:rsidRPr="00FE243C" w:rsidRDefault="008D7D2D" w:rsidP="005931FB">
      <w:pPr>
        <w:bidi w:val="0"/>
        <w:spacing w:after="0" w:line="240" w:lineRule="auto"/>
        <w:jc w:val="both"/>
        <w:rPr>
          <w:rFonts w:asciiTheme="majorBidi" w:hAnsiTheme="majorBidi" w:cstheme="majorBidi"/>
          <w:sz w:val="28"/>
          <w:szCs w:val="28"/>
        </w:rPr>
      </w:pPr>
      <w:r w:rsidRPr="00FE243C">
        <w:rPr>
          <w:rFonts w:asciiTheme="majorBidi" w:hAnsiTheme="majorBidi" w:cstheme="majorBidi"/>
          <w:b/>
          <w:bCs/>
          <w:sz w:val="28"/>
          <w:szCs w:val="28"/>
        </w:rPr>
        <w:t>Percentage of Total Current Health Expenditures to Gross Domestic Product (GDP)</w:t>
      </w:r>
    </w:p>
    <w:p w:rsidR="008D7D2D" w:rsidRPr="005931FB" w:rsidRDefault="008D7D2D" w:rsidP="005931FB">
      <w:pPr>
        <w:bidi w:val="0"/>
        <w:spacing w:after="0" w:line="240" w:lineRule="auto"/>
        <w:jc w:val="both"/>
        <w:rPr>
          <w:rFonts w:asciiTheme="majorBidi" w:hAnsiTheme="majorBidi" w:cstheme="majorBidi"/>
          <w:sz w:val="26"/>
          <w:szCs w:val="26"/>
        </w:rPr>
      </w:pPr>
      <w:r w:rsidRPr="005931FB">
        <w:rPr>
          <w:rFonts w:asciiTheme="majorBidi" w:hAnsiTheme="majorBidi" w:cstheme="majorBidi"/>
          <w:sz w:val="26"/>
          <w:szCs w:val="26"/>
        </w:rPr>
        <w:t>The percentage of current health expenditure to Gross Domestic Product (GDP) in Palestine at current prices was 10.4% in 20</w:t>
      </w:r>
      <w:r w:rsidRPr="005931FB">
        <w:rPr>
          <w:rFonts w:asciiTheme="majorBidi" w:hAnsiTheme="majorBidi" w:cstheme="majorBidi"/>
          <w:sz w:val="26"/>
          <w:szCs w:val="26"/>
          <w:rtl/>
          <w:lang w:eastAsia="ar-SA"/>
        </w:rPr>
        <w:t>2</w:t>
      </w:r>
      <w:r w:rsidRPr="005931FB">
        <w:rPr>
          <w:rFonts w:asciiTheme="majorBidi" w:hAnsiTheme="majorBidi" w:cstheme="majorBidi"/>
          <w:sz w:val="26"/>
          <w:szCs w:val="26"/>
        </w:rPr>
        <w:t xml:space="preserve">1 and 10.3% in 2020. Total health expenditure per capita was USD 383.9 in </w:t>
      </w:r>
      <w:r w:rsidRPr="005931FB">
        <w:rPr>
          <w:rFonts w:asciiTheme="majorBidi" w:hAnsiTheme="majorBidi" w:cstheme="majorBidi"/>
          <w:sz w:val="26"/>
          <w:szCs w:val="26"/>
          <w:rtl/>
          <w:lang w:eastAsia="ar-SA"/>
        </w:rPr>
        <w:t>202</w:t>
      </w:r>
      <w:r w:rsidRPr="005931FB">
        <w:rPr>
          <w:rFonts w:asciiTheme="majorBidi" w:hAnsiTheme="majorBidi" w:cstheme="majorBidi"/>
          <w:sz w:val="26"/>
          <w:szCs w:val="26"/>
        </w:rPr>
        <w:t xml:space="preserve">1 and USD </w:t>
      </w:r>
      <w:r w:rsidRPr="005931FB">
        <w:rPr>
          <w:rFonts w:asciiTheme="majorBidi" w:hAnsiTheme="majorBidi" w:cstheme="majorBidi"/>
          <w:sz w:val="26"/>
          <w:szCs w:val="26"/>
          <w:rtl/>
          <w:lang w:eastAsia="ar-SA"/>
        </w:rPr>
        <w:t>33</w:t>
      </w:r>
      <w:r w:rsidRPr="005931FB">
        <w:rPr>
          <w:rFonts w:asciiTheme="majorBidi" w:hAnsiTheme="majorBidi" w:cstheme="majorBidi"/>
          <w:sz w:val="26"/>
          <w:szCs w:val="26"/>
        </w:rPr>
        <w:t xml:space="preserve">2.3 in </w:t>
      </w:r>
      <w:r w:rsidRPr="005931FB">
        <w:rPr>
          <w:rFonts w:asciiTheme="majorBidi" w:hAnsiTheme="majorBidi" w:cstheme="majorBidi"/>
          <w:sz w:val="26"/>
          <w:szCs w:val="26"/>
          <w:rtl/>
          <w:lang w:eastAsia="ar-SA"/>
        </w:rPr>
        <w:t>20</w:t>
      </w:r>
      <w:r w:rsidRPr="005931FB">
        <w:rPr>
          <w:rFonts w:asciiTheme="majorBidi" w:hAnsiTheme="majorBidi" w:cstheme="majorBidi"/>
          <w:sz w:val="26"/>
          <w:szCs w:val="26"/>
        </w:rPr>
        <w:t>20.</w:t>
      </w:r>
    </w:p>
    <w:p w:rsidR="008D7D2D" w:rsidRPr="005931FB" w:rsidRDefault="008D7D2D" w:rsidP="005931FB">
      <w:pPr>
        <w:bidi w:val="0"/>
        <w:spacing w:after="0" w:line="240" w:lineRule="auto"/>
        <w:jc w:val="both"/>
        <w:rPr>
          <w:rFonts w:asciiTheme="majorBidi" w:hAnsiTheme="majorBidi" w:cstheme="majorBidi"/>
          <w:sz w:val="16"/>
          <w:szCs w:val="16"/>
        </w:rPr>
      </w:pPr>
    </w:p>
    <w:p w:rsidR="008D7D2D" w:rsidRPr="00FE243C" w:rsidRDefault="008D7D2D" w:rsidP="005931FB">
      <w:pPr>
        <w:bidi w:val="0"/>
        <w:spacing w:after="0" w:line="240" w:lineRule="auto"/>
        <w:jc w:val="both"/>
        <w:rPr>
          <w:rFonts w:asciiTheme="majorBidi" w:hAnsiTheme="majorBidi" w:cstheme="majorBidi"/>
          <w:b/>
          <w:bCs/>
          <w:sz w:val="28"/>
          <w:szCs w:val="28"/>
        </w:rPr>
      </w:pPr>
      <w:r w:rsidRPr="00FE243C">
        <w:rPr>
          <w:rFonts w:asciiTheme="majorBidi" w:hAnsiTheme="majorBidi" w:cstheme="majorBidi"/>
          <w:b/>
          <w:bCs/>
          <w:sz w:val="28"/>
          <w:szCs w:val="28"/>
        </w:rPr>
        <w:t>High prevalence of chronic diseases</w:t>
      </w:r>
    </w:p>
    <w:p w:rsidR="008D7D2D" w:rsidRPr="005931FB" w:rsidRDefault="008D7D2D" w:rsidP="005931FB">
      <w:pPr>
        <w:bidi w:val="0"/>
        <w:spacing w:after="0" w:line="240" w:lineRule="auto"/>
        <w:jc w:val="both"/>
        <w:rPr>
          <w:rFonts w:asciiTheme="majorBidi" w:hAnsiTheme="majorBidi" w:cstheme="majorBidi"/>
          <w:sz w:val="26"/>
          <w:szCs w:val="26"/>
          <w:lang w:val="en-GB"/>
        </w:rPr>
      </w:pPr>
      <w:r w:rsidRPr="005931FB">
        <w:rPr>
          <w:rFonts w:asciiTheme="majorBidi" w:hAnsiTheme="majorBidi" w:cstheme="majorBidi"/>
          <w:sz w:val="26"/>
          <w:szCs w:val="26"/>
          <w:lang w:val="en-GB"/>
        </w:rPr>
        <w:t>The percentage of individuals</w:t>
      </w:r>
      <w:r w:rsidR="00C01217" w:rsidRPr="005931FB">
        <w:rPr>
          <w:rFonts w:asciiTheme="majorBidi" w:hAnsiTheme="majorBidi" w:cstheme="majorBidi"/>
          <w:sz w:val="26"/>
          <w:szCs w:val="26"/>
          <w:lang w:val="en-GB"/>
        </w:rPr>
        <w:t xml:space="preserve"> aged</w:t>
      </w:r>
      <w:r w:rsidRPr="005931FB">
        <w:rPr>
          <w:rFonts w:asciiTheme="majorBidi" w:hAnsiTheme="majorBidi" w:cstheme="majorBidi"/>
          <w:sz w:val="26"/>
          <w:szCs w:val="26"/>
          <w:lang w:val="en-GB"/>
        </w:rPr>
        <w:t xml:space="preserve"> 18 years and </w:t>
      </w:r>
      <w:r w:rsidR="00C01217" w:rsidRPr="005931FB">
        <w:rPr>
          <w:rFonts w:asciiTheme="majorBidi" w:hAnsiTheme="majorBidi" w:cstheme="majorBidi"/>
          <w:sz w:val="26"/>
          <w:szCs w:val="26"/>
          <w:lang w:val="en-GB"/>
        </w:rPr>
        <w:t xml:space="preserve">above </w:t>
      </w:r>
      <w:r w:rsidRPr="005931FB">
        <w:rPr>
          <w:rFonts w:asciiTheme="majorBidi" w:hAnsiTheme="majorBidi" w:cstheme="majorBidi"/>
          <w:sz w:val="26"/>
          <w:szCs w:val="26"/>
          <w:lang w:val="en-GB"/>
        </w:rPr>
        <w:t>with at least one chronic disease has increased slightly over the past decade, reaching 18% in 2010, while it reached about 20% in 2021. The prevalence of chronic diseases increases with age,</w:t>
      </w:r>
      <w:r w:rsidR="00C01217" w:rsidRPr="005931FB">
        <w:rPr>
          <w:rFonts w:asciiTheme="majorBidi" w:hAnsiTheme="majorBidi" w:cstheme="majorBidi"/>
          <w:sz w:val="26"/>
          <w:szCs w:val="26"/>
          <w:lang w:val="en-GB"/>
        </w:rPr>
        <w:t xml:space="preserve"> where</w:t>
      </w:r>
      <w:r w:rsidRPr="005931FB">
        <w:rPr>
          <w:rFonts w:asciiTheme="majorBidi" w:hAnsiTheme="majorBidi" w:cstheme="majorBidi"/>
          <w:sz w:val="26"/>
          <w:szCs w:val="26"/>
          <w:lang w:val="en-GB"/>
        </w:rPr>
        <w:t xml:space="preserve"> data showed that more than two-thirds of the elderly in Palestine </w:t>
      </w:r>
      <w:r w:rsidR="00C01217" w:rsidRPr="005931FB">
        <w:rPr>
          <w:rFonts w:asciiTheme="majorBidi" w:hAnsiTheme="majorBidi" w:cstheme="majorBidi"/>
          <w:sz w:val="26"/>
          <w:szCs w:val="26"/>
          <w:lang w:val="en-GB"/>
        </w:rPr>
        <w:t>in 2021</w:t>
      </w:r>
      <w:r w:rsidRPr="005931FB">
        <w:rPr>
          <w:rFonts w:asciiTheme="majorBidi" w:hAnsiTheme="majorBidi" w:cstheme="majorBidi"/>
          <w:sz w:val="26"/>
          <w:szCs w:val="26"/>
          <w:lang w:val="en-GB"/>
        </w:rPr>
        <w:t>suffer from at least one chronic disease. This percentage varied greatly between males and females, reaching 66% and 76%</w:t>
      </w:r>
      <w:r w:rsidR="00C01217" w:rsidRPr="005931FB">
        <w:rPr>
          <w:rFonts w:asciiTheme="majorBidi" w:hAnsiTheme="majorBidi" w:cstheme="majorBidi"/>
          <w:sz w:val="26"/>
          <w:szCs w:val="26"/>
          <w:lang w:val="en-GB"/>
        </w:rPr>
        <w:t>,</w:t>
      </w:r>
      <w:r w:rsidRPr="005931FB">
        <w:rPr>
          <w:rFonts w:asciiTheme="majorBidi" w:hAnsiTheme="majorBidi" w:cstheme="majorBidi"/>
          <w:sz w:val="26"/>
          <w:szCs w:val="26"/>
          <w:lang w:val="en-GB"/>
        </w:rPr>
        <w:t xml:space="preserve"> respectively.</w:t>
      </w:r>
    </w:p>
    <w:p w:rsidR="0027354F" w:rsidRPr="005931FB" w:rsidRDefault="0027354F" w:rsidP="005931FB">
      <w:pPr>
        <w:bidi w:val="0"/>
        <w:spacing w:after="0" w:line="240" w:lineRule="auto"/>
        <w:jc w:val="both"/>
        <w:rPr>
          <w:rFonts w:asciiTheme="majorBidi" w:hAnsiTheme="majorBidi" w:cstheme="majorBidi"/>
          <w:sz w:val="16"/>
          <w:szCs w:val="16"/>
          <w:lang w:val="en-GB"/>
        </w:rPr>
      </w:pPr>
    </w:p>
    <w:p w:rsidR="008D7D2D" w:rsidRPr="00FE243C" w:rsidRDefault="008D7D2D" w:rsidP="005931FB">
      <w:pPr>
        <w:bidi w:val="0"/>
        <w:spacing w:after="0" w:line="240" w:lineRule="auto"/>
        <w:jc w:val="both"/>
        <w:rPr>
          <w:rFonts w:asciiTheme="majorBidi" w:hAnsiTheme="majorBidi" w:cstheme="majorBidi"/>
          <w:b/>
          <w:bCs/>
          <w:sz w:val="28"/>
          <w:szCs w:val="28"/>
          <w:lang w:val="en-GB"/>
        </w:rPr>
      </w:pPr>
      <w:r w:rsidRPr="00FE243C">
        <w:rPr>
          <w:rFonts w:asciiTheme="majorBidi" w:hAnsiTheme="majorBidi" w:cstheme="majorBidi"/>
          <w:b/>
          <w:bCs/>
          <w:sz w:val="28"/>
          <w:szCs w:val="28"/>
          <w:lang w:val="en-GB"/>
        </w:rPr>
        <w:t xml:space="preserve">A significant increase in smoking rates and a </w:t>
      </w:r>
      <w:r w:rsidR="00C01217" w:rsidRPr="00FE243C">
        <w:rPr>
          <w:rFonts w:asciiTheme="majorBidi" w:hAnsiTheme="majorBidi" w:cstheme="majorBidi"/>
          <w:b/>
          <w:bCs/>
          <w:sz w:val="28"/>
          <w:szCs w:val="28"/>
          <w:lang w:val="en-GB"/>
        </w:rPr>
        <w:t xml:space="preserve">significant </w:t>
      </w:r>
      <w:r w:rsidRPr="00FE243C">
        <w:rPr>
          <w:rFonts w:asciiTheme="majorBidi" w:hAnsiTheme="majorBidi" w:cstheme="majorBidi"/>
          <w:b/>
          <w:bCs/>
          <w:sz w:val="28"/>
          <w:szCs w:val="28"/>
          <w:lang w:val="en-GB"/>
        </w:rPr>
        <w:t>gap between the West Bank and Gaza Strip</w:t>
      </w:r>
    </w:p>
    <w:p w:rsidR="008D7D2D" w:rsidRPr="005931FB" w:rsidRDefault="00C01217" w:rsidP="005931FB">
      <w:pPr>
        <w:bidi w:val="0"/>
        <w:spacing w:after="0" w:line="240" w:lineRule="auto"/>
        <w:jc w:val="both"/>
        <w:rPr>
          <w:rFonts w:asciiTheme="majorBidi" w:hAnsiTheme="majorBidi" w:cstheme="majorBidi"/>
          <w:sz w:val="26"/>
          <w:szCs w:val="26"/>
        </w:rPr>
      </w:pPr>
      <w:r w:rsidRPr="005931FB">
        <w:rPr>
          <w:rFonts w:asciiTheme="majorBidi" w:hAnsiTheme="majorBidi" w:cstheme="majorBidi"/>
          <w:sz w:val="26"/>
          <w:szCs w:val="26"/>
          <w:lang w:val="en-GB"/>
        </w:rPr>
        <w:t>Since 2010, p</w:t>
      </w:r>
      <w:r w:rsidR="008D7D2D" w:rsidRPr="005931FB">
        <w:rPr>
          <w:rFonts w:asciiTheme="majorBidi" w:hAnsiTheme="majorBidi" w:cstheme="majorBidi"/>
          <w:sz w:val="26"/>
          <w:szCs w:val="26"/>
          <w:lang w:val="en-GB"/>
        </w:rPr>
        <w:t>ercentage of smoking among individuals</w:t>
      </w:r>
      <w:r w:rsidRPr="005931FB">
        <w:rPr>
          <w:rFonts w:asciiTheme="majorBidi" w:hAnsiTheme="majorBidi" w:cstheme="majorBidi"/>
          <w:sz w:val="26"/>
          <w:szCs w:val="26"/>
          <w:lang w:val="en-GB"/>
        </w:rPr>
        <w:t xml:space="preserve"> aged</w:t>
      </w:r>
      <w:r w:rsidR="008D7D2D" w:rsidRPr="005931FB">
        <w:rPr>
          <w:rFonts w:asciiTheme="majorBidi" w:hAnsiTheme="majorBidi" w:cstheme="majorBidi"/>
          <w:sz w:val="26"/>
          <w:szCs w:val="26"/>
          <w:lang w:val="en-GB"/>
        </w:rPr>
        <w:t xml:space="preserve"> 18 years and </w:t>
      </w:r>
      <w:r w:rsidR="00A95A5D" w:rsidRPr="005931FB">
        <w:rPr>
          <w:rFonts w:asciiTheme="majorBidi" w:hAnsiTheme="majorBidi" w:cstheme="majorBidi"/>
          <w:sz w:val="26"/>
          <w:szCs w:val="26"/>
          <w:lang w:val="en-GB"/>
        </w:rPr>
        <w:t>above</w:t>
      </w:r>
      <w:r w:rsidR="008D7D2D" w:rsidRPr="005931FB">
        <w:rPr>
          <w:rFonts w:asciiTheme="majorBidi" w:hAnsiTheme="majorBidi" w:cstheme="majorBidi"/>
          <w:sz w:val="26"/>
          <w:szCs w:val="26"/>
          <w:lang w:val="en-GB"/>
        </w:rPr>
        <w:t xml:space="preserve"> has increased in Palestine to reach about 31% in 2021, while </w:t>
      </w:r>
      <w:r w:rsidRPr="005931FB">
        <w:rPr>
          <w:rFonts w:asciiTheme="majorBidi" w:hAnsiTheme="majorBidi" w:cstheme="majorBidi"/>
          <w:sz w:val="26"/>
          <w:szCs w:val="26"/>
          <w:lang w:val="en-GB"/>
        </w:rPr>
        <w:t>it was about 23%</w:t>
      </w:r>
      <w:r w:rsidR="007065A1" w:rsidRPr="005931FB">
        <w:rPr>
          <w:rFonts w:asciiTheme="majorBidi" w:hAnsiTheme="majorBidi" w:cstheme="majorBidi"/>
          <w:sz w:val="26"/>
          <w:szCs w:val="26"/>
          <w:lang w:val="en-GB"/>
        </w:rPr>
        <w:t xml:space="preserve"> </w:t>
      </w:r>
      <w:r w:rsidR="008D7D2D" w:rsidRPr="005931FB">
        <w:rPr>
          <w:rFonts w:asciiTheme="majorBidi" w:hAnsiTheme="majorBidi" w:cstheme="majorBidi"/>
          <w:sz w:val="26"/>
          <w:szCs w:val="26"/>
          <w:lang w:val="en-GB"/>
        </w:rPr>
        <w:t>in 2010</w:t>
      </w:r>
      <w:r w:rsidRPr="005931FB">
        <w:rPr>
          <w:rFonts w:asciiTheme="majorBidi" w:hAnsiTheme="majorBidi" w:cstheme="majorBidi"/>
          <w:sz w:val="26"/>
          <w:szCs w:val="26"/>
          <w:lang w:val="en-GB"/>
        </w:rPr>
        <w:t xml:space="preserve">. </w:t>
      </w:r>
      <w:r w:rsidR="00434806" w:rsidRPr="005931FB">
        <w:rPr>
          <w:rFonts w:asciiTheme="majorBidi" w:hAnsiTheme="majorBidi" w:cstheme="majorBidi"/>
          <w:sz w:val="26"/>
          <w:szCs w:val="26"/>
        </w:rPr>
        <w:t>At the region’s level, data indicated a large gap between the West Bank and Gaza Strip. There’s a clear increase in the prevalence of smoking among individuals aged 18 and above in the West Bank, as it increased from about 26% in 2010 to about 40% in 2021. In Gaza Strip, it increased from about 15% in 2010 to 17% in 2021.</w:t>
      </w:r>
      <w:r w:rsidR="008D7D2D" w:rsidRPr="005931FB">
        <w:rPr>
          <w:rFonts w:asciiTheme="majorBidi" w:hAnsiTheme="majorBidi" w:cstheme="majorBidi"/>
          <w:sz w:val="26"/>
          <w:szCs w:val="26"/>
          <w:lang w:val="en-GB"/>
        </w:rPr>
        <w:t xml:space="preserve"> Manufactured cigarettes constitute the most common type of smoked tobacco among male smokers, with a percentage of 68%, while water-pipe smoking constituted the highest percentage among female smokers out of all types of smoked tobacco, with a percentage of 67% in Palestine.</w:t>
      </w:r>
    </w:p>
    <w:p w:rsidR="00FE243C" w:rsidRDefault="00FE243C" w:rsidP="005931FB">
      <w:pPr>
        <w:bidi w:val="0"/>
        <w:spacing w:after="0" w:line="240" w:lineRule="auto"/>
        <w:jc w:val="center"/>
        <w:rPr>
          <w:rFonts w:asciiTheme="majorBidi" w:hAnsiTheme="majorBidi" w:cstheme="majorBidi"/>
          <w:b/>
          <w:bCs/>
          <w:sz w:val="28"/>
          <w:szCs w:val="28"/>
          <w:lang w:val="en-GB"/>
        </w:rPr>
      </w:pPr>
    </w:p>
    <w:p w:rsidR="005931FB" w:rsidRPr="00FE243C" w:rsidRDefault="008D7D2D" w:rsidP="00FE243C">
      <w:pPr>
        <w:bidi w:val="0"/>
        <w:spacing w:after="0" w:line="240" w:lineRule="auto"/>
        <w:jc w:val="center"/>
        <w:rPr>
          <w:rFonts w:asciiTheme="majorBidi" w:hAnsiTheme="majorBidi" w:cstheme="majorBidi"/>
          <w:b/>
          <w:bCs/>
          <w:sz w:val="28"/>
          <w:szCs w:val="28"/>
          <w:lang w:val="en-GB"/>
        </w:rPr>
      </w:pPr>
      <w:r w:rsidRPr="00FE243C">
        <w:rPr>
          <w:rFonts w:asciiTheme="majorBidi" w:hAnsiTheme="majorBidi" w:cstheme="majorBidi"/>
          <w:b/>
          <w:bCs/>
          <w:sz w:val="28"/>
          <w:szCs w:val="28"/>
          <w:lang w:val="en-GB"/>
        </w:rPr>
        <w:lastRenderedPageBreak/>
        <w:t xml:space="preserve">Smoking Percentage among individuals (18 years and </w:t>
      </w:r>
      <w:r w:rsidR="00A95A5D" w:rsidRPr="00FE243C">
        <w:rPr>
          <w:rFonts w:asciiTheme="majorBidi" w:hAnsiTheme="majorBidi" w:cstheme="majorBidi"/>
          <w:b/>
          <w:bCs/>
          <w:sz w:val="28"/>
          <w:szCs w:val="28"/>
          <w:lang w:val="en-GB"/>
        </w:rPr>
        <w:t>above</w:t>
      </w:r>
      <w:r w:rsidRPr="00FE243C">
        <w:rPr>
          <w:rFonts w:asciiTheme="majorBidi" w:hAnsiTheme="majorBidi" w:cstheme="majorBidi"/>
          <w:b/>
          <w:bCs/>
          <w:sz w:val="28"/>
          <w:szCs w:val="28"/>
          <w:lang w:val="en-GB"/>
        </w:rPr>
        <w:t xml:space="preserve">) by region </w:t>
      </w:r>
      <w:r w:rsidR="00C01217" w:rsidRPr="00FE243C">
        <w:rPr>
          <w:rFonts w:asciiTheme="majorBidi" w:hAnsiTheme="majorBidi" w:cstheme="majorBidi"/>
          <w:b/>
          <w:bCs/>
          <w:sz w:val="28"/>
          <w:szCs w:val="28"/>
          <w:lang w:val="en-GB"/>
        </w:rPr>
        <w:t>in</w:t>
      </w:r>
      <w:r w:rsidRPr="00FE243C">
        <w:rPr>
          <w:rFonts w:asciiTheme="majorBidi" w:hAnsiTheme="majorBidi" w:cstheme="majorBidi"/>
          <w:b/>
          <w:bCs/>
          <w:sz w:val="28"/>
          <w:szCs w:val="28"/>
          <w:lang w:val="en-GB"/>
        </w:rPr>
        <w:t xml:space="preserve"> </w:t>
      </w:r>
    </w:p>
    <w:p w:rsidR="008D7D2D" w:rsidRPr="00FE243C" w:rsidRDefault="008D7D2D" w:rsidP="005931FB">
      <w:pPr>
        <w:bidi w:val="0"/>
        <w:spacing w:line="240" w:lineRule="auto"/>
        <w:jc w:val="center"/>
        <w:rPr>
          <w:rFonts w:asciiTheme="majorBidi" w:hAnsiTheme="majorBidi" w:cstheme="majorBidi"/>
          <w:b/>
          <w:bCs/>
          <w:sz w:val="28"/>
          <w:szCs w:val="28"/>
          <w:lang w:val="en-GB"/>
        </w:rPr>
      </w:pPr>
      <w:r w:rsidRPr="00FE243C">
        <w:rPr>
          <w:rFonts w:asciiTheme="majorBidi" w:hAnsiTheme="majorBidi" w:cstheme="majorBidi"/>
          <w:b/>
          <w:bCs/>
          <w:sz w:val="28"/>
          <w:szCs w:val="28"/>
          <w:lang w:val="en-GB"/>
        </w:rPr>
        <w:t>2010, 2021</w:t>
      </w:r>
    </w:p>
    <w:tbl>
      <w:tblPr>
        <w:tblStyle w:val="TableGrid"/>
        <w:tblW w:w="4593" w:type="dxa"/>
        <w:jc w:val="center"/>
        <w:tblLook w:val="04A0" w:firstRow="1" w:lastRow="0" w:firstColumn="1" w:lastColumn="0" w:noHBand="0" w:noVBand="1"/>
      </w:tblPr>
      <w:tblGrid>
        <w:gridCol w:w="4593"/>
      </w:tblGrid>
      <w:tr w:rsidR="005931FB" w:rsidRPr="005931FB" w:rsidTr="00FE243C">
        <w:trPr>
          <w:trHeight w:val="970"/>
          <w:jc w:val="center"/>
        </w:trPr>
        <w:tc>
          <w:tcPr>
            <w:tcW w:w="4593" w:type="dxa"/>
          </w:tcPr>
          <w:p w:rsidR="008D7D2D" w:rsidRPr="005931FB" w:rsidRDefault="008D7D2D" w:rsidP="00FE243C">
            <w:pPr>
              <w:bidi w:val="0"/>
              <w:spacing w:after="160"/>
              <w:jc w:val="center"/>
              <w:rPr>
                <w:rFonts w:asciiTheme="majorBidi" w:hAnsiTheme="majorBidi" w:cstheme="majorBidi"/>
                <w:sz w:val="26"/>
                <w:szCs w:val="26"/>
                <w:lang w:val="en-GB"/>
              </w:rPr>
            </w:pPr>
            <w:r w:rsidRPr="005931FB">
              <w:rPr>
                <w:rFonts w:asciiTheme="majorBidi" w:hAnsiTheme="majorBidi" w:cstheme="majorBidi"/>
                <w:b/>
                <w:bCs/>
                <w:noProof/>
                <w:sz w:val="26"/>
                <w:szCs w:val="26"/>
                <w:rtl/>
              </w:rPr>
              <w:drawing>
                <wp:inline distT="0" distB="0" distL="0" distR="0" wp14:anchorId="3861F6B0" wp14:editId="21418366">
                  <wp:extent cx="2733675" cy="14763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6B1E22" w:rsidRPr="005931FB" w:rsidRDefault="006B1E22" w:rsidP="005931FB">
      <w:pPr>
        <w:bidi w:val="0"/>
        <w:spacing w:line="240" w:lineRule="auto"/>
        <w:jc w:val="both"/>
        <w:rPr>
          <w:rFonts w:asciiTheme="majorBidi" w:hAnsiTheme="majorBidi" w:cstheme="majorBidi"/>
          <w:b/>
          <w:bCs/>
          <w:sz w:val="16"/>
          <w:szCs w:val="16"/>
          <w:lang w:val="en-GB"/>
        </w:rPr>
      </w:pPr>
    </w:p>
    <w:p w:rsidR="008D7D2D" w:rsidRPr="00FE243C" w:rsidRDefault="008D7D2D" w:rsidP="005931FB">
      <w:pPr>
        <w:bidi w:val="0"/>
        <w:spacing w:after="0" w:line="240" w:lineRule="auto"/>
        <w:jc w:val="both"/>
        <w:rPr>
          <w:rFonts w:asciiTheme="majorBidi" w:hAnsiTheme="majorBidi" w:cstheme="majorBidi"/>
          <w:b/>
          <w:bCs/>
          <w:sz w:val="28"/>
          <w:szCs w:val="28"/>
          <w:lang w:val="en-GB"/>
        </w:rPr>
      </w:pPr>
      <w:r w:rsidRPr="00FE243C">
        <w:rPr>
          <w:rFonts w:asciiTheme="majorBidi" w:hAnsiTheme="majorBidi" w:cstheme="majorBidi"/>
          <w:b/>
          <w:bCs/>
          <w:sz w:val="28"/>
          <w:szCs w:val="28"/>
          <w:lang w:val="en-GB"/>
        </w:rPr>
        <w:t>More than half of adults suffer from depression</w:t>
      </w:r>
    </w:p>
    <w:p w:rsidR="008D7D2D" w:rsidRPr="005931FB" w:rsidRDefault="008D7D2D" w:rsidP="005931FB">
      <w:pPr>
        <w:bidi w:val="0"/>
        <w:spacing w:after="0" w:line="240" w:lineRule="auto"/>
        <w:jc w:val="both"/>
        <w:rPr>
          <w:rFonts w:asciiTheme="majorBidi" w:hAnsiTheme="majorBidi" w:cstheme="majorBidi"/>
          <w:sz w:val="26"/>
          <w:szCs w:val="26"/>
          <w:lang w:val="en-GB"/>
        </w:rPr>
      </w:pPr>
      <w:r w:rsidRPr="005931FB">
        <w:rPr>
          <w:rFonts w:asciiTheme="majorBidi" w:hAnsiTheme="majorBidi" w:cstheme="majorBidi"/>
          <w:sz w:val="26"/>
          <w:szCs w:val="26"/>
          <w:lang w:val="en-GB"/>
        </w:rPr>
        <w:t xml:space="preserve">The World Health Organization defines mental health as “a state of psychological well-being that enables a person to cope with the stresses of life, fulfil their potential, learn and work well, and contribute to their community. It is an integral part of health and well-being that underpins our individual and collective abilities to make decisions, build relationships and shape the world </w:t>
      </w:r>
      <w:r w:rsidR="00571CE1" w:rsidRPr="005931FB">
        <w:rPr>
          <w:rFonts w:asciiTheme="majorBidi" w:hAnsiTheme="majorBidi" w:cstheme="majorBidi"/>
          <w:sz w:val="26"/>
          <w:szCs w:val="26"/>
          <w:lang w:val="en-GB"/>
        </w:rPr>
        <w:t xml:space="preserve">we </w:t>
      </w:r>
      <w:r w:rsidRPr="005931FB">
        <w:rPr>
          <w:rFonts w:asciiTheme="majorBidi" w:hAnsiTheme="majorBidi" w:cstheme="majorBidi"/>
          <w:sz w:val="26"/>
          <w:szCs w:val="26"/>
          <w:lang w:val="en-GB"/>
        </w:rPr>
        <w:t xml:space="preserve">live in. Mental health is a basic human right.” </w:t>
      </w:r>
      <w:r w:rsidR="00571CE1" w:rsidRPr="005931FB">
        <w:rPr>
          <w:rFonts w:asciiTheme="majorBidi" w:hAnsiTheme="majorBidi" w:cstheme="majorBidi"/>
          <w:sz w:val="26"/>
          <w:szCs w:val="26"/>
          <w:lang w:val="en-GB"/>
        </w:rPr>
        <w:t>D</w:t>
      </w:r>
      <w:r w:rsidRPr="005931FB">
        <w:rPr>
          <w:rFonts w:asciiTheme="majorBidi" w:hAnsiTheme="majorBidi" w:cstheme="majorBidi"/>
          <w:sz w:val="26"/>
          <w:szCs w:val="26"/>
          <w:lang w:val="en-GB"/>
        </w:rPr>
        <w:t xml:space="preserve">ata of the Psychological Conditions Survey in 2022 showed that more than half of the individuals aged 18 years and </w:t>
      </w:r>
      <w:r w:rsidR="00A66583" w:rsidRPr="005931FB">
        <w:rPr>
          <w:rFonts w:asciiTheme="majorBidi" w:hAnsiTheme="majorBidi" w:cstheme="majorBidi"/>
          <w:sz w:val="26"/>
          <w:szCs w:val="26"/>
          <w:lang w:val="en-GB"/>
        </w:rPr>
        <w:t>above</w:t>
      </w:r>
      <w:r w:rsidRPr="005931FB">
        <w:rPr>
          <w:rFonts w:asciiTheme="majorBidi" w:hAnsiTheme="majorBidi" w:cstheme="majorBidi"/>
          <w:sz w:val="26"/>
          <w:szCs w:val="26"/>
          <w:lang w:val="en-GB"/>
        </w:rPr>
        <w:t xml:space="preserve"> in Palestine suffer from depression, with a wide variation between the West Bank and Gaza Strip, where the percentage reached 50% and 71%, respectively. </w:t>
      </w:r>
      <w:r w:rsidR="00571CE1" w:rsidRPr="005931FB">
        <w:rPr>
          <w:rFonts w:asciiTheme="majorBidi" w:hAnsiTheme="majorBidi" w:cstheme="majorBidi"/>
          <w:sz w:val="26"/>
          <w:szCs w:val="26"/>
          <w:lang w:val="en-GB"/>
        </w:rPr>
        <w:t>Nonetheless,</w:t>
      </w:r>
      <w:r w:rsidRPr="005931FB">
        <w:rPr>
          <w:rFonts w:asciiTheme="majorBidi" w:hAnsiTheme="majorBidi" w:cstheme="majorBidi"/>
          <w:sz w:val="26"/>
          <w:szCs w:val="26"/>
          <w:lang w:val="en-GB"/>
        </w:rPr>
        <w:t xml:space="preserve"> data showed that post-traumatic stress disorder among individuals</w:t>
      </w:r>
      <w:r w:rsidR="00571CE1" w:rsidRPr="005931FB">
        <w:rPr>
          <w:rFonts w:asciiTheme="majorBidi" w:hAnsiTheme="majorBidi" w:cstheme="majorBidi"/>
          <w:sz w:val="26"/>
          <w:szCs w:val="26"/>
          <w:lang w:val="en-GB"/>
        </w:rPr>
        <w:t xml:space="preserve"> aged</w:t>
      </w:r>
      <w:r w:rsidRPr="005931FB">
        <w:rPr>
          <w:rFonts w:asciiTheme="majorBidi" w:hAnsiTheme="majorBidi" w:cstheme="majorBidi"/>
          <w:sz w:val="26"/>
          <w:szCs w:val="26"/>
          <w:lang w:val="en-GB"/>
        </w:rPr>
        <w:t xml:space="preserve"> 18 years and </w:t>
      </w:r>
      <w:r w:rsidR="00571CE1" w:rsidRPr="005931FB">
        <w:rPr>
          <w:rFonts w:asciiTheme="majorBidi" w:hAnsiTheme="majorBidi" w:cstheme="majorBidi"/>
          <w:sz w:val="26"/>
          <w:szCs w:val="26"/>
          <w:lang w:val="en-GB"/>
        </w:rPr>
        <w:t xml:space="preserve">above </w:t>
      </w:r>
      <w:r w:rsidRPr="005931FB">
        <w:rPr>
          <w:rFonts w:asciiTheme="majorBidi" w:hAnsiTheme="majorBidi" w:cstheme="majorBidi"/>
          <w:sz w:val="26"/>
          <w:szCs w:val="26"/>
          <w:lang w:val="en-GB"/>
        </w:rPr>
        <w:t>is more common in Gaza Strip than in the West Bank.</w:t>
      </w:r>
    </w:p>
    <w:p w:rsidR="00B87456" w:rsidRPr="005931FB" w:rsidRDefault="00B87456" w:rsidP="005931FB">
      <w:pPr>
        <w:bidi w:val="0"/>
        <w:spacing w:after="0" w:line="240" w:lineRule="auto"/>
        <w:jc w:val="both"/>
        <w:rPr>
          <w:rFonts w:asciiTheme="majorBidi" w:hAnsiTheme="majorBidi" w:cstheme="majorBidi"/>
          <w:sz w:val="16"/>
          <w:szCs w:val="16"/>
          <w:lang w:val="en-GB"/>
        </w:rPr>
      </w:pPr>
    </w:p>
    <w:p w:rsidR="008D7D2D" w:rsidRPr="00FE243C" w:rsidRDefault="00571CE1" w:rsidP="00FE243C">
      <w:pPr>
        <w:bidi w:val="0"/>
        <w:spacing w:after="0" w:line="240" w:lineRule="auto"/>
        <w:jc w:val="both"/>
        <w:rPr>
          <w:rFonts w:asciiTheme="majorBidi" w:hAnsiTheme="majorBidi" w:cstheme="majorBidi"/>
          <w:b/>
          <w:bCs/>
          <w:sz w:val="28"/>
          <w:szCs w:val="28"/>
          <w:lang w:val="en-GB"/>
        </w:rPr>
      </w:pPr>
      <w:r w:rsidRPr="00FE243C">
        <w:rPr>
          <w:rFonts w:asciiTheme="majorBidi" w:hAnsiTheme="majorBidi" w:cstheme="majorBidi"/>
          <w:b/>
          <w:bCs/>
          <w:sz w:val="28"/>
          <w:szCs w:val="28"/>
          <w:lang w:val="en-GB"/>
        </w:rPr>
        <w:t xml:space="preserve">A decline </w:t>
      </w:r>
      <w:r w:rsidR="008D7D2D" w:rsidRPr="00FE243C">
        <w:rPr>
          <w:rFonts w:asciiTheme="majorBidi" w:hAnsiTheme="majorBidi" w:cstheme="majorBidi"/>
          <w:b/>
          <w:bCs/>
          <w:sz w:val="28"/>
          <w:szCs w:val="28"/>
          <w:lang w:val="en-GB"/>
        </w:rPr>
        <w:t>in infant and child mortality rates</w:t>
      </w:r>
    </w:p>
    <w:p w:rsidR="008D7D2D" w:rsidRPr="005931FB" w:rsidRDefault="008D7D2D" w:rsidP="00FE243C">
      <w:pPr>
        <w:bidi w:val="0"/>
        <w:spacing w:after="0" w:line="240" w:lineRule="auto"/>
        <w:jc w:val="both"/>
        <w:rPr>
          <w:rFonts w:asciiTheme="majorBidi" w:hAnsiTheme="majorBidi" w:cstheme="majorBidi"/>
          <w:sz w:val="26"/>
          <w:szCs w:val="26"/>
          <w:lang w:val="en-GB"/>
        </w:rPr>
      </w:pPr>
      <w:r w:rsidRPr="005931FB">
        <w:rPr>
          <w:rFonts w:asciiTheme="majorBidi" w:hAnsiTheme="majorBidi" w:cstheme="majorBidi"/>
          <w:sz w:val="26"/>
          <w:szCs w:val="26"/>
          <w:lang w:val="en-GB"/>
        </w:rPr>
        <w:t>The infant and child mortality rate is a measure of the social status and the extent of improvement and development in the health situation in any country. Palestine has achieved remarkable progress in reducing mortality rates of infants and children under five years during the past decade. As infant mortality decreased from 20 deaths per 1,000 live births during the period 1995-2010 to 12 deaths per 1,000 live births during the period 2015-2019. As for the under-five mortality rate, it decreased from 23 deaths per 1,000 live births to reach 14 deaths per 1,000 live births in 2020.</w:t>
      </w:r>
    </w:p>
    <w:p w:rsidR="00EE233E" w:rsidRPr="005931FB" w:rsidRDefault="00EE233E" w:rsidP="005931FB">
      <w:pPr>
        <w:bidi w:val="0"/>
        <w:spacing w:after="0" w:line="240" w:lineRule="auto"/>
        <w:jc w:val="both"/>
        <w:rPr>
          <w:rFonts w:asciiTheme="majorBidi" w:hAnsiTheme="majorBidi" w:cstheme="majorBidi"/>
          <w:b/>
          <w:bCs/>
          <w:sz w:val="16"/>
          <w:szCs w:val="16"/>
          <w:lang w:val="en-GB"/>
        </w:rPr>
      </w:pPr>
    </w:p>
    <w:p w:rsidR="008D7D2D" w:rsidRPr="00FE243C" w:rsidRDefault="008D7D2D" w:rsidP="005931FB">
      <w:pPr>
        <w:bidi w:val="0"/>
        <w:spacing w:after="0" w:line="240" w:lineRule="auto"/>
        <w:jc w:val="both"/>
        <w:rPr>
          <w:rFonts w:asciiTheme="majorBidi" w:hAnsiTheme="majorBidi" w:cstheme="majorBidi"/>
          <w:b/>
          <w:bCs/>
          <w:sz w:val="28"/>
          <w:szCs w:val="28"/>
          <w:lang w:val="en-GB"/>
        </w:rPr>
      </w:pPr>
      <w:r w:rsidRPr="00FE243C">
        <w:rPr>
          <w:rFonts w:asciiTheme="majorBidi" w:hAnsiTheme="majorBidi" w:cstheme="majorBidi"/>
          <w:b/>
          <w:bCs/>
          <w:sz w:val="28"/>
          <w:szCs w:val="28"/>
          <w:lang w:val="en-GB"/>
        </w:rPr>
        <w:t>High prevalence rates of exclusive breastfeeding</w:t>
      </w:r>
    </w:p>
    <w:p w:rsidR="008D7D2D" w:rsidRPr="005931FB" w:rsidRDefault="008D7D2D" w:rsidP="005931FB">
      <w:pPr>
        <w:bidi w:val="0"/>
        <w:spacing w:after="0" w:line="240" w:lineRule="auto"/>
        <w:jc w:val="both"/>
        <w:rPr>
          <w:rFonts w:asciiTheme="majorBidi" w:hAnsiTheme="majorBidi" w:cstheme="majorBidi"/>
          <w:sz w:val="26"/>
          <w:szCs w:val="26"/>
        </w:rPr>
      </w:pPr>
      <w:r w:rsidRPr="005931FB">
        <w:rPr>
          <w:rFonts w:asciiTheme="majorBidi" w:hAnsiTheme="majorBidi" w:cstheme="majorBidi"/>
          <w:sz w:val="26"/>
          <w:szCs w:val="26"/>
          <w:lang w:val="en-GB"/>
        </w:rPr>
        <w:t xml:space="preserve">The percentage of children aged (0-5 months) who were exclusively breastfed has increased significantly since 2010, as the percentage reached about 27% </w:t>
      </w:r>
      <w:r w:rsidR="00571CE1" w:rsidRPr="005931FB">
        <w:rPr>
          <w:rFonts w:asciiTheme="majorBidi" w:hAnsiTheme="majorBidi" w:cstheme="majorBidi"/>
          <w:sz w:val="26"/>
          <w:szCs w:val="26"/>
          <w:lang w:val="en-GB"/>
        </w:rPr>
        <w:t xml:space="preserve">in </w:t>
      </w:r>
      <w:r w:rsidRPr="005931FB">
        <w:rPr>
          <w:rFonts w:asciiTheme="majorBidi" w:hAnsiTheme="majorBidi" w:cstheme="majorBidi"/>
          <w:sz w:val="26"/>
          <w:szCs w:val="26"/>
          <w:lang w:val="en-GB"/>
        </w:rPr>
        <w:t xml:space="preserve">and it increased in the year 2020 to reach about 43% of all children in the same age group. </w:t>
      </w:r>
      <w:r w:rsidRPr="005931FB">
        <w:rPr>
          <w:rFonts w:asciiTheme="majorBidi" w:hAnsiTheme="majorBidi" w:cstheme="majorBidi"/>
          <w:sz w:val="26"/>
          <w:szCs w:val="26"/>
        </w:rPr>
        <w:t>On the other hand, the percentage of children who were breastfed within the first hour after birth decreased from about 62% in 2010 to 41% in 2020</w:t>
      </w:r>
      <w:r w:rsidR="00571CE1" w:rsidRPr="005931FB">
        <w:rPr>
          <w:rFonts w:asciiTheme="majorBidi" w:hAnsiTheme="majorBidi" w:cstheme="majorBidi"/>
          <w:sz w:val="26"/>
          <w:szCs w:val="26"/>
        </w:rPr>
        <w:t xml:space="preserve"> in Palestine</w:t>
      </w:r>
      <w:r w:rsidRPr="005931FB">
        <w:rPr>
          <w:rFonts w:asciiTheme="majorBidi" w:hAnsiTheme="majorBidi" w:cstheme="majorBidi"/>
          <w:sz w:val="26"/>
          <w:szCs w:val="26"/>
        </w:rPr>
        <w:t xml:space="preserve">. Breastfeeding within an hour after birth is an important factor in increasing the probability of </w:t>
      </w:r>
      <w:r w:rsidR="00571CE1" w:rsidRPr="005931FB">
        <w:rPr>
          <w:rFonts w:asciiTheme="majorBidi" w:hAnsiTheme="majorBidi" w:cstheme="majorBidi"/>
          <w:sz w:val="26"/>
          <w:szCs w:val="26"/>
        </w:rPr>
        <w:t xml:space="preserve">the </w:t>
      </w:r>
      <w:r w:rsidRPr="005931FB">
        <w:rPr>
          <w:rFonts w:asciiTheme="majorBidi" w:hAnsiTheme="majorBidi" w:cstheme="majorBidi"/>
          <w:sz w:val="26"/>
          <w:szCs w:val="26"/>
        </w:rPr>
        <w:t xml:space="preserve">child’s survival, according to the </w:t>
      </w:r>
      <w:r w:rsidR="00571CE1" w:rsidRPr="005931FB">
        <w:rPr>
          <w:rFonts w:asciiTheme="majorBidi" w:hAnsiTheme="majorBidi" w:cstheme="majorBidi"/>
          <w:sz w:val="26"/>
          <w:szCs w:val="26"/>
        </w:rPr>
        <w:t>World Health Organization</w:t>
      </w:r>
      <w:r w:rsidRPr="005931FB">
        <w:rPr>
          <w:rFonts w:asciiTheme="majorBidi" w:hAnsiTheme="majorBidi" w:cstheme="majorBidi"/>
          <w:sz w:val="26"/>
          <w:szCs w:val="26"/>
        </w:rPr>
        <w:t>.</w:t>
      </w:r>
    </w:p>
    <w:p w:rsidR="004D6837" w:rsidRPr="00FE243C" w:rsidRDefault="004D6837" w:rsidP="005931FB">
      <w:pPr>
        <w:bidi w:val="0"/>
        <w:spacing w:after="0" w:line="240" w:lineRule="auto"/>
        <w:jc w:val="both"/>
        <w:rPr>
          <w:rFonts w:asciiTheme="majorBidi" w:hAnsiTheme="majorBidi" w:cstheme="majorBidi"/>
          <w:sz w:val="10"/>
          <w:szCs w:val="10"/>
        </w:rPr>
      </w:pPr>
    </w:p>
    <w:p w:rsidR="008D7D2D" w:rsidRPr="00FE243C" w:rsidRDefault="008D7D2D" w:rsidP="005931FB">
      <w:pPr>
        <w:bidi w:val="0"/>
        <w:spacing w:after="0" w:line="240" w:lineRule="auto"/>
        <w:jc w:val="both"/>
        <w:rPr>
          <w:rFonts w:asciiTheme="majorBidi" w:hAnsiTheme="majorBidi" w:cstheme="majorBidi"/>
          <w:b/>
          <w:bCs/>
          <w:sz w:val="28"/>
          <w:szCs w:val="28"/>
          <w:lang w:val="en-GB"/>
        </w:rPr>
      </w:pPr>
      <w:r w:rsidRPr="00FE243C">
        <w:rPr>
          <w:rFonts w:asciiTheme="majorBidi" w:hAnsiTheme="majorBidi" w:cstheme="majorBidi"/>
          <w:b/>
          <w:bCs/>
          <w:sz w:val="28"/>
          <w:szCs w:val="28"/>
          <w:lang w:val="en-GB"/>
        </w:rPr>
        <w:t>A decrease in malnutrition indicators among children</w:t>
      </w:r>
    </w:p>
    <w:p w:rsidR="005931FB" w:rsidRDefault="008D7D2D" w:rsidP="00FE243C">
      <w:pPr>
        <w:bidi w:val="0"/>
        <w:spacing w:after="0" w:line="240" w:lineRule="auto"/>
        <w:jc w:val="both"/>
        <w:rPr>
          <w:rFonts w:asciiTheme="majorBidi" w:hAnsiTheme="majorBidi" w:cstheme="majorBidi"/>
          <w:sz w:val="26"/>
          <w:szCs w:val="26"/>
          <w:lang w:val="en-GB"/>
        </w:rPr>
      </w:pPr>
      <w:r w:rsidRPr="005931FB">
        <w:rPr>
          <w:rFonts w:asciiTheme="majorBidi" w:hAnsiTheme="majorBidi" w:cstheme="majorBidi"/>
          <w:sz w:val="26"/>
          <w:szCs w:val="26"/>
          <w:lang w:val="en-GB"/>
        </w:rPr>
        <w:t xml:space="preserve">Indicators of malnutrition (underweight, stunting, and wasting) are among the important indicators that indicate the nutritional, social, and health status of children. </w:t>
      </w:r>
      <w:r w:rsidR="00571CE1" w:rsidRPr="005931FB">
        <w:rPr>
          <w:rFonts w:asciiTheme="majorBidi" w:hAnsiTheme="majorBidi" w:cstheme="majorBidi"/>
          <w:sz w:val="26"/>
          <w:szCs w:val="26"/>
          <w:lang w:val="en-GB"/>
        </w:rPr>
        <w:t>D</w:t>
      </w:r>
      <w:r w:rsidRPr="005931FB">
        <w:rPr>
          <w:rFonts w:asciiTheme="majorBidi" w:hAnsiTheme="majorBidi" w:cstheme="majorBidi"/>
          <w:sz w:val="26"/>
          <w:szCs w:val="26"/>
          <w:lang w:val="en-GB"/>
        </w:rPr>
        <w:t>ata showed a remarkable improvement and progress in the nutritional status of children</w:t>
      </w:r>
      <w:r w:rsidRPr="005931FB">
        <w:rPr>
          <w:rFonts w:asciiTheme="majorBidi" w:hAnsiTheme="majorBidi" w:cstheme="majorBidi"/>
          <w:sz w:val="26"/>
          <w:szCs w:val="26"/>
          <w:rtl/>
          <w:lang w:val="en-GB"/>
        </w:rPr>
        <w:t>.</w:t>
      </w:r>
      <w:r w:rsidRPr="005931FB">
        <w:rPr>
          <w:rFonts w:asciiTheme="majorBidi" w:hAnsiTheme="majorBidi" w:cstheme="majorBidi"/>
          <w:sz w:val="26"/>
          <w:szCs w:val="26"/>
          <w:lang w:val="en-GB"/>
        </w:rPr>
        <w:t xml:space="preserve"> Data from the Palestinian Multiple Indicator Cluster Survey </w:t>
      </w:r>
      <w:r w:rsidR="00571CE1" w:rsidRPr="005931FB">
        <w:rPr>
          <w:rFonts w:asciiTheme="majorBidi" w:hAnsiTheme="majorBidi" w:cstheme="majorBidi"/>
          <w:sz w:val="26"/>
          <w:szCs w:val="26"/>
          <w:lang w:val="en-GB"/>
        </w:rPr>
        <w:t xml:space="preserve">(MICS) </w:t>
      </w:r>
      <w:r w:rsidRPr="005931FB">
        <w:rPr>
          <w:rFonts w:asciiTheme="majorBidi" w:hAnsiTheme="majorBidi" w:cstheme="majorBidi"/>
          <w:sz w:val="26"/>
          <w:szCs w:val="26"/>
          <w:lang w:val="en-GB"/>
        </w:rPr>
        <w:t xml:space="preserve">in 2019-2020 indicated that about 9% of children under the age of five suffer from stunting, 2% suffer from underweight, and 1% suffer from </w:t>
      </w:r>
      <w:r w:rsidR="00571CE1" w:rsidRPr="005931FB">
        <w:rPr>
          <w:rFonts w:asciiTheme="majorBidi" w:hAnsiTheme="majorBidi" w:cstheme="majorBidi"/>
          <w:sz w:val="26"/>
          <w:szCs w:val="26"/>
          <w:lang w:val="en-GB"/>
        </w:rPr>
        <w:t>wasting</w:t>
      </w:r>
      <w:r w:rsidRPr="005931FB">
        <w:rPr>
          <w:rFonts w:asciiTheme="majorBidi" w:hAnsiTheme="majorBidi" w:cstheme="majorBidi"/>
          <w:sz w:val="26"/>
          <w:szCs w:val="26"/>
          <w:lang w:val="en-GB"/>
        </w:rPr>
        <w:t>, while these percentages were</w:t>
      </w:r>
      <w:r w:rsidR="00571CE1" w:rsidRPr="005931FB">
        <w:rPr>
          <w:rFonts w:asciiTheme="majorBidi" w:hAnsiTheme="majorBidi" w:cstheme="majorBidi"/>
          <w:sz w:val="26"/>
          <w:szCs w:val="26"/>
          <w:lang w:val="en-GB"/>
        </w:rPr>
        <w:t>,</w:t>
      </w:r>
      <w:r w:rsidRPr="005931FB">
        <w:rPr>
          <w:rFonts w:asciiTheme="majorBidi" w:hAnsiTheme="majorBidi" w:cstheme="majorBidi"/>
          <w:sz w:val="26"/>
          <w:szCs w:val="26"/>
          <w:lang w:val="en-GB"/>
        </w:rPr>
        <w:t xml:space="preserve"> for the same age group</w:t>
      </w:r>
      <w:r w:rsidR="00571CE1" w:rsidRPr="005931FB">
        <w:rPr>
          <w:rFonts w:asciiTheme="majorBidi" w:hAnsiTheme="majorBidi" w:cstheme="majorBidi"/>
          <w:sz w:val="26"/>
          <w:szCs w:val="26"/>
          <w:lang w:val="en-GB"/>
        </w:rPr>
        <w:t xml:space="preserve">, </w:t>
      </w:r>
      <w:r w:rsidRPr="005931FB">
        <w:rPr>
          <w:rFonts w:asciiTheme="majorBidi" w:hAnsiTheme="majorBidi" w:cstheme="majorBidi"/>
          <w:sz w:val="26"/>
          <w:szCs w:val="26"/>
          <w:lang w:val="en-GB"/>
        </w:rPr>
        <w:t>about 11%, 4% and 3%, respectively</w:t>
      </w:r>
      <w:r w:rsidR="00571CE1" w:rsidRPr="005931FB">
        <w:rPr>
          <w:rFonts w:asciiTheme="majorBidi" w:hAnsiTheme="majorBidi" w:cstheme="majorBidi"/>
          <w:sz w:val="26"/>
          <w:szCs w:val="26"/>
          <w:lang w:val="en-GB"/>
        </w:rPr>
        <w:t xml:space="preserve"> in 2010</w:t>
      </w:r>
      <w:r w:rsidRPr="005931FB">
        <w:rPr>
          <w:rFonts w:asciiTheme="majorBidi" w:hAnsiTheme="majorBidi" w:cstheme="majorBidi"/>
          <w:sz w:val="26"/>
          <w:szCs w:val="26"/>
          <w:lang w:val="en-GB"/>
        </w:rPr>
        <w:t>.</w:t>
      </w:r>
    </w:p>
    <w:p w:rsidR="00FE243C" w:rsidRPr="00FE243C" w:rsidRDefault="00FE243C" w:rsidP="00FE243C">
      <w:pPr>
        <w:bidi w:val="0"/>
        <w:spacing w:after="0" w:line="240" w:lineRule="auto"/>
        <w:jc w:val="both"/>
        <w:rPr>
          <w:rFonts w:asciiTheme="majorBidi" w:hAnsiTheme="majorBidi" w:cstheme="majorBidi"/>
          <w:sz w:val="16"/>
          <w:szCs w:val="16"/>
          <w:lang w:val="en-GB"/>
        </w:rPr>
      </w:pPr>
    </w:p>
    <w:p w:rsidR="008D7D2D" w:rsidRPr="00FE243C" w:rsidRDefault="008D7D2D" w:rsidP="005931FB">
      <w:pPr>
        <w:bidi w:val="0"/>
        <w:spacing w:after="0" w:line="240" w:lineRule="auto"/>
        <w:jc w:val="center"/>
        <w:rPr>
          <w:rFonts w:asciiTheme="majorBidi" w:hAnsiTheme="majorBidi" w:cstheme="majorBidi"/>
          <w:b/>
          <w:bCs/>
          <w:sz w:val="28"/>
          <w:szCs w:val="28"/>
          <w:lang w:val="en-GB"/>
        </w:rPr>
      </w:pPr>
      <w:r w:rsidRPr="00FE243C">
        <w:rPr>
          <w:rFonts w:asciiTheme="majorBidi" w:hAnsiTheme="majorBidi" w:cstheme="majorBidi"/>
          <w:b/>
          <w:bCs/>
          <w:sz w:val="28"/>
          <w:szCs w:val="28"/>
          <w:lang w:val="en-GB"/>
        </w:rPr>
        <w:t>Prevalence of malnutrition among children under five years of age in Palestine 2010, 2020</w:t>
      </w:r>
    </w:p>
    <w:tbl>
      <w:tblPr>
        <w:tblStyle w:val="TableGrid"/>
        <w:tblW w:w="5004" w:type="dxa"/>
        <w:jc w:val="center"/>
        <w:tblLook w:val="04A0" w:firstRow="1" w:lastRow="0" w:firstColumn="1" w:lastColumn="0" w:noHBand="0" w:noVBand="1"/>
      </w:tblPr>
      <w:tblGrid>
        <w:gridCol w:w="5004"/>
      </w:tblGrid>
      <w:tr w:rsidR="005931FB" w:rsidRPr="005931FB" w:rsidTr="00FE243C">
        <w:trPr>
          <w:trHeight w:val="2477"/>
          <w:jc w:val="center"/>
        </w:trPr>
        <w:tc>
          <w:tcPr>
            <w:tcW w:w="5004" w:type="dxa"/>
          </w:tcPr>
          <w:p w:rsidR="008D7D2D" w:rsidRPr="005931FB" w:rsidRDefault="008D7D2D" w:rsidP="005931FB">
            <w:pPr>
              <w:bidi w:val="0"/>
              <w:spacing w:after="160"/>
              <w:jc w:val="both"/>
              <w:rPr>
                <w:rFonts w:asciiTheme="majorBidi" w:hAnsiTheme="majorBidi" w:cstheme="majorBidi"/>
                <w:sz w:val="26"/>
                <w:szCs w:val="26"/>
              </w:rPr>
            </w:pPr>
            <w:r w:rsidRPr="005931FB">
              <w:rPr>
                <w:rFonts w:asciiTheme="majorBidi" w:hAnsiTheme="majorBidi" w:cstheme="majorBidi"/>
                <w:noProof/>
                <w:sz w:val="26"/>
                <w:szCs w:val="26"/>
              </w:rPr>
              <w:drawing>
                <wp:inline distT="0" distB="0" distL="0" distR="0" wp14:anchorId="5CA79E81" wp14:editId="2578AD5B">
                  <wp:extent cx="3009900" cy="14382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6B1E22" w:rsidRPr="005931FB" w:rsidRDefault="006B1E22" w:rsidP="005931FB">
      <w:pPr>
        <w:bidi w:val="0"/>
        <w:spacing w:after="0" w:line="240" w:lineRule="auto"/>
        <w:rPr>
          <w:rFonts w:asciiTheme="majorBidi" w:hAnsiTheme="majorBidi" w:cstheme="majorBidi"/>
          <w:b/>
          <w:bCs/>
          <w:sz w:val="16"/>
          <w:szCs w:val="16"/>
          <w:lang w:val="en-GB"/>
        </w:rPr>
      </w:pPr>
    </w:p>
    <w:p w:rsidR="008D7D2D" w:rsidRPr="00FE243C" w:rsidRDefault="008D7D2D" w:rsidP="005931FB">
      <w:pPr>
        <w:bidi w:val="0"/>
        <w:spacing w:after="0" w:line="240" w:lineRule="auto"/>
        <w:rPr>
          <w:rFonts w:asciiTheme="majorBidi" w:hAnsiTheme="majorBidi" w:cstheme="majorBidi"/>
          <w:b/>
          <w:bCs/>
          <w:sz w:val="28"/>
          <w:szCs w:val="28"/>
          <w:lang w:val="en-GB"/>
        </w:rPr>
      </w:pPr>
      <w:r w:rsidRPr="00FE243C">
        <w:rPr>
          <w:rFonts w:asciiTheme="majorBidi" w:hAnsiTheme="majorBidi" w:cstheme="majorBidi"/>
          <w:b/>
          <w:bCs/>
          <w:sz w:val="28"/>
          <w:szCs w:val="28"/>
          <w:lang w:val="en-GB"/>
        </w:rPr>
        <w:t>An increase in contraceptive prevalence</w:t>
      </w:r>
    </w:p>
    <w:p w:rsidR="008D7D2D" w:rsidRPr="005931FB" w:rsidRDefault="008D7D2D" w:rsidP="005931FB">
      <w:pPr>
        <w:bidi w:val="0"/>
        <w:spacing w:after="0" w:line="240" w:lineRule="auto"/>
        <w:jc w:val="both"/>
        <w:rPr>
          <w:rFonts w:asciiTheme="majorBidi" w:hAnsiTheme="majorBidi" w:cstheme="majorBidi"/>
          <w:sz w:val="26"/>
          <w:szCs w:val="26"/>
          <w:lang w:val="en-GB"/>
        </w:rPr>
      </w:pPr>
      <w:r w:rsidRPr="005931FB">
        <w:rPr>
          <w:rFonts w:asciiTheme="majorBidi" w:hAnsiTheme="majorBidi" w:cstheme="majorBidi"/>
          <w:sz w:val="26"/>
          <w:szCs w:val="26"/>
          <w:lang w:val="en-GB"/>
        </w:rPr>
        <w:t xml:space="preserve">The percentage of using contraceptive methods have increased since 2010 in Palestine and significantly in Gaza Strip. The percentage of married women aged 15-49 years who or their husbands use any contraceptive methods reached about 57% in 2020; about 56% in the West Bank compared to 59% in Gaza Strip. </w:t>
      </w:r>
      <w:r w:rsidR="00571CE1" w:rsidRPr="005931FB">
        <w:rPr>
          <w:rFonts w:asciiTheme="majorBidi" w:hAnsiTheme="majorBidi" w:cstheme="majorBidi"/>
          <w:sz w:val="26"/>
          <w:szCs w:val="26"/>
          <w:lang w:val="en-GB"/>
        </w:rPr>
        <w:t xml:space="preserve">In 2010, </w:t>
      </w:r>
      <w:r w:rsidRPr="005931FB">
        <w:rPr>
          <w:rFonts w:asciiTheme="majorBidi" w:hAnsiTheme="majorBidi" w:cstheme="majorBidi"/>
          <w:sz w:val="26"/>
          <w:szCs w:val="26"/>
          <w:lang w:val="en-GB"/>
        </w:rPr>
        <w:t>the percentage was approximately 52% in Palestine</w:t>
      </w:r>
      <w:r w:rsidR="00571CE1" w:rsidRPr="005931FB">
        <w:rPr>
          <w:rFonts w:asciiTheme="majorBidi" w:hAnsiTheme="majorBidi" w:cstheme="majorBidi"/>
          <w:sz w:val="26"/>
          <w:szCs w:val="26"/>
          <w:lang w:val="en-GB"/>
        </w:rPr>
        <w:t xml:space="preserve">; </w:t>
      </w:r>
      <w:r w:rsidRPr="005931FB">
        <w:rPr>
          <w:rFonts w:asciiTheme="majorBidi" w:hAnsiTheme="majorBidi" w:cstheme="majorBidi"/>
          <w:sz w:val="26"/>
          <w:szCs w:val="26"/>
          <w:lang w:val="en-GB"/>
        </w:rPr>
        <w:t xml:space="preserve">55% in the West Bank compared to 48% in Gaza Strip. Despite the increase in the use of contraceptive methods, results showed that about one woman out of every </w:t>
      </w:r>
      <w:r w:rsidR="000D146C" w:rsidRPr="005931FB">
        <w:rPr>
          <w:rFonts w:asciiTheme="majorBidi" w:hAnsiTheme="majorBidi" w:cstheme="majorBidi"/>
          <w:sz w:val="26"/>
          <w:szCs w:val="26"/>
          <w:lang w:val="en-GB"/>
        </w:rPr>
        <w:t>eight</w:t>
      </w:r>
      <w:r w:rsidRPr="005931FB">
        <w:rPr>
          <w:rFonts w:asciiTheme="majorBidi" w:hAnsiTheme="majorBidi" w:cstheme="majorBidi"/>
          <w:sz w:val="26"/>
          <w:szCs w:val="26"/>
          <w:lang w:val="en-GB"/>
        </w:rPr>
        <w:t xml:space="preserve"> women has an unmet need </w:t>
      </w:r>
      <w:r w:rsidR="00571CE1" w:rsidRPr="005931FB">
        <w:rPr>
          <w:rFonts w:asciiTheme="majorBidi" w:hAnsiTheme="majorBidi" w:cstheme="majorBidi"/>
          <w:sz w:val="26"/>
          <w:szCs w:val="26"/>
          <w:lang w:val="en-GB"/>
        </w:rPr>
        <w:t xml:space="preserve">of </w:t>
      </w:r>
      <w:r w:rsidRPr="005931FB">
        <w:rPr>
          <w:rFonts w:asciiTheme="majorBidi" w:hAnsiTheme="majorBidi" w:cstheme="majorBidi"/>
          <w:sz w:val="26"/>
          <w:szCs w:val="26"/>
          <w:lang w:val="en-GB"/>
        </w:rPr>
        <w:t xml:space="preserve">family planning methods in 2020. This percentage is higher in the West Bank compared to Gaza Strip, where the rates reached 14% compared to 12%, respectively.  </w:t>
      </w:r>
    </w:p>
    <w:p w:rsidR="008D7D2D" w:rsidRPr="005931FB" w:rsidRDefault="008D7D2D" w:rsidP="005931FB">
      <w:pPr>
        <w:bidi w:val="0"/>
        <w:spacing w:after="0" w:line="240" w:lineRule="auto"/>
        <w:jc w:val="both"/>
        <w:rPr>
          <w:rFonts w:asciiTheme="majorBidi" w:hAnsiTheme="majorBidi" w:cstheme="majorBidi"/>
          <w:sz w:val="16"/>
          <w:szCs w:val="16"/>
          <w:lang w:val="en-GB"/>
        </w:rPr>
      </w:pPr>
    </w:p>
    <w:p w:rsidR="008D7D2D" w:rsidRPr="00FE243C" w:rsidRDefault="00571CE1" w:rsidP="005931FB">
      <w:pPr>
        <w:bidi w:val="0"/>
        <w:spacing w:after="0" w:line="240" w:lineRule="auto"/>
        <w:jc w:val="both"/>
        <w:rPr>
          <w:rFonts w:asciiTheme="majorBidi" w:hAnsiTheme="majorBidi" w:cstheme="majorBidi"/>
          <w:b/>
          <w:bCs/>
          <w:sz w:val="28"/>
          <w:szCs w:val="28"/>
          <w:lang w:val="en-GB"/>
        </w:rPr>
      </w:pPr>
      <w:r w:rsidRPr="00FE243C">
        <w:rPr>
          <w:rFonts w:asciiTheme="majorBidi" w:hAnsiTheme="majorBidi" w:cstheme="majorBidi"/>
          <w:b/>
          <w:bCs/>
          <w:sz w:val="28"/>
          <w:szCs w:val="28"/>
          <w:lang w:val="en-GB"/>
        </w:rPr>
        <w:t xml:space="preserve">A rise in the </w:t>
      </w:r>
      <w:r w:rsidR="008D7D2D" w:rsidRPr="00FE243C">
        <w:rPr>
          <w:rFonts w:asciiTheme="majorBidi" w:hAnsiTheme="majorBidi" w:cstheme="majorBidi"/>
          <w:b/>
          <w:bCs/>
          <w:sz w:val="28"/>
          <w:szCs w:val="28"/>
          <w:lang w:val="en-GB"/>
        </w:rPr>
        <w:t xml:space="preserve">Caesarean </w:t>
      </w:r>
      <w:r w:rsidRPr="00FE243C">
        <w:rPr>
          <w:rFonts w:asciiTheme="majorBidi" w:hAnsiTheme="majorBidi" w:cstheme="majorBidi"/>
          <w:b/>
          <w:bCs/>
          <w:sz w:val="28"/>
          <w:szCs w:val="28"/>
          <w:lang w:val="en-GB"/>
        </w:rPr>
        <w:t xml:space="preserve">Deliveries </w:t>
      </w:r>
    </w:p>
    <w:p w:rsidR="008D7D2D" w:rsidRPr="005931FB" w:rsidRDefault="008D7D2D" w:rsidP="005931FB">
      <w:pPr>
        <w:bidi w:val="0"/>
        <w:spacing w:after="0" w:line="240" w:lineRule="auto"/>
        <w:jc w:val="both"/>
        <w:rPr>
          <w:rFonts w:asciiTheme="majorBidi" w:hAnsiTheme="majorBidi" w:cstheme="majorBidi"/>
          <w:sz w:val="26"/>
          <w:szCs w:val="26"/>
          <w:lang w:val="en-GB"/>
        </w:rPr>
      </w:pPr>
      <w:r w:rsidRPr="005931FB">
        <w:rPr>
          <w:rFonts w:asciiTheme="majorBidi" w:hAnsiTheme="majorBidi" w:cstheme="majorBidi"/>
          <w:sz w:val="26"/>
          <w:szCs w:val="26"/>
          <w:lang w:val="en-GB"/>
        </w:rPr>
        <w:t xml:space="preserve">The percentage of </w:t>
      </w:r>
      <w:r w:rsidR="00571CE1" w:rsidRPr="005931FB">
        <w:rPr>
          <w:rFonts w:asciiTheme="majorBidi" w:hAnsiTheme="majorBidi" w:cstheme="majorBidi"/>
          <w:sz w:val="26"/>
          <w:szCs w:val="26"/>
          <w:lang w:val="en-GB"/>
        </w:rPr>
        <w:t>caesarean</w:t>
      </w:r>
      <w:r w:rsidRPr="005931FB">
        <w:rPr>
          <w:rFonts w:asciiTheme="majorBidi" w:hAnsiTheme="majorBidi" w:cstheme="majorBidi"/>
          <w:sz w:val="26"/>
          <w:szCs w:val="26"/>
          <w:lang w:val="en-GB"/>
        </w:rPr>
        <w:t xml:space="preserve"> deliveries in Palestine reached 26% of all births in 2020; 28% in the West Bank compared to 22% in Gaza Strip. </w:t>
      </w:r>
      <w:r w:rsidR="00571CE1" w:rsidRPr="005931FB">
        <w:rPr>
          <w:rFonts w:asciiTheme="majorBidi" w:hAnsiTheme="majorBidi" w:cstheme="majorBidi"/>
          <w:sz w:val="26"/>
          <w:szCs w:val="26"/>
          <w:lang w:val="en-GB"/>
        </w:rPr>
        <w:t xml:space="preserve">Results </w:t>
      </w:r>
      <w:r w:rsidRPr="005931FB">
        <w:rPr>
          <w:rFonts w:asciiTheme="majorBidi" w:hAnsiTheme="majorBidi" w:cstheme="majorBidi"/>
          <w:sz w:val="26"/>
          <w:szCs w:val="26"/>
          <w:lang w:val="en-GB"/>
        </w:rPr>
        <w:t xml:space="preserve">showed that the percentage of </w:t>
      </w:r>
      <w:r w:rsidR="00571CE1" w:rsidRPr="005931FB">
        <w:rPr>
          <w:rFonts w:asciiTheme="majorBidi" w:hAnsiTheme="majorBidi" w:cstheme="majorBidi"/>
          <w:sz w:val="26"/>
          <w:szCs w:val="26"/>
          <w:lang w:val="en-GB"/>
        </w:rPr>
        <w:t>caesarean</w:t>
      </w:r>
      <w:r w:rsidRPr="005931FB">
        <w:rPr>
          <w:rFonts w:asciiTheme="majorBidi" w:hAnsiTheme="majorBidi" w:cstheme="majorBidi"/>
          <w:sz w:val="26"/>
          <w:szCs w:val="26"/>
          <w:lang w:val="en-GB"/>
        </w:rPr>
        <w:t xml:space="preserve"> deliveries that were decided before the </w:t>
      </w:r>
      <w:r w:rsidR="00571CE1" w:rsidRPr="005931FB">
        <w:rPr>
          <w:rFonts w:asciiTheme="majorBidi" w:hAnsiTheme="majorBidi" w:cstheme="majorBidi"/>
          <w:sz w:val="26"/>
          <w:szCs w:val="26"/>
          <w:lang w:val="en-GB"/>
        </w:rPr>
        <w:t xml:space="preserve">beginning </w:t>
      </w:r>
      <w:r w:rsidRPr="005931FB">
        <w:rPr>
          <w:rFonts w:asciiTheme="majorBidi" w:hAnsiTheme="majorBidi" w:cstheme="majorBidi"/>
          <w:sz w:val="26"/>
          <w:szCs w:val="26"/>
          <w:lang w:val="en-GB"/>
        </w:rPr>
        <w:t xml:space="preserve">of labor pains was about 18%, compared to 8% of them that were decided after the </w:t>
      </w:r>
      <w:r w:rsidR="00571CE1" w:rsidRPr="005931FB">
        <w:rPr>
          <w:rFonts w:asciiTheme="majorBidi" w:hAnsiTheme="majorBidi" w:cstheme="majorBidi"/>
          <w:sz w:val="26"/>
          <w:szCs w:val="26"/>
        </w:rPr>
        <w:t>beginning</w:t>
      </w:r>
      <w:r w:rsidR="00571CE1" w:rsidRPr="005931FB">
        <w:rPr>
          <w:rFonts w:asciiTheme="majorBidi" w:hAnsiTheme="majorBidi" w:cstheme="majorBidi"/>
          <w:sz w:val="26"/>
          <w:szCs w:val="26"/>
          <w:lang w:val="en-GB"/>
        </w:rPr>
        <w:t xml:space="preserve"> </w:t>
      </w:r>
      <w:r w:rsidRPr="005931FB">
        <w:rPr>
          <w:rFonts w:asciiTheme="majorBidi" w:hAnsiTheme="majorBidi" w:cstheme="majorBidi"/>
          <w:sz w:val="26"/>
          <w:szCs w:val="26"/>
          <w:lang w:val="en-GB"/>
        </w:rPr>
        <w:t xml:space="preserve">of labor pains. While the percentage of </w:t>
      </w:r>
      <w:r w:rsidR="00571CE1" w:rsidRPr="005931FB">
        <w:rPr>
          <w:rFonts w:asciiTheme="majorBidi" w:hAnsiTheme="majorBidi" w:cstheme="majorBidi"/>
          <w:sz w:val="26"/>
          <w:szCs w:val="26"/>
          <w:lang w:val="en-GB"/>
        </w:rPr>
        <w:t>caesarean</w:t>
      </w:r>
      <w:r w:rsidRPr="005931FB">
        <w:rPr>
          <w:rFonts w:asciiTheme="majorBidi" w:hAnsiTheme="majorBidi" w:cstheme="majorBidi"/>
          <w:sz w:val="26"/>
          <w:szCs w:val="26"/>
          <w:lang w:val="en-GB"/>
        </w:rPr>
        <w:t xml:space="preserve"> deliveries </w:t>
      </w:r>
      <w:r w:rsidR="00676711" w:rsidRPr="005931FB">
        <w:rPr>
          <w:rFonts w:asciiTheme="majorBidi" w:hAnsiTheme="majorBidi" w:cstheme="majorBidi"/>
          <w:sz w:val="26"/>
          <w:szCs w:val="26"/>
          <w:lang w:val="en-GB"/>
        </w:rPr>
        <w:t xml:space="preserve">was </w:t>
      </w:r>
      <w:r w:rsidRPr="005931FB">
        <w:rPr>
          <w:rFonts w:asciiTheme="majorBidi" w:hAnsiTheme="majorBidi" w:cstheme="majorBidi"/>
          <w:sz w:val="26"/>
          <w:szCs w:val="26"/>
          <w:lang w:val="en-GB"/>
        </w:rPr>
        <w:t>17% in 2010; 19% in the West Bank compared to 14% in Gaza Strip.</w:t>
      </w:r>
    </w:p>
    <w:p w:rsidR="008D7D2D" w:rsidRPr="005931FB" w:rsidRDefault="008D7D2D" w:rsidP="005931FB">
      <w:pPr>
        <w:bidi w:val="0"/>
        <w:spacing w:after="0" w:line="240" w:lineRule="auto"/>
        <w:jc w:val="both"/>
        <w:rPr>
          <w:rFonts w:asciiTheme="majorBidi" w:hAnsiTheme="majorBidi" w:cstheme="majorBidi"/>
          <w:sz w:val="16"/>
          <w:szCs w:val="16"/>
          <w:lang w:val="en-GB"/>
        </w:rPr>
      </w:pPr>
      <w:r w:rsidRPr="005931FB">
        <w:rPr>
          <w:rFonts w:asciiTheme="majorBidi" w:hAnsiTheme="majorBidi" w:cstheme="majorBidi"/>
          <w:sz w:val="26"/>
          <w:szCs w:val="26"/>
          <w:lang w:val="en-GB"/>
        </w:rPr>
        <w:t xml:space="preserve"> </w:t>
      </w:r>
    </w:p>
    <w:p w:rsidR="008D7D2D" w:rsidRPr="00FE243C" w:rsidRDefault="008D7D2D" w:rsidP="005931FB">
      <w:pPr>
        <w:bidi w:val="0"/>
        <w:spacing w:after="0" w:line="240" w:lineRule="auto"/>
        <w:jc w:val="both"/>
        <w:rPr>
          <w:rFonts w:asciiTheme="majorBidi" w:hAnsiTheme="majorBidi" w:cstheme="majorBidi"/>
          <w:b/>
          <w:bCs/>
          <w:sz w:val="28"/>
          <w:szCs w:val="28"/>
          <w:lang w:val="en-GB"/>
        </w:rPr>
      </w:pPr>
      <w:r w:rsidRPr="00FE243C">
        <w:rPr>
          <w:rFonts w:asciiTheme="majorBidi" w:hAnsiTheme="majorBidi" w:cstheme="majorBidi"/>
          <w:b/>
          <w:bCs/>
          <w:sz w:val="28"/>
          <w:szCs w:val="28"/>
          <w:lang w:val="en-GB"/>
        </w:rPr>
        <w:t>The majority of women received healthcare during pregnancy</w:t>
      </w:r>
    </w:p>
    <w:p w:rsidR="008D7D2D" w:rsidRPr="005931FB" w:rsidRDefault="008D7D2D" w:rsidP="005931FB">
      <w:pPr>
        <w:bidi w:val="0"/>
        <w:spacing w:after="0" w:line="240" w:lineRule="auto"/>
        <w:jc w:val="both"/>
        <w:rPr>
          <w:rFonts w:asciiTheme="majorBidi" w:hAnsiTheme="majorBidi" w:cstheme="majorBidi"/>
          <w:sz w:val="26"/>
          <w:szCs w:val="26"/>
          <w:lang w:val="en-GB"/>
        </w:rPr>
      </w:pPr>
      <w:r w:rsidRPr="005931FB">
        <w:rPr>
          <w:rFonts w:asciiTheme="majorBidi" w:hAnsiTheme="majorBidi" w:cstheme="majorBidi"/>
          <w:sz w:val="26"/>
          <w:szCs w:val="26"/>
          <w:lang w:val="en-GB"/>
        </w:rPr>
        <w:t xml:space="preserve">About 99% of women in Palestine received healthcare from skilled health personal during pregnancy, 98% in the West Bank compared to 99% in Gaza Strip in 2020. The percentage of women who received antenatal care at least 4 times was about 95%, while </w:t>
      </w:r>
      <w:r w:rsidR="00F82521" w:rsidRPr="005931FB">
        <w:rPr>
          <w:rFonts w:asciiTheme="majorBidi" w:hAnsiTheme="majorBidi" w:cstheme="majorBidi"/>
          <w:sz w:val="26"/>
          <w:szCs w:val="26"/>
          <w:lang w:val="en-GB"/>
        </w:rPr>
        <w:t xml:space="preserve">the percentage of </w:t>
      </w:r>
      <w:r w:rsidRPr="005931FB">
        <w:rPr>
          <w:rFonts w:asciiTheme="majorBidi" w:hAnsiTheme="majorBidi" w:cstheme="majorBidi"/>
          <w:sz w:val="26"/>
          <w:szCs w:val="26"/>
          <w:lang w:val="en-GB"/>
        </w:rPr>
        <w:t>those who received antenatal care at least 8 times</w:t>
      </w:r>
      <w:r w:rsidR="00F82521" w:rsidRPr="005931FB">
        <w:rPr>
          <w:rFonts w:asciiTheme="majorBidi" w:hAnsiTheme="majorBidi" w:cstheme="majorBidi"/>
          <w:sz w:val="26"/>
          <w:szCs w:val="26"/>
          <w:lang w:val="en-GB"/>
        </w:rPr>
        <w:t xml:space="preserve"> </w:t>
      </w:r>
      <w:r w:rsidRPr="005931FB">
        <w:rPr>
          <w:rFonts w:asciiTheme="majorBidi" w:hAnsiTheme="majorBidi" w:cstheme="majorBidi"/>
          <w:sz w:val="26"/>
          <w:szCs w:val="26"/>
          <w:lang w:val="en-GB"/>
        </w:rPr>
        <w:t>was about 73%</w:t>
      </w:r>
      <w:r w:rsidRPr="005931FB">
        <w:rPr>
          <w:rFonts w:asciiTheme="majorBidi" w:hAnsiTheme="majorBidi" w:cstheme="majorBidi"/>
          <w:sz w:val="26"/>
          <w:szCs w:val="26"/>
          <w:rtl/>
          <w:lang w:val="en-GB"/>
        </w:rPr>
        <w:t>.</w:t>
      </w:r>
    </w:p>
    <w:p w:rsidR="009318E6" w:rsidRDefault="009318E6" w:rsidP="00FE243C">
      <w:pPr>
        <w:bidi w:val="0"/>
        <w:spacing w:line="240" w:lineRule="auto"/>
        <w:jc w:val="center"/>
        <w:rPr>
          <w:rFonts w:asciiTheme="majorBidi" w:hAnsiTheme="majorBidi" w:cstheme="majorBidi"/>
          <w:sz w:val="26"/>
          <w:szCs w:val="26"/>
          <w:lang w:val="en-GB"/>
        </w:rPr>
      </w:pPr>
    </w:p>
    <w:p w:rsidR="009318E6" w:rsidRDefault="009318E6" w:rsidP="009318E6">
      <w:pPr>
        <w:bidi w:val="0"/>
        <w:spacing w:line="240" w:lineRule="auto"/>
        <w:jc w:val="center"/>
        <w:rPr>
          <w:rFonts w:asciiTheme="majorBidi" w:hAnsiTheme="majorBidi" w:cstheme="majorBidi"/>
          <w:sz w:val="26"/>
          <w:szCs w:val="26"/>
          <w:lang w:val="en-GB"/>
        </w:rPr>
      </w:pPr>
    </w:p>
    <w:p w:rsidR="005931FB" w:rsidRDefault="00FE243C" w:rsidP="009318E6">
      <w:pPr>
        <w:bidi w:val="0"/>
        <w:spacing w:line="240" w:lineRule="auto"/>
        <w:jc w:val="center"/>
        <w:rPr>
          <w:lang w:val="en-GB"/>
        </w:rPr>
      </w:pPr>
      <w:bookmarkStart w:id="0" w:name="_GoBack"/>
      <w:bookmarkEnd w:id="0"/>
      <w:r w:rsidRPr="00A95A5D">
        <w:rPr>
          <w:rFonts w:ascii="Times New Roman" w:eastAsia="Times New Roman" w:hAnsi="Times New Roman" w:cs="Simplified Arabic"/>
          <w:noProof/>
          <w:sz w:val="20"/>
          <w:szCs w:val="20"/>
          <w:rtl/>
        </w:rPr>
        <w:drawing>
          <wp:inline distT="0" distB="0" distL="0" distR="0" wp14:anchorId="37D1F90E" wp14:editId="0D4C6814">
            <wp:extent cx="949486" cy="1177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J.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112" cy="1217210"/>
                    </a:xfrm>
                    <a:prstGeom prst="rect">
                      <a:avLst/>
                    </a:prstGeom>
                  </pic:spPr>
                </pic:pic>
              </a:graphicData>
            </a:graphic>
          </wp:inline>
        </w:drawing>
      </w:r>
    </w:p>
    <w:p w:rsidR="00A95A5D" w:rsidRDefault="00A95A5D" w:rsidP="005931FB">
      <w:pPr>
        <w:bidi w:val="0"/>
        <w:spacing w:line="240" w:lineRule="auto"/>
        <w:jc w:val="both"/>
        <w:rPr>
          <w:lang w:val="en-GB"/>
        </w:rPr>
      </w:pPr>
    </w:p>
    <w:p w:rsidR="00A95A5D" w:rsidRPr="00AD5EDD" w:rsidRDefault="00A95A5D" w:rsidP="005931FB">
      <w:pPr>
        <w:bidi w:val="0"/>
        <w:spacing w:line="240" w:lineRule="auto"/>
        <w:jc w:val="both"/>
      </w:pPr>
    </w:p>
    <w:sectPr w:rsidR="00A95A5D" w:rsidRPr="00AD5EDD" w:rsidSect="00FE243C">
      <w:headerReference w:type="default" r:id="rId9"/>
      <w:footerReference w:type="default" r:id="rId10"/>
      <w:pgSz w:w="11906" w:h="16838" w:code="9"/>
      <w:pgMar w:top="993" w:right="1134" w:bottom="1134" w:left="993" w:header="1" w:footer="14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A9B" w:rsidRDefault="004C6A9B" w:rsidP="00FE74FE">
      <w:pPr>
        <w:spacing w:after="0" w:line="240" w:lineRule="auto"/>
      </w:pPr>
      <w:r>
        <w:separator/>
      </w:r>
    </w:p>
  </w:endnote>
  <w:endnote w:type="continuationSeparator" w:id="0">
    <w:p w:rsidR="004C6A9B" w:rsidRDefault="004C6A9B" w:rsidP="00FE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00472407"/>
      <w:docPartObj>
        <w:docPartGallery w:val="Page Numbers (Bottom of Page)"/>
        <w:docPartUnique/>
      </w:docPartObj>
    </w:sdtPr>
    <w:sdtContent>
      <w:p w:rsidR="005931FB" w:rsidRDefault="005931FB">
        <w:pPr>
          <w:pStyle w:val="Footer"/>
          <w:jc w:val="center"/>
        </w:pPr>
        <w:r>
          <w:fldChar w:fldCharType="begin"/>
        </w:r>
        <w:r>
          <w:instrText xml:space="preserve"> PAGE   \* MERGEFORMAT </w:instrText>
        </w:r>
        <w:r>
          <w:fldChar w:fldCharType="separate"/>
        </w:r>
        <w:r w:rsidR="009B1375">
          <w:rPr>
            <w:noProof/>
            <w:rtl/>
          </w:rPr>
          <w:t>3</w:t>
        </w:r>
        <w:r>
          <w:rPr>
            <w:noProof/>
          </w:rPr>
          <w:fldChar w:fldCharType="end"/>
        </w:r>
      </w:p>
    </w:sdtContent>
  </w:sdt>
  <w:p w:rsidR="005931FB" w:rsidRDefault="0059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A9B" w:rsidRDefault="004C6A9B" w:rsidP="00FE74FE">
      <w:pPr>
        <w:spacing w:after="0" w:line="240" w:lineRule="auto"/>
      </w:pPr>
      <w:r>
        <w:separator/>
      </w:r>
    </w:p>
  </w:footnote>
  <w:footnote w:type="continuationSeparator" w:id="0">
    <w:p w:rsidR="004C6A9B" w:rsidRDefault="004C6A9B" w:rsidP="00FE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4FE" w:rsidRPr="005931FB" w:rsidRDefault="00FE74FE" w:rsidP="005931FB">
    <w:pPr>
      <w:pStyle w:val="Header"/>
      <w:tabs>
        <w:tab w:val="clear" w:pos="4153"/>
        <w:tab w:val="clear" w:pos="8306"/>
        <w:tab w:val="left" w:pos="5771"/>
      </w:tabs>
      <w:rPr>
        <w:rFonts w:hint="cs"/>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2D"/>
    <w:rsid w:val="00011CA9"/>
    <w:rsid w:val="0004703D"/>
    <w:rsid w:val="0009018C"/>
    <w:rsid w:val="000D146C"/>
    <w:rsid w:val="0015483C"/>
    <w:rsid w:val="0027354F"/>
    <w:rsid w:val="002850CB"/>
    <w:rsid w:val="002A3F2D"/>
    <w:rsid w:val="002C017D"/>
    <w:rsid w:val="00322EF2"/>
    <w:rsid w:val="003A4390"/>
    <w:rsid w:val="003C6964"/>
    <w:rsid w:val="00434806"/>
    <w:rsid w:val="00461029"/>
    <w:rsid w:val="004C6A9B"/>
    <w:rsid w:val="004D6837"/>
    <w:rsid w:val="00571CE1"/>
    <w:rsid w:val="005931FB"/>
    <w:rsid w:val="00593A85"/>
    <w:rsid w:val="005D7632"/>
    <w:rsid w:val="005F24E5"/>
    <w:rsid w:val="00624230"/>
    <w:rsid w:val="00643E68"/>
    <w:rsid w:val="00673E2F"/>
    <w:rsid w:val="00676711"/>
    <w:rsid w:val="006B1E22"/>
    <w:rsid w:val="007065A1"/>
    <w:rsid w:val="007B0D4D"/>
    <w:rsid w:val="00807FD9"/>
    <w:rsid w:val="008328FA"/>
    <w:rsid w:val="00870DCC"/>
    <w:rsid w:val="008D7D2D"/>
    <w:rsid w:val="008F5309"/>
    <w:rsid w:val="009055EC"/>
    <w:rsid w:val="00914B91"/>
    <w:rsid w:val="009318E6"/>
    <w:rsid w:val="00984EE5"/>
    <w:rsid w:val="009B1375"/>
    <w:rsid w:val="009E01B9"/>
    <w:rsid w:val="00A45644"/>
    <w:rsid w:val="00A64C3F"/>
    <w:rsid w:val="00A66583"/>
    <w:rsid w:val="00A9459C"/>
    <w:rsid w:val="00A95A5D"/>
    <w:rsid w:val="00AD5EDD"/>
    <w:rsid w:val="00AD6F40"/>
    <w:rsid w:val="00B87456"/>
    <w:rsid w:val="00C01217"/>
    <w:rsid w:val="00C02837"/>
    <w:rsid w:val="00C97089"/>
    <w:rsid w:val="00CF19C6"/>
    <w:rsid w:val="00D5330D"/>
    <w:rsid w:val="00DB3E62"/>
    <w:rsid w:val="00DF020A"/>
    <w:rsid w:val="00E2495D"/>
    <w:rsid w:val="00E42DBA"/>
    <w:rsid w:val="00ED562D"/>
    <w:rsid w:val="00EE233E"/>
    <w:rsid w:val="00F0440F"/>
    <w:rsid w:val="00F066EC"/>
    <w:rsid w:val="00F14293"/>
    <w:rsid w:val="00F82521"/>
    <w:rsid w:val="00FE243C"/>
    <w:rsid w:val="00FE2CF0"/>
    <w:rsid w:val="00FE7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82930"/>
  <w15:chartTrackingRefBased/>
  <w15:docId w15:val="{A224FDC7-5E41-474A-89DB-2BD8EC85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03D"/>
    <w:rPr>
      <w:rFonts w:ascii="Segoe UI" w:hAnsi="Segoe UI" w:cs="Segoe UI"/>
      <w:sz w:val="18"/>
      <w:szCs w:val="18"/>
    </w:rPr>
  </w:style>
  <w:style w:type="paragraph" w:styleId="Header">
    <w:name w:val="header"/>
    <w:basedOn w:val="Normal"/>
    <w:link w:val="HeaderChar"/>
    <w:uiPriority w:val="99"/>
    <w:unhideWhenUsed/>
    <w:rsid w:val="00FE74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74FE"/>
  </w:style>
  <w:style w:type="paragraph" w:styleId="Footer">
    <w:name w:val="footer"/>
    <w:basedOn w:val="Normal"/>
    <w:link w:val="FooterChar"/>
    <w:uiPriority w:val="99"/>
    <w:unhideWhenUsed/>
    <w:rsid w:val="00FE74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1508858267716536"/>
          <c:y val="0.18948506436695414"/>
          <c:w val="0.81677401912743741"/>
          <c:h val="0.63148106486689159"/>
        </c:manualLayout>
      </c:layout>
      <c:barChart>
        <c:barDir val="col"/>
        <c:grouping val="clustered"/>
        <c:varyColors val="0"/>
        <c:ser>
          <c:idx val="0"/>
          <c:order val="0"/>
          <c:tx>
            <c:strRef>
              <c:f>Sheet1!$B$1</c:f>
              <c:strCache>
                <c:ptCount val="1"/>
                <c:pt idx="0">
                  <c:v>2010</c:v>
                </c:pt>
              </c:strCache>
            </c:strRef>
          </c:tx>
          <c:spPr>
            <a:solidFill>
              <a:schemeClr val="accent2">
                <a:lumMod val="60000"/>
                <a:lumOff val="40000"/>
              </a:schemeClr>
            </a:solidFill>
            <a:ln>
              <a:noFill/>
            </a:ln>
            <a:effectLst/>
          </c:spPr>
          <c:invertIfNegative val="0"/>
          <c:dLbls>
            <c:dLbl>
              <c:idx val="2"/>
              <c:layout>
                <c:manualLayout>
                  <c:x val="-2.035623409669211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B1-48E4-AB95-22CF3C2EF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Palestine</c:v>
                </c:pt>
                <c:pt idx="1">
                  <c:v>West Bank</c:v>
                </c:pt>
                <c:pt idx="2">
                  <c:v>Gaza Strip</c:v>
                </c:pt>
              </c:strCache>
            </c:strRef>
          </c:cat>
          <c:val>
            <c:numRef>
              <c:f>Sheet1!$B$2:$B$4</c:f>
              <c:numCache>
                <c:formatCode>General</c:formatCode>
                <c:ptCount val="3"/>
                <c:pt idx="0">
                  <c:v>22.5</c:v>
                </c:pt>
                <c:pt idx="1">
                  <c:v>25.5</c:v>
                </c:pt>
                <c:pt idx="2">
                  <c:v>14.6</c:v>
                </c:pt>
              </c:numCache>
            </c:numRef>
          </c:val>
          <c:extLst>
            <c:ext xmlns:c16="http://schemas.microsoft.com/office/drawing/2014/chart" uri="{C3380CC4-5D6E-409C-BE32-E72D297353CC}">
              <c16:uniqueId val="{00000001-9FB1-48E4-AB95-22CF3C2EF9B9}"/>
            </c:ext>
          </c:extLst>
        </c:ser>
        <c:ser>
          <c:idx val="1"/>
          <c:order val="1"/>
          <c:tx>
            <c:strRef>
              <c:f>Sheet1!$C$1</c:f>
              <c:strCache>
                <c:ptCount val="1"/>
                <c:pt idx="0">
                  <c:v>2021</c:v>
                </c:pt>
              </c:strCache>
            </c:strRef>
          </c:tx>
          <c:spPr>
            <a:pattFill prst="pct25">
              <a:fgClr>
                <a:schemeClr val="accent2">
                  <a:lumMod val="7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Palestine</c:v>
                </c:pt>
                <c:pt idx="1">
                  <c:v>West Bank</c:v>
                </c:pt>
                <c:pt idx="2">
                  <c:v>Gaza Strip</c:v>
                </c:pt>
              </c:strCache>
            </c:strRef>
          </c:cat>
          <c:val>
            <c:numRef>
              <c:f>Sheet1!$C$2:$C$4</c:f>
              <c:numCache>
                <c:formatCode>General</c:formatCode>
                <c:ptCount val="3"/>
                <c:pt idx="0">
                  <c:v>31.3</c:v>
                </c:pt>
                <c:pt idx="1">
                  <c:v>40.1</c:v>
                </c:pt>
                <c:pt idx="2" formatCode="0.0">
                  <c:v>17</c:v>
                </c:pt>
              </c:numCache>
            </c:numRef>
          </c:val>
          <c:extLst>
            <c:ext xmlns:c16="http://schemas.microsoft.com/office/drawing/2014/chart" uri="{C3380CC4-5D6E-409C-BE32-E72D297353CC}">
              <c16:uniqueId val="{00000002-9FB1-48E4-AB95-22CF3C2EF9B9}"/>
            </c:ext>
          </c:extLst>
        </c:ser>
        <c:dLbls>
          <c:showLegendKey val="0"/>
          <c:showVal val="0"/>
          <c:showCatName val="0"/>
          <c:showSerName val="0"/>
          <c:showPercent val="0"/>
          <c:showBubbleSize val="0"/>
        </c:dLbls>
        <c:gapWidth val="219"/>
        <c:overlap val="-27"/>
        <c:axId val="757626640"/>
        <c:axId val="757627624"/>
      </c:barChart>
      <c:catAx>
        <c:axId val="75762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757627624"/>
        <c:crosses val="autoZero"/>
        <c:auto val="1"/>
        <c:lblAlgn val="ctr"/>
        <c:lblOffset val="100"/>
        <c:noMultiLvlLbl val="0"/>
      </c:catAx>
      <c:valAx>
        <c:axId val="7576276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757626640"/>
        <c:crosses val="autoZero"/>
        <c:crossBetween val="between"/>
      </c:valAx>
      <c:spPr>
        <a:noFill/>
        <a:ln>
          <a:noFill/>
        </a:ln>
        <a:effectLst/>
      </c:spPr>
    </c:plotArea>
    <c:legend>
      <c:legendPos val="t"/>
      <c:layout>
        <c:manualLayout>
          <c:xMode val="edge"/>
          <c:yMode val="edge"/>
          <c:x val="0.31736450882570977"/>
          <c:y val="5.0955414012738856E-2"/>
          <c:w val="0.46705175211877142"/>
          <c:h val="0.14331310497015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40321968406606"/>
          <c:y val="0.24956980377452823"/>
          <c:w val="0.86543550412193526"/>
          <c:h val="0.51128508936382955"/>
        </c:manualLayout>
      </c:layout>
      <c:barChart>
        <c:barDir val="col"/>
        <c:grouping val="clustered"/>
        <c:varyColors val="0"/>
        <c:ser>
          <c:idx val="0"/>
          <c:order val="0"/>
          <c:tx>
            <c:strRef>
              <c:f>Sheet1!$B$1</c:f>
              <c:strCache>
                <c:ptCount val="1"/>
                <c:pt idx="0">
                  <c:v>2010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underweight</c:v>
                </c:pt>
                <c:pt idx="1">
                  <c:v>stunting</c:v>
                </c:pt>
                <c:pt idx="2">
                  <c:v>wasting</c:v>
                </c:pt>
              </c:strCache>
            </c:strRef>
          </c:cat>
          <c:val>
            <c:numRef>
              <c:f>Sheet1!$B$2:$B$4</c:f>
              <c:numCache>
                <c:formatCode>0.0</c:formatCode>
                <c:ptCount val="3"/>
                <c:pt idx="0">
                  <c:v>3.7</c:v>
                </c:pt>
                <c:pt idx="1">
                  <c:v>10.9</c:v>
                </c:pt>
                <c:pt idx="2">
                  <c:v>3.3</c:v>
                </c:pt>
              </c:numCache>
            </c:numRef>
          </c:val>
          <c:extLst>
            <c:ext xmlns:c16="http://schemas.microsoft.com/office/drawing/2014/chart" uri="{C3380CC4-5D6E-409C-BE32-E72D297353CC}">
              <c16:uniqueId val="{00000000-67D9-479B-A9BE-1F581015539F}"/>
            </c:ext>
          </c:extLst>
        </c:ser>
        <c:ser>
          <c:idx val="1"/>
          <c:order val="1"/>
          <c:tx>
            <c:strRef>
              <c:f>Sheet1!$C$1</c:f>
              <c:strCache>
                <c:ptCount val="1"/>
                <c:pt idx="0">
                  <c:v>2020</c:v>
                </c:pt>
              </c:strCache>
            </c:strRef>
          </c:tx>
          <c:spPr>
            <a:pattFill prst="ltDnDiag">
              <a:fgClr>
                <a:schemeClr val="accent1"/>
              </a:fgClr>
              <a:bgClr>
                <a:schemeClr val="bg1"/>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underweight</c:v>
                </c:pt>
                <c:pt idx="1">
                  <c:v>stunting</c:v>
                </c:pt>
                <c:pt idx="2">
                  <c:v>wasting</c:v>
                </c:pt>
              </c:strCache>
            </c:strRef>
          </c:cat>
          <c:val>
            <c:numRef>
              <c:f>Sheet1!$C$2:$C$4</c:f>
              <c:numCache>
                <c:formatCode>0.0</c:formatCode>
                <c:ptCount val="3"/>
                <c:pt idx="0">
                  <c:v>2.1</c:v>
                </c:pt>
                <c:pt idx="1">
                  <c:v>8.6999999999999993</c:v>
                </c:pt>
                <c:pt idx="2">
                  <c:v>1.3</c:v>
                </c:pt>
              </c:numCache>
            </c:numRef>
          </c:val>
          <c:extLst>
            <c:ext xmlns:c16="http://schemas.microsoft.com/office/drawing/2014/chart" uri="{C3380CC4-5D6E-409C-BE32-E72D297353CC}">
              <c16:uniqueId val="{00000001-67D9-479B-A9BE-1F581015539F}"/>
            </c:ext>
          </c:extLst>
        </c:ser>
        <c:dLbls>
          <c:dLblPos val="outEnd"/>
          <c:showLegendKey val="0"/>
          <c:showVal val="1"/>
          <c:showCatName val="0"/>
          <c:showSerName val="0"/>
          <c:showPercent val="0"/>
          <c:showBubbleSize val="0"/>
        </c:dLbls>
        <c:gapWidth val="164"/>
        <c:overlap val="-22"/>
        <c:axId val="1134533720"/>
        <c:axId val="1134536672"/>
      </c:barChart>
      <c:catAx>
        <c:axId val="11345337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134536672"/>
        <c:crosses val="autoZero"/>
        <c:auto val="1"/>
        <c:lblAlgn val="ctr"/>
        <c:lblOffset val="100"/>
        <c:noMultiLvlLbl val="0"/>
      </c:catAx>
      <c:valAx>
        <c:axId val="113453667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134533720"/>
        <c:crosses val="autoZero"/>
        <c:crossBetween val="between"/>
      </c:valAx>
      <c:spPr>
        <a:noFill/>
        <a:ln>
          <a:noFill/>
        </a:ln>
        <a:effectLst/>
      </c:spPr>
    </c:plotArea>
    <c:legend>
      <c:legendPos val="t"/>
      <c:layout>
        <c:manualLayout>
          <c:xMode val="edge"/>
          <c:yMode val="edge"/>
          <c:x val="0.23777190259976627"/>
          <c:y val="4.690117252931323E-2"/>
          <c:w val="0.52445581163668409"/>
          <c:h val="0.113066117991532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noFill/>
    <a:ln w="9525" cap="flat" cmpd="sng" algn="ctr">
      <a:noFill/>
      <a:round/>
    </a:ln>
    <a:effectLst/>
  </c:spPr>
  <c:txPr>
    <a:bodyPr/>
    <a:lstStyle/>
    <a:p>
      <a:pPr>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 Mousa</dc:creator>
  <cp:keywords/>
  <dc:description/>
  <cp:lastModifiedBy>Hadeel Badran</cp:lastModifiedBy>
  <cp:revision>2</cp:revision>
  <cp:lastPrinted>2023-04-06T07:20:00Z</cp:lastPrinted>
  <dcterms:created xsi:type="dcterms:W3CDTF">2023-04-06T07:25:00Z</dcterms:created>
  <dcterms:modified xsi:type="dcterms:W3CDTF">2023-04-06T07:25:00Z</dcterms:modified>
</cp:coreProperties>
</file>