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3099E" w14:textId="7B0958D8" w:rsidR="006929CA" w:rsidRPr="006929CA" w:rsidRDefault="006929CA" w:rsidP="006929CA">
      <w:pPr>
        <w:bidi w:val="0"/>
        <w:jc w:val="both"/>
        <w:rPr>
          <w:rFonts w:asciiTheme="majorBidi" w:hAnsiTheme="majorBidi" w:cstheme="majorBidi"/>
          <w:b/>
          <w:bCs/>
          <w:sz w:val="32"/>
          <w:szCs w:val="32"/>
        </w:rPr>
      </w:pPr>
      <w:bookmarkStart w:id="0" w:name="_GoBack"/>
      <w:bookmarkEnd w:id="0"/>
      <w:r w:rsidRPr="006929CA">
        <w:rPr>
          <w:rFonts w:asciiTheme="majorBidi" w:hAnsiTheme="majorBidi" w:cstheme="majorBidi"/>
          <w:b/>
          <w:bCs/>
          <w:sz w:val="32"/>
          <w:szCs w:val="32"/>
        </w:rPr>
        <w:t>H.E. Dr. Ola Awad, President of the Palestinian Central Bureau</w:t>
      </w:r>
      <w:r>
        <w:rPr>
          <w:rFonts w:asciiTheme="majorBidi" w:hAnsiTheme="majorBidi" w:cstheme="majorBidi"/>
          <w:b/>
          <w:bCs/>
          <w:sz w:val="32"/>
          <w:szCs w:val="32"/>
        </w:rPr>
        <w:t xml:space="preserve">              </w:t>
      </w:r>
      <w:r w:rsidRPr="006929CA">
        <w:rPr>
          <w:rFonts w:asciiTheme="majorBidi" w:hAnsiTheme="majorBidi" w:cstheme="majorBidi"/>
          <w:b/>
          <w:bCs/>
          <w:sz w:val="32"/>
          <w:szCs w:val="32"/>
        </w:rPr>
        <w:t xml:space="preserve"> of Statistics (PCBS)</w:t>
      </w:r>
    </w:p>
    <w:p w14:paraId="24C4D4DB" w14:textId="77777777" w:rsidR="006929CA" w:rsidRPr="006929CA" w:rsidRDefault="006929CA" w:rsidP="006929CA">
      <w:pPr>
        <w:bidi w:val="0"/>
        <w:jc w:val="both"/>
        <w:rPr>
          <w:rFonts w:asciiTheme="majorBidi" w:hAnsiTheme="majorBidi" w:cstheme="majorBidi"/>
          <w:b/>
          <w:bCs/>
          <w:sz w:val="16"/>
          <w:szCs w:val="16"/>
        </w:rPr>
      </w:pPr>
    </w:p>
    <w:p w14:paraId="2E26A2F6" w14:textId="77777777" w:rsidR="006929CA" w:rsidRPr="006929CA" w:rsidRDefault="006929CA" w:rsidP="006929CA">
      <w:pPr>
        <w:bidi w:val="0"/>
        <w:jc w:val="both"/>
        <w:rPr>
          <w:b/>
          <w:bCs/>
          <w:color w:val="000000" w:themeColor="text1"/>
          <w:sz w:val="30"/>
          <w:szCs w:val="30"/>
        </w:rPr>
      </w:pPr>
      <w:r w:rsidRPr="006929CA">
        <w:rPr>
          <w:b/>
          <w:bCs/>
          <w:color w:val="000000" w:themeColor="text1"/>
          <w:sz w:val="30"/>
          <w:szCs w:val="30"/>
        </w:rPr>
        <w:t xml:space="preserve">Highlights the conditions of the Palestinian people through statistical figures and findings, </w:t>
      </w:r>
      <w:r w:rsidRPr="006929CA">
        <w:rPr>
          <w:b/>
          <w:bCs/>
          <w:sz w:val="30"/>
          <w:szCs w:val="30"/>
          <w:lang w:eastAsia="en-GB"/>
        </w:rPr>
        <w:t xml:space="preserve">on the occasion </w:t>
      </w:r>
      <w:r w:rsidRPr="006929CA">
        <w:rPr>
          <w:b/>
          <w:bCs/>
          <w:color w:val="000000" w:themeColor="text1"/>
          <w:sz w:val="30"/>
          <w:szCs w:val="30"/>
        </w:rPr>
        <w:t>of World Refugee Day</w:t>
      </w:r>
      <w:r w:rsidRPr="006929CA">
        <w:rPr>
          <w:rFonts w:hint="cs"/>
          <w:b/>
          <w:bCs/>
          <w:color w:val="000000" w:themeColor="text1"/>
          <w:sz w:val="30"/>
          <w:szCs w:val="30"/>
          <w:rtl/>
        </w:rPr>
        <w:t>,</w:t>
      </w:r>
      <w:r w:rsidRPr="006929CA">
        <w:rPr>
          <w:b/>
          <w:bCs/>
          <w:color w:val="000000" w:themeColor="text1"/>
          <w:sz w:val="30"/>
          <w:szCs w:val="30"/>
        </w:rPr>
        <w:t xml:space="preserve"> 20/06/2024</w:t>
      </w:r>
    </w:p>
    <w:p w14:paraId="09612D1B" w14:textId="3AE398A1" w:rsidR="00B13291" w:rsidRDefault="00B13291" w:rsidP="00B13291">
      <w:pPr>
        <w:pStyle w:val="BodyTextIndent"/>
        <w:ind w:left="0"/>
        <w:rPr>
          <w:color w:val="000000" w:themeColor="text1"/>
          <w:sz w:val="6"/>
          <w:szCs w:val="6"/>
        </w:rPr>
      </w:pPr>
    </w:p>
    <w:p w14:paraId="48631914" w14:textId="77777777" w:rsidR="006929CA" w:rsidRPr="00C6043A" w:rsidRDefault="006929CA" w:rsidP="00B13291">
      <w:pPr>
        <w:pStyle w:val="BodyTextIndent"/>
        <w:ind w:left="0"/>
        <w:rPr>
          <w:color w:val="000000" w:themeColor="text1"/>
          <w:sz w:val="6"/>
          <w:szCs w:val="6"/>
          <w:rtl/>
        </w:rPr>
      </w:pPr>
    </w:p>
    <w:p w14:paraId="6BC65EC0" w14:textId="77777777" w:rsidR="006929CA" w:rsidRDefault="006929CA" w:rsidP="00C6043A">
      <w:pPr>
        <w:pStyle w:val="BodyText"/>
        <w:bidi w:val="0"/>
        <w:spacing w:after="0"/>
        <w:rPr>
          <w:rStyle w:val="shorttext"/>
          <w:rFonts w:asciiTheme="majorBidi" w:hAnsiTheme="majorBidi" w:cstheme="majorBidi"/>
          <w:b/>
          <w:bCs/>
          <w:color w:val="000000" w:themeColor="text1"/>
          <w:sz w:val="28"/>
          <w:szCs w:val="28"/>
        </w:rPr>
      </w:pPr>
    </w:p>
    <w:p w14:paraId="4ADA81D4" w14:textId="22CE9F6A" w:rsidR="00B13291" w:rsidRPr="006929CA" w:rsidRDefault="00B13291" w:rsidP="006929CA">
      <w:pPr>
        <w:pStyle w:val="BodyText"/>
        <w:bidi w:val="0"/>
        <w:spacing w:after="0"/>
        <w:rPr>
          <w:rStyle w:val="shorttext"/>
          <w:rFonts w:asciiTheme="majorBidi" w:hAnsiTheme="majorBidi" w:cstheme="majorBidi"/>
          <w:b/>
          <w:bCs/>
          <w:color w:val="000000" w:themeColor="text1"/>
          <w:sz w:val="28"/>
          <w:szCs w:val="28"/>
          <w:rtl/>
        </w:rPr>
      </w:pPr>
      <w:r w:rsidRPr="006929CA">
        <w:rPr>
          <w:rStyle w:val="shorttext"/>
          <w:rFonts w:asciiTheme="majorBidi" w:hAnsiTheme="majorBidi" w:cstheme="majorBidi"/>
          <w:b/>
          <w:bCs/>
          <w:color w:val="000000" w:themeColor="text1"/>
          <w:sz w:val="28"/>
          <w:szCs w:val="28"/>
        </w:rPr>
        <w:t xml:space="preserve">More than </w:t>
      </w:r>
      <w:r w:rsidR="00C6043A" w:rsidRPr="006929CA">
        <w:rPr>
          <w:rStyle w:val="shorttext"/>
          <w:rFonts w:asciiTheme="majorBidi" w:hAnsiTheme="majorBidi" w:cstheme="majorBidi"/>
          <w:b/>
          <w:bCs/>
          <w:color w:val="000000" w:themeColor="text1"/>
          <w:sz w:val="28"/>
          <w:szCs w:val="28"/>
        </w:rPr>
        <w:t>136</w:t>
      </w:r>
      <w:r w:rsidRPr="006929CA">
        <w:rPr>
          <w:rStyle w:val="shorttext"/>
          <w:rFonts w:asciiTheme="majorBidi" w:hAnsiTheme="majorBidi" w:cstheme="majorBidi"/>
          <w:b/>
          <w:bCs/>
          <w:color w:val="000000" w:themeColor="text1"/>
          <w:sz w:val="28"/>
          <w:szCs w:val="28"/>
        </w:rPr>
        <w:t xml:space="preserve"> Thousand Martyrs since the</w:t>
      </w:r>
      <w:r w:rsidRPr="006929CA">
        <w:rPr>
          <w:b/>
          <w:bCs/>
          <w:color w:val="000000" w:themeColor="text1"/>
          <w:sz w:val="28"/>
          <w:szCs w:val="28"/>
        </w:rPr>
        <w:t xml:space="preserve"> Nakba,</w:t>
      </w:r>
      <w:r w:rsidRPr="006929CA">
        <w:rPr>
          <w:rStyle w:val="shorttext"/>
          <w:rFonts w:asciiTheme="majorBidi" w:hAnsiTheme="majorBidi" w:cstheme="majorBidi"/>
          <w:b/>
          <w:bCs/>
          <w:color w:val="000000" w:themeColor="text1"/>
          <w:sz w:val="28"/>
          <w:szCs w:val="28"/>
        </w:rPr>
        <w:t xml:space="preserve"> 1948</w:t>
      </w:r>
    </w:p>
    <w:p w14:paraId="5F7273BF" w14:textId="5B104757" w:rsidR="00F05E02" w:rsidRPr="006929CA" w:rsidRDefault="00B13291" w:rsidP="00580104">
      <w:pPr>
        <w:bidi w:val="0"/>
        <w:jc w:val="both"/>
        <w:rPr>
          <w:rFonts w:asciiTheme="majorBidi" w:hAnsiTheme="majorBidi" w:cstheme="majorBidi"/>
          <w:sz w:val="26"/>
          <w:szCs w:val="26"/>
          <w:rtl/>
        </w:rPr>
      </w:pPr>
      <w:r w:rsidRPr="006929CA">
        <w:rPr>
          <w:color w:val="000000" w:themeColor="text1"/>
          <w:sz w:val="26"/>
          <w:szCs w:val="26"/>
        </w:rPr>
        <w:t xml:space="preserve">The number of Palestinian and Arab martyrs killed since the Nakba in 1948 and until this day (inside and outside Palestine) reached more than </w:t>
      </w:r>
      <w:r w:rsidR="00C6043A" w:rsidRPr="006929CA">
        <w:rPr>
          <w:rFonts w:hint="cs"/>
          <w:color w:val="000000" w:themeColor="text1"/>
          <w:sz w:val="26"/>
          <w:szCs w:val="26"/>
          <w:rtl/>
        </w:rPr>
        <w:t>136</w:t>
      </w:r>
      <w:r w:rsidRPr="006929CA">
        <w:rPr>
          <w:color w:val="000000" w:themeColor="text1"/>
          <w:sz w:val="26"/>
          <w:szCs w:val="26"/>
        </w:rPr>
        <w:t xml:space="preserve"> thousand martyrs. Moreover, the number of martyrs killed in Al-Aqsa Intifada on September 29</w:t>
      </w:r>
      <w:r w:rsidRPr="006929CA">
        <w:rPr>
          <w:color w:val="000000" w:themeColor="text1"/>
          <w:sz w:val="26"/>
          <w:szCs w:val="26"/>
          <w:vertAlign w:val="superscript"/>
        </w:rPr>
        <w:t>th</w:t>
      </w:r>
      <w:r w:rsidRPr="006929CA">
        <w:rPr>
          <w:color w:val="000000" w:themeColor="text1"/>
          <w:sz w:val="26"/>
          <w:szCs w:val="26"/>
        </w:rPr>
        <w:t>, 2000 until April 30</w:t>
      </w:r>
      <w:r w:rsidRPr="006929CA">
        <w:rPr>
          <w:color w:val="000000" w:themeColor="text1"/>
          <w:sz w:val="26"/>
          <w:szCs w:val="26"/>
          <w:vertAlign w:val="superscript"/>
        </w:rPr>
        <w:t>th</w:t>
      </w:r>
      <w:r w:rsidRPr="006929CA">
        <w:rPr>
          <w:color w:val="000000" w:themeColor="text1"/>
          <w:sz w:val="26"/>
          <w:szCs w:val="26"/>
        </w:rPr>
        <w:t>, 2024 was about 46,500. The number of martyrs in Palestine since the start of the Israeli occupation aggression against Gaza Strip on October 7</w:t>
      </w:r>
      <w:r w:rsidRPr="006929CA">
        <w:rPr>
          <w:color w:val="000000" w:themeColor="text1"/>
          <w:sz w:val="26"/>
          <w:szCs w:val="26"/>
          <w:vertAlign w:val="superscript"/>
        </w:rPr>
        <w:t>th</w:t>
      </w:r>
      <w:r w:rsidRPr="006929CA">
        <w:rPr>
          <w:color w:val="000000" w:themeColor="text1"/>
          <w:sz w:val="26"/>
          <w:szCs w:val="26"/>
        </w:rPr>
        <w:t xml:space="preserve">, 2023 until May </w:t>
      </w:r>
      <w:r w:rsidR="00580104">
        <w:rPr>
          <w:rFonts w:hint="cs"/>
          <w:color w:val="000000" w:themeColor="text1"/>
          <w:sz w:val="26"/>
          <w:szCs w:val="26"/>
          <w:rtl/>
        </w:rPr>
        <w:t>13</w:t>
      </w:r>
      <w:r w:rsidRPr="006929CA">
        <w:rPr>
          <w:color w:val="000000" w:themeColor="text1"/>
          <w:sz w:val="26"/>
          <w:szCs w:val="26"/>
          <w:vertAlign w:val="superscript"/>
        </w:rPr>
        <w:t>th</w:t>
      </w:r>
      <w:r w:rsidRPr="006929CA">
        <w:rPr>
          <w:color w:val="000000" w:themeColor="text1"/>
          <w:sz w:val="26"/>
          <w:szCs w:val="26"/>
        </w:rPr>
        <w:t xml:space="preserve">, 2024 reached </w:t>
      </w:r>
      <w:r w:rsidR="00FB2A58" w:rsidRPr="00FB2A58">
        <w:rPr>
          <w:color w:val="000000" w:themeColor="text1"/>
          <w:sz w:val="26"/>
          <w:szCs w:val="26"/>
        </w:rPr>
        <w:t>more than 37,500 martyrs</w:t>
      </w:r>
      <w:r w:rsidRPr="006929CA">
        <w:rPr>
          <w:color w:val="000000" w:themeColor="text1"/>
          <w:sz w:val="26"/>
          <w:szCs w:val="26"/>
        </w:rPr>
        <w:t>; more than 1</w:t>
      </w:r>
      <w:r w:rsidR="00B06715" w:rsidRPr="006929CA">
        <w:rPr>
          <w:rFonts w:hint="cs"/>
          <w:color w:val="000000" w:themeColor="text1"/>
          <w:sz w:val="26"/>
          <w:szCs w:val="26"/>
          <w:rtl/>
        </w:rPr>
        <w:t>5</w:t>
      </w:r>
      <w:r w:rsidRPr="006929CA">
        <w:rPr>
          <w:color w:val="000000" w:themeColor="text1"/>
          <w:sz w:val="26"/>
          <w:szCs w:val="26"/>
        </w:rPr>
        <w:t>,</w:t>
      </w:r>
      <w:r w:rsidR="00B06715" w:rsidRPr="006929CA">
        <w:rPr>
          <w:rFonts w:hint="cs"/>
          <w:color w:val="000000" w:themeColor="text1"/>
          <w:sz w:val="26"/>
          <w:szCs w:val="26"/>
          <w:rtl/>
        </w:rPr>
        <w:t>162</w:t>
      </w:r>
      <w:r w:rsidRPr="006929CA">
        <w:rPr>
          <w:color w:val="000000" w:themeColor="text1"/>
          <w:sz w:val="26"/>
          <w:szCs w:val="26"/>
        </w:rPr>
        <w:t xml:space="preserve"> children and more than </w:t>
      </w:r>
      <w:r w:rsidR="00B06715" w:rsidRPr="006929CA">
        <w:rPr>
          <w:rFonts w:hint="cs"/>
          <w:color w:val="000000" w:themeColor="text1"/>
          <w:sz w:val="26"/>
          <w:szCs w:val="26"/>
          <w:rtl/>
        </w:rPr>
        <w:t>10</w:t>
      </w:r>
      <w:r w:rsidRPr="006929CA">
        <w:rPr>
          <w:color w:val="000000" w:themeColor="text1"/>
          <w:sz w:val="26"/>
          <w:szCs w:val="26"/>
        </w:rPr>
        <w:t>,</w:t>
      </w:r>
      <w:r w:rsidR="00B06715" w:rsidRPr="006929CA">
        <w:rPr>
          <w:rFonts w:hint="cs"/>
          <w:color w:val="000000" w:themeColor="text1"/>
          <w:sz w:val="26"/>
          <w:szCs w:val="26"/>
          <w:rtl/>
        </w:rPr>
        <w:t>018</w:t>
      </w:r>
      <w:r w:rsidRPr="006929CA">
        <w:rPr>
          <w:color w:val="000000" w:themeColor="text1"/>
          <w:sz w:val="26"/>
          <w:szCs w:val="26"/>
        </w:rPr>
        <w:t xml:space="preserve"> women, in addition to more than </w:t>
      </w:r>
      <w:r w:rsidR="00B06715" w:rsidRPr="006929CA">
        <w:rPr>
          <w:rFonts w:hint="cs"/>
          <w:color w:val="000000" w:themeColor="text1"/>
          <w:sz w:val="26"/>
          <w:szCs w:val="26"/>
          <w:rtl/>
        </w:rPr>
        <w:t>147</w:t>
      </w:r>
      <w:r w:rsidRPr="006929CA">
        <w:rPr>
          <w:color w:val="000000" w:themeColor="text1"/>
          <w:sz w:val="26"/>
          <w:szCs w:val="26"/>
        </w:rPr>
        <w:t xml:space="preserve"> journalists were martyred </w:t>
      </w:r>
      <w:r w:rsidR="00F0018E" w:rsidRPr="006929CA">
        <w:rPr>
          <w:color w:val="000000" w:themeColor="text1"/>
          <w:sz w:val="26"/>
          <w:szCs w:val="26"/>
        </w:rPr>
        <w:t xml:space="preserve">and more than 7,000 </w:t>
      </w:r>
      <w:r w:rsidR="00246E6C" w:rsidRPr="006929CA">
        <w:rPr>
          <w:color w:val="000000" w:themeColor="text1"/>
          <w:sz w:val="26"/>
          <w:szCs w:val="26"/>
        </w:rPr>
        <w:t xml:space="preserve">missing </w:t>
      </w:r>
      <w:r w:rsidR="00F0018E" w:rsidRPr="006929CA">
        <w:rPr>
          <w:color w:val="000000" w:themeColor="text1"/>
          <w:sz w:val="26"/>
          <w:szCs w:val="26"/>
        </w:rPr>
        <w:t>citizens, most of whom were women and children</w:t>
      </w:r>
      <w:r w:rsidR="00B25D60" w:rsidRPr="006929CA">
        <w:rPr>
          <w:color w:val="000000" w:themeColor="text1"/>
          <w:sz w:val="26"/>
          <w:szCs w:val="26"/>
        </w:rPr>
        <w:t>,</w:t>
      </w:r>
      <w:r w:rsidR="00F0018E" w:rsidRPr="006929CA">
        <w:rPr>
          <w:color w:val="000000" w:themeColor="text1"/>
          <w:sz w:val="26"/>
          <w:szCs w:val="26"/>
        </w:rPr>
        <w:t xml:space="preserve"> </w:t>
      </w:r>
      <w:r w:rsidRPr="006929CA">
        <w:rPr>
          <w:color w:val="000000" w:themeColor="text1"/>
          <w:sz w:val="26"/>
          <w:szCs w:val="26"/>
        </w:rPr>
        <w:t xml:space="preserve">according to the records of the Palestinian Ministry of Health in Gaza Strip. While the number of martyrs reached </w:t>
      </w:r>
      <w:r w:rsidR="00C6043A" w:rsidRPr="006929CA">
        <w:rPr>
          <w:rFonts w:hint="cs"/>
          <w:color w:val="000000" w:themeColor="text1"/>
          <w:sz w:val="26"/>
          <w:szCs w:val="26"/>
          <w:rtl/>
        </w:rPr>
        <w:t>532</w:t>
      </w:r>
      <w:r w:rsidRPr="006929CA">
        <w:rPr>
          <w:color w:val="000000" w:themeColor="text1"/>
          <w:sz w:val="26"/>
          <w:szCs w:val="26"/>
        </w:rPr>
        <w:t xml:space="preserve"> martyrs in the West Bank since the start of the Israeli occupation aggression on October 7</w:t>
      </w:r>
      <w:r w:rsidRPr="006929CA">
        <w:rPr>
          <w:color w:val="000000" w:themeColor="text1"/>
          <w:sz w:val="26"/>
          <w:szCs w:val="26"/>
          <w:vertAlign w:val="superscript"/>
        </w:rPr>
        <w:t>th</w:t>
      </w:r>
      <w:r w:rsidRPr="006929CA">
        <w:rPr>
          <w:color w:val="000000" w:themeColor="text1"/>
          <w:sz w:val="26"/>
          <w:szCs w:val="26"/>
        </w:rPr>
        <w:t>, 2023.</w:t>
      </w:r>
      <w:r w:rsidR="00F05E02" w:rsidRPr="006929CA">
        <w:rPr>
          <w:rFonts w:asciiTheme="majorBidi" w:hAnsiTheme="majorBidi" w:cstheme="majorBidi"/>
          <w:sz w:val="26"/>
          <w:szCs w:val="26"/>
        </w:rPr>
        <w:t xml:space="preserve"> </w:t>
      </w:r>
      <w:r w:rsidR="00F05E02" w:rsidRPr="006929CA">
        <w:rPr>
          <w:rFonts w:asciiTheme="majorBidi" w:hAnsiTheme="majorBidi" w:cstheme="majorBidi" w:hint="cs"/>
          <w:sz w:val="26"/>
          <w:szCs w:val="26"/>
          <w:rtl/>
        </w:rPr>
        <w:t xml:space="preserve"> </w:t>
      </w:r>
      <w:r w:rsidR="00F05E02" w:rsidRPr="006929CA">
        <w:rPr>
          <w:rFonts w:asciiTheme="majorBidi" w:hAnsiTheme="majorBidi" w:cstheme="majorBidi"/>
          <w:sz w:val="26"/>
          <w:szCs w:val="26"/>
        </w:rPr>
        <w:t>Approximately 2 million</w:t>
      </w:r>
      <w:r w:rsidR="00F05E02" w:rsidRPr="006929CA">
        <w:rPr>
          <w:rFonts w:asciiTheme="majorBidi" w:hAnsiTheme="majorBidi" w:cstheme="majorBidi" w:hint="cs"/>
          <w:sz w:val="26"/>
          <w:szCs w:val="26"/>
          <w:rtl/>
        </w:rPr>
        <w:t xml:space="preserve"> </w:t>
      </w:r>
      <w:r w:rsidR="00F05E02" w:rsidRPr="006929CA">
        <w:rPr>
          <w:rFonts w:asciiTheme="majorBidi" w:hAnsiTheme="majorBidi" w:cstheme="majorBidi"/>
          <w:sz w:val="26"/>
          <w:szCs w:val="26"/>
        </w:rPr>
        <w:t>citizens were displaced far from their places of residence</w:t>
      </w:r>
      <w:r w:rsidR="00C6043A" w:rsidRPr="006929CA">
        <w:rPr>
          <w:color w:val="000000" w:themeColor="text1"/>
          <w:sz w:val="26"/>
          <w:szCs w:val="26"/>
        </w:rPr>
        <w:t xml:space="preserve"> in Gaza Strip</w:t>
      </w:r>
      <w:r w:rsidR="00F05E02" w:rsidRPr="006929CA">
        <w:rPr>
          <w:rFonts w:asciiTheme="majorBidi" w:hAnsiTheme="majorBidi" w:cstheme="majorBidi"/>
          <w:sz w:val="26"/>
          <w:szCs w:val="26"/>
        </w:rPr>
        <w:t>.</w:t>
      </w:r>
    </w:p>
    <w:p w14:paraId="3BB381ED" w14:textId="72E473DB" w:rsidR="00B13291" w:rsidRPr="006929CA" w:rsidRDefault="00B13291" w:rsidP="00F05E02">
      <w:pPr>
        <w:pStyle w:val="BodyTextIndent"/>
        <w:ind w:left="0"/>
        <w:jc w:val="both"/>
        <w:rPr>
          <w:color w:val="000000" w:themeColor="text1"/>
          <w:sz w:val="16"/>
          <w:szCs w:val="16"/>
        </w:rPr>
      </w:pPr>
    </w:p>
    <w:p w14:paraId="0226F486" w14:textId="25164765" w:rsidR="00AA6618" w:rsidRPr="006929CA" w:rsidRDefault="00555C58" w:rsidP="006929CA">
      <w:pPr>
        <w:bidi w:val="0"/>
        <w:jc w:val="both"/>
        <w:rPr>
          <w:rFonts w:eastAsia="Calibri"/>
          <w:b/>
          <w:bCs/>
          <w:color w:val="000000" w:themeColor="text1"/>
          <w:sz w:val="28"/>
          <w:szCs w:val="28"/>
          <w:lang w:eastAsia="en-US"/>
        </w:rPr>
      </w:pPr>
      <w:r w:rsidRPr="006929CA">
        <w:rPr>
          <w:rFonts w:eastAsia="Calibri"/>
          <w:b/>
          <w:bCs/>
          <w:color w:val="000000" w:themeColor="text1"/>
          <w:sz w:val="28"/>
          <w:szCs w:val="28"/>
          <w:lang w:eastAsia="en-US"/>
        </w:rPr>
        <w:t>More than 6</w:t>
      </w:r>
      <w:r w:rsidR="00AA6618" w:rsidRPr="006929CA">
        <w:rPr>
          <w:rFonts w:eastAsia="Calibri"/>
          <w:b/>
          <w:bCs/>
          <w:color w:val="000000" w:themeColor="text1"/>
          <w:sz w:val="28"/>
          <w:szCs w:val="28"/>
          <w:lang w:eastAsia="en-US"/>
        </w:rPr>
        <w:t xml:space="preserve"> Million Registered Refugees with UNRWA in Palestine and Diaspora</w:t>
      </w:r>
    </w:p>
    <w:p w14:paraId="51B2D439" w14:textId="2CC31DA2" w:rsidR="00AA6618" w:rsidRPr="006929CA" w:rsidRDefault="00AA6618" w:rsidP="0038302D">
      <w:pPr>
        <w:pStyle w:val="BodyTextIndent"/>
        <w:ind w:left="0"/>
        <w:rPr>
          <w:color w:val="000000" w:themeColor="text1"/>
          <w:sz w:val="26"/>
          <w:szCs w:val="26"/>
        </w:rPr>
      </w:pPr>
      <w:r w:rsidRPr="006929CA">
        <w:rPr>
          <w:color w:val="000000" w:themeColor="text1"/>
          <w:sz w:val="26"/>
          <w:szCs w:val="26"/>
        </w:rPr>
        <w:t xml:space="preserve">UNRWA records indicated that the number of registered Palestinian refugees </w:t>
      </w:r>
      <w:r w:rsidR="00394617" w:rsidRPr="006929CA">
        <w:rPr>
          <w:color w:val="000000" w:themeColor="text1"/>
          <w:sz w:val="26"/>
          <w:szCs w:val="26"/>
        </w:rPr>
        <w:t xml:space="preserve">in January 2022 </w:t>
      </w:r>
      <w:r w:rsidRPr="006929CA">
        <w:rPr>
          <w:color w:val="000000" w:themeColor="text1"/>
          <w:sz w:val="26"/>
          <w:szCs w:val="26"/>
        </w:rPr>
        <w:t xml:space="preserve">amounted up to about </w:t>
      </w:r>
      <w:r w:rsidR="00394617" w:rsidRPr="006929CA">
        <w:rPr>
          <w:rFonts w:hint="cs"/>
          <w:color w:val="000000" w:themeColor="text1"/>
          <w:sz w:val="26"/>
          <w:szCs w:val="26"/>
          <w:rtl/>
        </w:rPr>
        <w:t>5.9</w:t>
      </w:r>
      <w:r w:rsidRPr="006929CA">
        <w:rPr>
          <w:color w:val="000000" w:themeColor="text1"/>
          <w:sz w:val="26"/>
          <w:szCs w:val="26"/>
        </w:rPr>
        <w:t xml:space="preserve"> </w:t>
      </w:r>
      <w:r w:rsidR="003A5D14" w:rsidRPr="006929CA">
        <w:rPr>
          <w:color w:val="000000" w:themeColor="text1"/>
          <w:sz w:val="26"/>
          <w:szCs w:val="26"/>
        </w:rPr>
        <w:t>million;</w:t>
      </w:r>
      <w:r w:rsidR="00F638D6" w:rsidRPr="006929CA">
        <w:rPr>
          <w:color w:val="000000" w:themeColor="text1"/>
          <w:sz w:val="26"/>
          <w:szCs w:val="26"/>
        </w:rPr>
        <w:t xml:space="preserve">  about 2.5 million </w:t>
      </w:r>
      <w:r w:rsidR="003A5D14" w:rsidRPr="006929CA">
        <w:rPr>
          <w:color w:val="000000" w:themeColor="text1"/>
          <w:sz w:val="26"/>
          <w:szCs w:val="26"/>
        </w:rPr>
        <w:t xml:space="preserve">of them </w:t>
      </w:r>
      <w:r w:rsidR="00F638D6" w:rsidRPr="006929CA">
        <w:rPr>
          <w:color w:val="000000" w:themeColor="text1"/>
          <w:sz w:val="26"/>
          <w:szCs w:val="26"/>
        </w:rPr>
        <w:t>are in the West Bank and Gaza Strip</w:t>
      </w:r>
      <w:r w:rsidRPr="006929CA">
        <w:rPr>
          <w:color w:val="000000" w:themeColor="text1"/>
          <w:sz w:val="26"/>
          <w:szCs w:val="26"/>
        </w:rPr>
        <w:t xml:space="preserve">, where they constitute </w:t>
      </w:r>
      <w:r w:rsidR="00F638D6" w:rsidRPr="006929CA">
        <w:rPr>
          <w:color w:val="000000" w:themeColor="text1"/>
          <w:sz w:val="26"/>
          <w:szCs w:val="26"/>
        </w:rPr>
        <w:t xml:space="preserve">more than 40% of the Palestinians in the world </w:t>
      </w:r>
      <w:r w:rsidRPr="006929CA">
        <w:rPr>
          <w:color w:val="000000" w:themeColor="text1"/>
          <w:sz w:val="26"/>
          <w:szCs w:val="26"/>
        </w:rPr>
        <w:t xml:space="preserve">(about </w:t>
      </w:r>
      <w:r w:rsidR="00394617" w:rsidRPr="006929CA">
        <w:rPr>
          <w:rFonts w:hint="cs"/>
          <w:color w:val="000000" w:themeColor="text1"/>
          <w:sz w:val="26"/>
          <w:szCs w:val="26"/>
          <w:rtl/>
        </w:rPr>
        <w:t>14.6</w:t>
      </w:r>
      <w:r w:rsidRPr="006929CA">
        <w:rPr>
          <w:color w:val="000000" w:themeColor="text1"/>
          <w:sz w:val="26"/>
          <w:szCs w:val="26"/>
        </w:rPr>
        <w:t xml:space="preserve"> million). Palestinian refugees in the West Bank who are registered with UNRWA as in </w:t>
      </w:r>
      <w:r w:rsidR="00394617" w:rsidRPr="006929CA">
        <w:rPr>
          <w:rFonts w:hint="cs"/>
          <w:color w:val="000000" w:themeColor="text1"/>
          <w:sz w:val="26"/>
          <w:szCs w:val="26"/>
          <w:rtl/>
        </w:rPr>
        <w:t>2022</w:t>
      </w:r>
      <w:r w:rsidRPr="006929CA">
        <w:rPr>
          <w:color w:val="000000" w:themeColor="text1"/>
          <w:sz w:val="26"/>
          <w:szCs w:val="26"/>
        </w:rPr>
        <w:t xml:space="preserve"> accounted up to </w:t>
      </w:r>
      <w:r w:rsidR="00394617" w:rsidRPr="006929CA">
        <w:rPr>
          <w:rFonts w:hint="cs"/>
          <w:color w:val="000000" w:themeColor="text1"/>
          <w:sz w:val="26"/>
          <w:szCs w:val="26"/>
          <w:rtl/>
        </w:rPr>
        <w:t>15</w:t>
      </w:r>
      <w:r w:rsidRPr="006929CA">
        <w:rPr>
          <w:color w:val="000000" w:themeColor="text1"/>
          <w:sz w:val="26"/>
          <w:szCs w:val="26"/>
        </w:rPr>
        <w:t xml:space="preserve">% of the total refugees registered with UNRWA against </w:t>
      </w:r>
      <w:r w:rsidR="00394617" w:rsidRPr="006929CA">
        <w:rPr>
          <w:rFonts w:hint="cs"/>
          <w:color w:val="000000" w:themeColor="text1"/>
          <w:sz w:val="26"/>
          <w:szCs w:val="26"/>
          <w:rtl/>
        </w:rPr>
        <w:t>27</w:t>
      </w:r>
      <w:r w:rsidRPr="006929CA">
        <w:rPr>
          <w:color w:val="000000" w:themeColor="text1"/>
          <w:sz w:val="26"/>
          <w:szCs w:val="26"/>
        </w:rPr>
        <w:t xml:space="preserve">% in Gaza Strip. At the level of the Arab countries, the percentage of Palestinian refugees registered with UNRWA in Jordan, amounted up to about </w:t>
      </w:r>
      <w:r w:rsidR="00394617" w:rsidRPr="006929CA">
        <w:rPr>
          <w:rFonts w:hint="cs"/>
          <w:color w:val="000000" w:themeColor="text1"/>
          <w:sz w:val="26"/>
          <w:szCs w:val="26"/>
          <w:rtl/>
        </w:rPr>
        <w:t>40</w:t>
      </w:r>
      <w:r w:rsidRPr="006929CA">
        <w:rPr>
          <w:color w:val="000000" w:themeColor="text1"/>
          <w:sz w:val="26"/>
          <w:szCs w:val="26"/>
        </w:rPr>
        <w:t xml:space="preserve">% of the total Palestinian refugees while the percentage of Palestinian refugees registered with UNRWA in Lebanon and Syria reached about </w:t>
      </w:r>
      <w:r w:rsidR="00394617" w:rsidRPr="006929CA">
        <w:rPr>
          <w:rFonts w:hint="cs"/>
          <w:color w:val="000000" w:themeColor="text1"/>
          <w:sz w:val="26"/>
          <w:szCs w:val="26"/>
          <w:rtl/>
        </w:rPr>
        <w:t>8</w:t>
      </w:r>
      <w:r w:rsidRPr="006929CA">
        <w:rPr>
          <w:color w:val="000000" w:themeColor="text1"/>
          <w:sz w:val="26"/>
          <w:szCs w:val="26"/>
        </w:rPr>
        <w:t xml:space="preserve">% and </w:t>
      </w:r>
      <w:r w:rsidR="00394617" w:rsidRPr="006929CA">
        <w:rPr>
          <w:rFonts w:hint="cs"/>
          <w:color w:val="000000" w:themeColor="text1"/>
          <w:sz w:val="26"/>
          <w:szCs w:val="26"/>
          <w:rtl/>
        </w:rPr>
        <w:t>10</w:t>
      </w:r>
      <w:r w:rsidRPr="006929CA">
        <w:rPr>
          <w:color w:val="000000" w:themeColor="text1"/>
          <w:sz w:val="26"/>
          <w:szCs w:val="26"/>
        </w:rPr>
        <w:t>%</w:t>
      </w:r>
      <w:r w:rsidR="003A5D14" w:rsidRPr="006929CA">
        <w:rPr>
          <w:color w:val="000000" w:themeColor="text1"/>
          <w:sz w:val="26"/>
          <w:szCs w:val="26"/>
        </w:rPr>
        <w:t>,</w:t>
      </w:r>
      <w:r w:rsidRPr="006929CA">
        <w:rPr>
          <w:color w:val="000000" w:themeColor="text1"/>
          <w:sz w:val="26"/>
          <w:szCs w:val="26"/>
        </w:rPr>
        <w:t xml:space="preserve"> respectively.</w:t>
      </w:r>
      <w:r w:rsidR="00317438" w:rsidRPr="006929CA">
        <w:rPr>
          <w:color w:val="000000" w:themeColor="text1"/>
          <w:sz w:val="26"/>
          <w:szCs w:val="26"/>
        </w:rPr>
        <w:t xml:space="preserve"> These estimates represent the minimum number of Palestinian refugees, taking into account th</w:t>
      </w:r>
      <w:r w:rsidR="003A5D14" w:rsidRPr="006929CA">
        <w:rPr>
          <w:color w:val="000000" w:themeColor="text1"/>
          <w:sz w:val="26"/>
          <w:szCs w:val="26"/>
        </w:rPr>
        <w:t>at they are</w:t>
      </w:r>
      <w:r w:rsidR="00317438" w:rsidRPr="006929CA">
        <w:rPr>
          <w:color w:val="000000" w:themeColor="text1"/>
          <w:sz w:val="26"/>
          <w:szCs w:val="26"/>
        </w:rPr>
        <w:t xml:space="preserve"> unregistered refugees, as this number does not include those Palestinians who were displaced after 1949 until the eve of </w:t>
      </w:r>
      <w:r w:rsidR="003A5D14" w:rsidRPr="006929CA">
        <w:rPr>
          <w:color w:val="000000" w:themeColor="text1"/>
          <w:sz w:val="26"/>
          <w:szCs w:val="26"/>
        </w:rPr>
        <w:t>the war o</w:t>
      </w:r>
      <w:r w:rsidR="0038302D" w:rsidRPr="006929CA">
        <w:rPr>
          <w:color w:val="000000" w:themeColor="text1"/>
          <w:sz w:val="26"/>
          <w:szCs w:val="26"/>
        </w:rPr>
        <w:t>f</w:t>
      </w:r>
      <w:r w:rsidR="003A5D14" w:rsidRPr="006929CA" w:rsidDel="003A5D14">
        <w:rPr>
          <w:color w:val="000000" w:themeColor="text1"/>
          <w:sz w:val="26"/>
          <w:szCs w:val="26"/>
        </w:rPr>
        <w:t xml:space="preserve"> </w:t>
      </w:r>
      <w:r w:rsidR="00317438" w:rsidRPr="006929CA">
        <w:rPr>
          <w:color w:val="000000" w:themeColor="text1"/>
          <w:sz w:val="26"/>
          <w:szCs w:val="26"/>
        </w:rPr>
        <w:t xml:space="preserve">June 1967, “according to UNRWA’s definition.” It also does not include Palestinians who left or were deported in 1967 on the grounds of </w:t>
      </w:r>
      <w:r w:rsidR="00C518CD" w:rsidRPr="006929CA">
        <w:rPr>
          <w:color w:val="000000" w:themeColor="text1"/>
          <w:sz w:val="26"/>
          <w:szCs w:val="26"/>
        </w:rPr>
        <w:t xml:space="preserve">war </w:t>
      </w:r>
      <w:r w:rsidR="00317438" w:rsidRPr="006929CA">
        <w:rPr>
          <w:color w:val="000000" w:themeColor="text1"/>
          <w:sz w:val="26"/>
          <w:szCs w:val="26"/>
        </w:rPr>
        <w:t>and those who were not refugees in the first place.</w:t>
      </w:r>
    </w:p>
    <w:p w14:paraId="54847210" w14:textId="77777777" w:rsidR="00AA6618" w:rsidRPr="006929CA" w:rsidRDefault="00AA6618" w:rsidP="00AA6618">
      <w:pPr>
        <w:pStyle w:val="BodyTextIndent"/>
        <w:ind w:left="0"/>
        <w:rPr>
          <w:color w:val="000000" w:themeColor="text1"/>
          <w:sz w:val="16"/>
          <w:szCs w:val="16"/>
        </w:rPr>
      </w:pPr>
    </w:p>
    <w:p w14:paraId="645C86E8" w14:textId="2BA5E87E" w:rsidR="00AA6618" w:rsidRPr="006929CA" w:rsidRDefault="00AA6618" w:rsidP="003A5D14">
      <w:pPr>
        <w:pStyle w:val="BodyTextIndent"/>
        <w:ind w:left="0"/>
        <w:jc w:val="center"/>
        <w:rPr>
          <w:b/>
          <w:bCs/>
          <w:color w:val="000000" w:themeColor="text1"/>
        </w:rPr>
      </w:pPr>
      <w:r w:rsidRPr="006929CA">
        <w:rPr>
          <w:b/>
          <w:bCs/>
          <w:color w:val="000000" w:themeColor="text1"/>
        </w:rPr>
        <w:t xml:space="preserve">Percentage Distribution of Palestinian Refugees by </w:t>
      </w:r>
      <w:r w:rsidR="003A5D14" w:rsidRPr="006929CA">
        <w:rPr>
          <w:b/>
          <w:bCs/>
          <w:color w:val="000000" w:themeColor="text1"/>
        </w:rPr>
        <w:t>Country of Residence</w:t>
      </w:r>
      <w:r w:rsidR="00C518CD" w:rsidRPr="006929CA">
        <w:rPr>
          <w:b/>
          <w:bCs/>
          <w:color w:val="000000" w:themeColor="text1"/>
        </w:rPr>
        <w:t xml:space="preserve"> </w:t>
      </w:r>
      <w:r w:rsidR="00945512" w:rsidRPr="006929CA">
        <w:rPr>
          <w:b/>
          <w:bCs/>
          <w:color w:val="000000" w:themeColor="text1"/>
        </w:rPr>
        <w:t>in January 2022</w:t>
      </w:r>
    </w:p>
    <w:p w14:paraId="16D4FFDE" w14:textId="77777777" w:rsidR="00C6043A" w:rsidRPr="00C6043A" w:rsidRDefault="00C6043A" w:rsidP="003A5D14">
      <w:pPr>
        <w:pStyle w:val="BodyTextIndent"/>
        <w:ind w:left="0"/>
        <w:jc w:val="center"/>
        <w:rPr>
          <w:b/>
          <w:bCs/>
          <w:color w:val="000000" w:themeColor="text1"/>
          <w:sz w:val="14"/>
          <w:szCs w:val="14"/>
        </w:rPr>
      </w:pPr>
    </w:p>
    <w:tbl>
      <w:tblPr>
        <w:tblStyle w:val="TableGrid1"/>
        <w:tblW w:w="0" w:type="auto"/>
        <w:jc w:val="center"/>
        <w:tblLook w:val="04A0" w:firstRow="1" w:lastRow="0" w:firstColumn="1" w:lastColumn="0" w:noHBand="0" w:noVBand="1"/>
      </w:tblPr>
      <w:tblGrid>
        <w:gridCol w:w="6873"/>
      </w:tblGrid>
      <w:tr w:rsidR="00494BA1" w:rsidRPr="00C6043A" w14:paraId="27C8D4DC" w14:textId="77777777" w:rsidTr="006C1C6E">
        <w:trPr>
          <w:jc w:val="center"/>
        </w:trPr>
        <w:tc>
          <w:tcPr>
            <w:tcW w:w="6873" w:type="dxa"/>
          </w:tcPr>
          <w:p w14:paraId="4CB07016" w14:textId="3C011D56" w:rsidR="00AA6618" w:rsidRPr="00C6043A" w:rsidRDefault="00AA6618" w:rsidP="00AA6618">
            <w:pPr>
              <w:pStyle w:val="BodyTextIndent"/>
              <w:ind w:left="0"/>
              <w:rPr>
                <w:rFonts w:ascii="Times New Roman" w:eastAsia="Times New Roman" w:hAnsi="Times New Roman" w:cs="Times New Roman"/>
                <w:color w:val="000000" w:themeColor="text1"/>
              </w:rPr>
            </w:pPr>
            <w:r w:rsidRPr="00C6043A">
              <w:rPr>
                <w:noProof/>
                <w:color w:val="000000" w:themeColor="text1"/>
                <w:lang w:eastAsia="en-US"/>
              </w:rPr>
              <w:drawing>
                <wp:inline distT="0" distB="0" distL="0" distR="0" wp14:anchorId="7845DC2B" wp14:editId="0593F5A9">
                  <wp:extent cx="4133850" cy="1885950"/>
                  <wp:effectExtent l="0" t="0" r="0" b="0"/>
                  <wp:docPr id="7"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E9ABFBB" w14:textId="67C41673" w:rsidR="00AA6618" w:rsidRPr="006929CA" w:rsidRDefault="00AA6618" w:rsidP="00301BA8">
      <w:pPr>
        <w:pStyle w:val="BodyTextIndent"/>
        <w:ind w:left="0"/>
        <w:jc w:val="center"/>
        <w:rPr>
          <w:color w:val="000000" w:themeColor="text1"/>
          <w:sz w:val="20"/>
          <w:szCs w:val="20"/>
          <w:rtl/>
        </w:rPr>
      </w:pPr>
      <w:r w:rsidRPr="006929CA">
        <w:rPr>
          <w:b/>
          <w:bCs/>
          <w:color w:val="000000" w:themeColor="text1"/>
          <w:sz w:val="20"/>
          <w:szCs w:val="20"/>
        </w:rPr>
        <w:t xml:space="preserve">Source: </w:t>
      </w:r>
      <w:r w:rsidRPr="006929CA">
        <w:rPr>
          <w:color w:val="000000" w:themeColor="text1"/>
          <w:sz w:val="20"/>
          <w:szCs w:val="20"/>
        </w:rPr>
        <w:t xml:space="preserve">United Nations Relief and Works Agency for Palestine Refugees in the Near East (UNRWA) </w:t>
      </w:r>
    </w:p>
    <w:p w14:paraId="0A7F3AF0" w14:textId="612EE9F2" w:rsidR="00301BA8" w:rsidRPr="00C6043A" w:rsidRDefault="00301BA8" w:rsidP="00301BA8">
      <w:pPr>
        <w:pStyle w:val="BodyTextIndent"/>
        <w:ind w:left="0"/>
        <w:jc w:val="center"/>
        <w:rPr>
          <w:color w:val="000000" w:themeColor="text1"/>
          <w:rtl/>
        </w:rPr>
      </w:pPr>
    </w:p>
    <w:p w14:paraId="39F167CC" w14:textId="2AF22AB4" w:rsidR="00C6043A" w:rsidRPr="00AA5B8F" w:rsidRDefault="00C6043A" w:rsidP="006929CA">
      <w:pPr>
        <w:pStyle w:val="BodyTextIndent"/>
        <w:ind w:left="0"/>
        <w:jc w:val="left"/>
        <w:rPr>
          <w:color w:val="000000" w:themeColor="text1"/>
          <w:sz w:val="18"/>
          <w:szCs w:val="18"/>
          <w:rtl/>
        </w:rPr>
      </w:pPr>
    </w:p>
    <w:p w14:paraId="4D4CD3F2" w14:textId="77777777" w:rsidR="006929CA" w:rsidRDefault="00F05E02" w:rsidP="00732EDE">
      <w:pPr>
        <w:pStyle w:val="BodyTextIndent"/>
        <w:ind w:left="0"/>
        <w:jc w:val="center"/>
        <w:rPr>
          <w:b/>
          <w:bCs/>
          <w:color w:val="000000" w:themeColor="text1"/>
        </w:rPr>
      </w:pPr>
      <w:r w:rsidRPr="006929CA">
        <w:rPr>
          <w:b/>
          <w:bCs/>
          <w:color w:val="000000" w:themeColor="text1"/>
        </w:rPr>
        <w:t xml:space="preserve">Number of Official Palestinian Refugee Camps as Recognized by UNRWA by </w:t>
      </w:r>
    </w:p>
    <w:p w14:paraId="4AD2D367" w14:textId="33548A5D" w:rsidR="00F05E02" w:rsidRPr="006929CA" w:rsidRDefault="003A5D14" w:rsidP="00732EDE">
      <w:pPr>
        <w:pStyle w:val="BodyTextIndent"/>
        <w:ind w:left="0"/>
        <w:jc w:val="center"/>
        <w:rPr>
          <w:b/>
          <w:bCs/>
          <w:color w:val="000000" w:themeColor="text1"/>
        </w:rPr>
      </w:pPr>
      <w:r w:rsidRPr="006929CA">
        <w:rPr>
          <w:b/>
          <w:bCs/>
          <w:color w:val="000000" w:themeColor="text1"/>
        </w:rPr>
        <w:t xml:space="preserve">Country of Residence </w:t>
      </w:r>
    </w:p>
    <w:p w14:paraId="2DF45B55" w14:textId="77777777" w:rsidR="00C6043A" w:rsidRPr="00C6043A" w:rsidRDefault="00C6043A" w:rsidP="00732EDE">
      <w:pPr>
        <w:pStyle w:val="BodyTextIndent"/>
        <w:ind w:left="0"/>
        <w:jc w:val="center"/>
        <w:rPr>
          <w:b/>
          <w:bCs/>
          <w:color w:val="000000" w:themeColor="text1"/>
          <w:sz w:val="12"/>
          <w:szCs w:val="12"/>
        </w:rPr>
      </w:pPr>
    </w:p>
    <w:tbl>
      <w:tblPr>
        <w:tblStyle w:val="TableGrid1"/>
        <w:tblW w:w="0" w:type="auto"/>
        <w:jc w:val="center"/>
        <w:tblLook w:val="04A0" w:firstRow="1" w:lastRow="0" w:firstColumn="1" w:lastColumn="0" w:noHBand="0" w:noVBand="1"/>
      </w:tblPr>
      <w:tblGrid>
        <w:gridCol w:w="6756"/>
      </w:tblGrid>
      <w:tr w:rsidR="00F05E02" w:rsidRPr="00C6043A" w14:paraId="58392BE1" w14:textId="77777777" w:rsidTr="00C6043A">
        <w:trPr>
          <w:jc w:val="center"/>
        </w:trPr>
        <w:tc>
          <w:tcPr>
            <w:tcW w:w="6756" w:type="dxa"/>
          </w:tcPr>
          <w:p w14:paraId="78907082" w14:textId="77777777" w:rsidR="00F05E02" w:rsidRPr="00C6043A" w:rsidRDefault="00F05E02" w:rsidP="004421BA">
            <w:pPr>
              <w:pStyle w:val="BodyTextIndent"/>
              <w:ind w:left="0"/>
              <w:rPr>
                <w:rFonts w:ascii="Times New Roman" w:eastAsia="Times New Roman" w:hAnsi="Times New Roman" w:cs="Times New Roman"/>
                <w:color w:val="000000" w:themeColor="text1"/>
              </w:rPr>
            </w:pPr>
            <w:r w:rsidRPr="00C6043A">
              <w:rPr>
                <w:noProof/>
                <w:color w:val="000000" w:themeColor="text1"/>
                <w:lang w:eastAsia="en-US"/>
              </w:rPr>
              <w:drawing>
                <wp:inline distT="0" distB="0" distL="0" distR="0" wp14:anchorId="72833774" wp14:editId="0025130D">
                  <wp:extent cx="4152900" cy="1838325"/>
                  <wp:effectExtent l="0" t="0" r="0" b="0"/>
                  <wp:docPr id="3"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24552BEF" w14:textId="77777777" w:rsidR="00F05E02" w:rsidRPr="006929CA" w:rsidRDefault="00F05E02" w:rsidP="00F05E02">
      <w:pPr>
        <w:pStyle w:val="BodyTextIndent"/>
        <w:ind w:left="0"/>
        <w:jc w:val="center"/>
        <w:rPr>
          <w:color w:val="000000" w:themeColor="text1"/>
          <w:sz w:val="20"/>
          <w:szCs w:val="20"/>
        </w:rPr>
      </w:pPr>
      <w:r w:rsidRPr="006929CA">
        <w:rPr>
          <w:b/>
          <w:bCs/>
          <w:color w:val="000000" w:themeColor="text1"/>
          <w:sz w:val="20"/>
          <w:szCs w:val="20"/>
        </w:rPr>
        <w:t>Source:</w:t>
      </w:r>
      <w:r w:rsidRPr="006929CA">
        <w:rPr>
          <w:color w:val="000000" w:themeColor="text1"/>
          <w:sz w:val="20"/>
          <w:szCs w:val="20"/>
        </w:rPr>
        <w:t xml:space="preserve"> United Nations Relief and Works Agency for Palestine refugees in the Near East (UNRWA)</w:t>
      </w:r>
    </w:p>
    <w:p w14:paraId="1F3FC13D" w14:textId="7D068C4E" w:rsidR="00F05E02" w:rsidRPr="00C6043A" w:rsidRDefault="00F05E02" w:rsidP="00301BA8">
      <w:pPr>
        <w:pStyle w:val="BodyTextIndent"/>
        <w:ind w:left="0"/>
        <w:jc w:val="center"/>
        <w:rPr>
          <w:color w:val="000000" w:themeColor="text1"/>
          <w:rtl/>
        </w:rPr>
      </w:pPr>
    </w:p>
    <w:p w14:paraId="6E0CA189" w14:textId="4C4615A5" w:rsidR="00941697" w:rsidRPr="006929CA" w:rsidRDefault="00941697" w:rsidP="00C6043A">
      <w:pPr>
        <w:bidi w:val="0"/>
        <w:rPr>
          <w:rFonts w:eastAsia="Calibri"/>
          <w:b/>
          <w:bCs/>
          <w:color w:val="000000" w:themeColor="text1"/>
          <w:sz w:val="28"/>
          <w:szCs w:val="28"/>
          <w:lang w:eastAsia="en-US"/>
        </w:rPr>
      </w:pPr>
      <w:r w:rsidRPr="006929CA">
        <w:rPr>
          <w:rFonts w:eastAsia="Calibri"/>
          <w:b/>
          <w:bCs/>
          <w:color w:val="000000" w:themeColor="text1"/>
          <w:sz w:val="28"/>
          <w:szCs w:val="28"/>
          <w:lang w:eastAsia="en-US"/>
        </w:rPr>
        <w:t xml:space="preserve">About </w:t>
      </w:r>
      <w:r w:rsidR="00C6043A" w:rsidRPr="006929CA">
        <w:rPr>
          <w:rFonts w:eastAsia="Calibri" w:hint="cs"/>
          <w:b/>
          <w:bCs/>
          <w:color w:val="000000" w:themeColor="text1"/>
          <w:sz w:val="28"/>
          <w:szCs w:val="28"/>
          <w:rtl/>
          <w:lang w:eastAsia="en-US"/>
        </w:rPr>
        <w:t>66</w:t>
      </w:r>
      <w:r w:rsidRPr="006929CA">
        <w:rPr>
          <w:rFonts w:eastAsia="Calibri"/>
          <w:b/>
          <w:bCs/>
          <w:color w:val="000000" w:themeColor="text1"/>
          <w:sz w:val="28"/>
          <w:szCs w:val="28"/>
          <w:lang w:eastAsia="en-US"/>
        </w:rPr>
        <w:t xml:space="preserve">% of the </w:t>
      </w:r>
      <w:r w:rsidR="00FF5660" w:rsidRPr="006929CA">
        <w:rPr>
          <w:rFonts w:eastAsia="Calibri"/>
          <w:b/>
          <w:bCs/>
          <w:color w:val="000000" w:themeColor="text1"/>
          <w:sz w:val="28"/>
          <w:szCs w:val="28"/>
          <w:lang w:eastAsia="en-US"/>
        </w:rPr>
        <w:t xml:space="preserve">Total </w:t>
      </w:r>
      <w:r w:rsidRPr="006929CA">
        <w:rPr>
          <w:rFonts w:eastAsia="Calibri"/>
          <w:b/>
          <w:bCs/>
          <w:color w:val="000000" w:themeColor="text1"/>
          <w:sz w:val="28"/>
          <w:szCs w:val="28"/>
          <w:lang w:eastAsia="en-US"/>
        </w:rPr>
        <w:t>Population in Gaza Strip are Refugees</w:t>
      </w:r>
    </w:p>
    <w:p w14:paraId="759E00EC" w14:textId="5B8CDDB4" w:rsidR="00941697" w:rsidRPr="006929CA" w:rsidRDefault="00941697" w:rsidP="00C6043A">
      <w:pPr>
        <w:pStyle w:val="BodyTextIndent"/>
        <w:ind w:left="0"/>
        <w:rPr>
          <w:color w:val="000000" w:themeColor="text1"/>
          <w:sz w:val="26"/>
          <w:szCs w:val="26"/>
        </w:rPr>
      </w:pPr>
      <w:r w:rsidRPr="006929CA">
        <w:rPr>
          <w:color w:val="000000" w:themeColor="text1"/>
          <w:sz w:val="26"/>
          <w:szCs w:val="26"/>
        </w:rPr>
        <w:t>The percentage of the population of refugees in</w:t>
      </w:r>
      <w:r w:rsidR="00FF7627" w:rsidRPr="006929CA">
        <w:rPr>
          <w:color w:val="000000" w:themeColor="text1"/>
          <w:sz w:val="26"/>
          <w:szCs w:val="26"/>
        </w:rPr>
        <w:t xml:space="preserve"> the</w:t>
      </w:r>
      <w:r w:rsidRPr="006929CA">
        <w:rPr>
          <w:color w:val="000000" w:themeColor="text1"/>
          <w:sz w:val="26"/>
          <w:szCs w:val="26"/>
        </w:rPr>
        <w:t xml:space="preserve"> State of Palestine </w:t>
      </w:r>
      <w:r w:rsidR="005C05D0" w:rsidRPr="006929CA">
        <w:rPr>
          <w:color w:val="000000" w:themeColor="text1"/>
          <w:sz w:val="26"/>
          <w:szCs w:val="26"/>
        </w:rPr>
        <w:t>in</w:t>
      </w:r>
      <w:r w:rsidRPr="006929CA">
        <w:rPr>
          <w:color w:val="000000" w:themeColor="text1"/>
          <w:sz w:val="26"/>
          <w:szCs w:val="26"/>
        </w:rPr>
        <w:t xml:space="preserve"> 2017 reached about </w:t>
      </w:r>
      <w:r w:rsidR="00C6043A" w:rsidRPr="006929CA">
        <w:rPr>
          <w:color w:val="000000" w:themeColor="text1"/>
          <w:sz w:val="26"/>
          <w:szCs w:val="26"/>
        </w:rPr>
        <w:t>42.2</w:t>
      </w:r>
      <w:r w:rsidRPr="006929CA">
        <w:rPr>
          <w:color w:val="000000" w:themeColor="text1"/>
          <w:sz w:val="26"/>
          <w:szCs w:val="26"/>
        </w:rPr>
        <w:t xml:space="preserve">% of the total Palestinian population residing in </w:t>
      </w:r>
      <w:r w:rsidR="00FF7627" w:rsidRPr="006929CA">
        <w:rPr>
          <w:color w:val="000000" w:themeColor="text1"/>
          <w:sz w:val="26"/>
          <w:szCs w:val="26"/>
        </w:rPr>
        <w:t xml:space="preserve">the </w:t>
      </w:r>
      <w:r w:rsidRPr="006929CA">
        <w:rPr>
          <w:color w:val="000000" w:themeColor="text1"/>
          <w:sz w:val="26"/>
          <w:szCs w:val="26"/>
        </w:rPr>
        <w:t xml:space="preserve">State of Palestine, and data indicated that </w:t>
      </w:r>
      <w:r w:rsidRPr="006929CA">
        <w:rPr>
          <w:rFonts w:hint="cs"/>
          <w:color w:val="000000" w:themeColor="text1"/>
          <w:sz w:val="26"/>
          <w:szCs w:val="26"/>
          <w:rtl/>
        </w:rPr>
        <w:t>26</w:t>
      </w:r>
      <w:r w:rsidR="00C6043A" w:rsidRPr="006929CA">
        <w:rPr>
          <w:color w:val="000000" w:themeColor="text1"/>
          <w:sz w:val="26"/>
          <w:szCs w:val="26"/>
        </w:rPr>
        <w:t>.3</w:t>
      </w:r>
      <w:r w:rsidRPr="006929CA">
        <w:rPr>
          <w:color w:val="000000" w:themeColor="text1"/>
          <w:sz w:val="26"/>
          <w:szCs w:val="26"/>
        </w:rPr>
        <w:t xml:space="preserve">% of the population in the West Bank </w:t>
      </w:r>
      <w:r w:rsidR="00FF7627" w:rsidRPr="006929CA">
        <w:rPr>
          <w:color w:val="000000" w:themeColor="text1"/>
          <w:sz w:val="26"/>
          <w:szCs w:val="26"/>
        </w:rPr>
        <w:t xml:space="preserve">are </w:t>
      </w:r>
      <w:r w:rsidRPr="006929CA">
        <w:rPr>
          <w:color w:val="000000" w:themeColor="text1"/>
          <w:sz w:val="26"/>
          <w:szCs w:val="26"/>
        </w:rPr>
        <w:t>refugees, while the percentage of refugees in Gaza Strip is 66</w:t>
      </w:r>
      <w:r w:rsidR="00C6043A" w:rsidRPr="006929CA">
        <w:rPr>
          <w:color w:val="000000" w:themeColor="text1"/>
          <w:sz w:val="26"/>
          <w:szCs w:val="26"/>
        </w:rPr>
        <w:t>.1</w:t>
      </w:r>
      <w:r w:rsidRPr="006929CA">
        <w:rPr>
          <w:color w:val="000000" w:themeColor="text1"/>
          <w:sz w:val="26"/>
          <w:szCs w:val="26"/>
        </w:rPr>
        <w:t>%.</w:t>
      </w:r>
    </w:p>
    <w:p w14:paraId="49965D30" w14:textId="77777777" w:rsidR="00941697" w:rsidRPr="006929CA" w:rsidRDefault="00941697" w:rsidP="00941697">
      <w:pPr>
        <w:pStyle w:val="BodyTextIndent"/>
        <w:ind w:left="0"/>
        <w:rPr>
          <w:color w:val="000000" w:themeColor="text1"/>
          <w:sz w:val="16"/>
          <w:szCs w:val="16"/>
        </w:rPr>
      </w:pPr>
    </w:p>
    <w:p w14:paraId="2881D33B" w14:textId="184B0CCB" w:rsidR="00941697" w:rsidRPr="006929CA" w:rsidRDefault="00941697" w:rsidP="00FF7627">
      <w:pPr>
        <w:pStyle w:val="BodyTextIndent"/>
        <w:ind w:left="0"/>
        <w:jc w:val="center"/>
        <w:rPr>
          <w:b/>
          <w:bCs/>
          <w:color w:val="000000" w:themeColor="text1"/>
        </w:rPr>
      </w:pPr>
      <w:r w:rsidRPr="006929CA">
        <w:rPr>
          <w:b/>
          <w:bCs/>
          <w:color w:val="000000" w:themeColor="text1"/>
        </w:rPr>
        <w:t xml:space="preserve">Percentage of Refugees in </w:t>
      </w:r>
      <w:r w:rsidR="00FF5660" w:rsidRPr="006929CA">
        <w:rPr>
          <w:b/>
          <w:bCs/>
          <w:color w:val="000000" w:themeColor="text1"/>
        </w:rPr>
        <w:t xml:space="preserve">the </w:t>
      </w:r>
      <w:r w:rsidRPr="006929CA">
        <w:rPr>
          <w:b/>
          <w:bCs/>
          <w:color w:val="000000" w:themeColor="text1"/>
        </w:rPr>
        <w:t>State of Palestine by Region, 2017</w:t>
      </w:r>
    </w:p>
    <w:p w14:paraId="17913B47" w14:textId="77777777" w:rsidR="00941697" w:rsidRPr="00C6043A" w:rsidRDefault="00941697" w:rsidP="00941697">
      <w:pPr>
        <w:pStyle w:val="BodyTextIndent"/>
        <w:ind w:left="0"/>
        <w:jc w:val="center"/>
        <w:rPr>
          <w:b/>
          <w:bCs/>
          <w:color w:val="000000" w:themeColor="text1"/>
          <w:sz w:val="12"/>
          <w:szCs w:val="12"/>
          <w:rtl/>
        </w:rPr>
      </w:pPr>
    </w:p>
    <w:tbl>
      <w:tblPr>
        <w:tblStyle w:val="TableGrid1"/>
        <w:tblW w:w="0" w:type="auto"/>
        <w:jc w:val="center"/>
        <w:tblLook w:val="04A0" w:firstRow="1" w:lastRow="0" w:firstColumn="1" w:lastColumn="0" w:noHBand="0" w:noVBand="1"/>
      </w:tblPr>
      <w:tblGrid>
        <w:gridCol w:w="7266"/>
      </w:tblGrid>
      <w:tr w:rsidR="00941697" w:rsidRPr="00C6043A" w14:paraId="2AE67626" w14:textId="77777777" w:rsidTr="00A92E86">
        <w:trPr>
          <w:jc w:val="center"/>
        </w:trPr>
        <w:tc>
          <w:tcPr>
            <w:tcW w:w="7266" w:type="dxa"/>
          </w:tcPr>
          <w:p w14:paraId="399BD927" w14:textId="77777777" w:rsidR="00941697" w:rsidRPr="00C6043A" w:rsidRDefault="00941697" w:rsidP="00A92E86">
            <w:pPr>
              <w:pStyle w:val="BodyTextIndent"/>
              <w:ind w:left="0"/>
              <w:rPr>
                <w:rFonts w:ascii="Times New Roman" w:eastAsia="Times New Roman" w:hAnsi="Times New Roman" w:cs="Times New Roman"/>
                <w:color w:val="000000" w:themeColor="text1"/>
              </w:rPr>
            </w:pPr>
            <w:r w:rsidRPr="00C6043A">
              <w:rPr>
                <w:noProof/>
                <w:color w:val="000000" w:themeColor="text1"/>
                <w:lang w:eastAsia="en-US"/>
              </w:rPr>
              <w:drawing>
                <wp:inline distT="0" distB="0" distL="0" distR="0" wp14:anchorId="0F1BF60C" wp14:editId="6061AF20">
                  <wp:extent cx="4476750" cy="1548384"/>
                  <wp:effectExtent l="0" t="0" r="0" b="0"/>
                  <wp:docPr id="8"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7F417528" w14:textId="21F022F9" w:rsidR="00F05E02" w:rsidRPr="006929CA" w:rsidRDefault="00C6043A" w:rsidP="006929CA">
      <w:pPr>
        <w:pStyle w:val="BodyTextIndent"/>
        <w:ind w:left="0"/>
        <w:jc w:val="both"/>
        <w:rPr>
          <w:snapToGrid w:val="0"/>
          <w:sz w:val="20"/>
          <w:szCs w:val="20"/>
          <w:rtl/>
        </w:rPr>
      </w:pPr>
      <w:r w:rsidRPr="006929CA">
        <w:rPr>
          <w:b/>
          <w:bCs/>
          <w:color w:val="000000" w:themeColor="text1"/>
          <w:sz w:val="20"/>
          <w:szCs w:val="20"/>
        </w:rPr>
        <w:t xml:space="preserve">Source: </w:t>
      </w:r>
      <w:r w:rsidR="00941697" w:rsidRPr="006929CA">
        <w:rPr>
          <w:b/>
          <w:bCs/>
          <w:snapToGrid w:val="0"/>
          <w:sz w:val="20"/>
          <w:szCs w:val="20"/>
        </w:rPr>
        <w:t xml:space="preserve">Palestinian Central Bureau of Statistics, 2018. </w:t>
      </w:r>
      <w:r w:rsidR="00941697" w:rsidRPr="006929CA">
        <w:rPr>
          <w:snapToGrid w:val="0"/>
          <w:sz w:val="20"/>
          <w:szCs w:val="20"/>
        </w:rPr>
        <w:t xml:space="preserve">Population, Housing and Establishments Census 2017: </w:t>
      </w:r>
      <w:r w:rsidR="006929CA">
        <w:rPr>
          <w:snapToGrid w:val="0"/>
          <w:sz w:val="20"/>
          <w:szCs w:val="20"/>
        </w:rPr>
        <w:t xml:space="preserve">      </w:t>
      </w:r>
      <w:r w:rsidR="00941697" w:rsidRPr="006929CA">
        <w:rPr>
          <w:snapToGrid w:val="0"/>
          <w:sz w:val="20"/>
          <w:szCs w:val="20"/>
        </w:rPr>
        <w:t>Census Final Results - Summary. 2017. Ramallah - Palestine.</w:t>
      </w:r>
    </w:p>
    <w:p w14:paraId="0F6496E5" w14:textId="77777777" w:rsidR="00941697" w:rsidRPr="006929CA" w:rsidRDefault="00941697" w:rsidP="006929CA">
      <w:pPr>
        <w:pStyle w:val="BodyTextIndent"/>
        <w:ind w:left="0"/>
        <w:jc w:val="left"/>
        <w:rPr>
          <w:color w:val="000000" w:themeColor="text1"/>
          <w:sz w:val="16"/>
          <w:szCs w:val="16"/>
          <w:rtl/>
        </w:rPr>
      </w:pPr>
    </w:p>
    <w:p w14:paraId="71BA5188" w14:textId="4206A2B4" w:rsidR="00AA6618" w:rsidRPr="006929CA" w:rsidRDefault="00882199" w:rsidP="00973DAC">
      <w:pPr>
        <w:bidi w:val="0"/>
        <w:rPr>
          <w:rFonts w:eastAsia="Calibri"/>
          <w:b/>
          <w:bCs/>
          <w:color w:val="000000" w:themeColor="text1"/>
          <w:sz w:val="28"/>
          <w:szCs w:val="28"/>
          <w:lang w:eastAsia="en-US"/>
        </w:rPr>
      </w:pPr>
      <w:r w:rsidRPr="006929CA">
        <w:rPr>
          <w:rFonts w:eastAsia="Calibri"/>
          <w:b/>
          <w:bCs/>
          <w:color w:val="000000" w:themeColor="text1"/>
          <w:sz w:val="28"/>
          <w:szCs w:val="28"/>
          <w:lang w:eastAsia="en-US"/>
        </w:rPr>
        <w:t xml:space="preserve">The </w:t>
      </w:r>
      <w:r w:rsidR="00AA6618" w:rsidRPr="006929CA">
        <w:rPr>
          <w:rFonts w:eastAsia="Calibri"/>
          <w:b/>
          <w:bCs/>
          <w:color w:val="000000" w:themeColor="text1"/>
          <w:sz w:val="28"/>
          <w:szCs w:val="28"/>
          <w:lang w:eastAsia="en-US"/>
        </w:rPr>
        <w:t>Palestinian Refugees</w:t>
      </w:r>
      <w:r w:rsidR="00941697" w:rsidRPr="006929CA">
        <w:rPr>
          <w:rFonts w:eastAsia="Calibri"/>
          <w:b/>
          <w:bCs/>
          <w:color w:val="000000" w:themeColor="text1"/>
          <w:sz w:val="28"/>
          <w:szCs w:val="28"/>
          <w:lang w:eastAsia="en-US"/>
        </w:rPr>
        <w:t xml:space="preserve"> and </w:t>
      </w:r>
      <w:r w:rsidR="00973DAC" w:rsidRPr="006929CA">
        <w:rPr>
          <w:rFonts w:eastAsia="Calibri"/>
          <w:b/>
          <w:bCs/>
          <w:color w:val="000000" w:themeColor="text1"/>
          <w:sz w:val="28"/>
          <w:szCs w:val="28"/>
          <w:lang w:eastAsia="en-US"/>
        </w:rPr>
        <w:t>Non</w:t>
      </w:r>
      <w:r w:rsidR="00941697" w:rsidRPr="006929CA">
        <w:rPr>
          <w:rFonts w:eastAsia="Calibri"/>
          <w:b/>
          <w:bCs/>
          <w:color w:val="000000" w:themeColor="text1"/>
          <w:sz w:val="28"/>
          <w:szCs w:val="28"/>
          <w:lang w:eastAsia="en-US"/>
        </w:rPr>
        <w:t>-refugees</w:t>
      </w:r>
      <w:r w:rsidR="00AA6618" w:rsidRPr="006929CA">
        <w:rPr>
          <w:rFonts w:eastAsia="Calibri"/>
          <w:b/>
          <w:bCs/>
          <w:color w:val="000000" w:themeColor="text1"/>
          <w:sz w:val="28"/>
          <w:szCs w:val="28"/>
          <w:lang w:eastAsia="en-US"/>
        </w:rPr>
        <w:t xml:space="preserve"> in the State of Palestine</w:t>
      </w:r>
      <w:r w:rsidRPr="006929CA">
        <w:rPr>
          <w:rFonts w:eastAsia="Calibri"/>
          <w:b/>
          <w:bCs/>
          <w:color w:val="000000" w:themeColor="text1"/>
          <w:sz w:val="28"/>
          <w:szCs w:val="28"/>
          <w:lang w:eastAsia="en-US"/>
        </w:rPr>
        <w:t xml:space="preserve"> are Living in Difficult Conditions</w:t>
      </w:r>
      <w:r w:rsidR="00AA6618" w:rsidRPr="006929CA">
        <w:rPr>
          <w:rFonts w:eastAsia="Calibri"/>
          <w:b/>
          <w:bCs/>
          <w:color w:val="000000" w:themeColor="text1"/>
          <w:sz w:val="28"/>
          <w:szCs w:val="28"/>
          <w:lang w:eastAsia="en-US"/>
        </w:rPr>
        <w:t>:</w:t>
      </w:r>
    </w:p>
    <w:p w14:paraId="714A9056" w14:textId="634D6F60" w:rsidR="00301BA8" w:rsidRPr="006929CA" w:rsidRDefault="00AA6618" w:rsidP="00C6043A">
      <w:pPr>
        <w:pStyle w:val="BodyTextIndent"/>
        <w:ind w:left="0"/>
        <w:rPr>
          <w:color w:val="000000" w:themeColor="text1"/>
          <w:sz w:val="26"/>
          <w:szCs w:val="26"/>
        </w:rPr>
      </w:pPr>
      <w:r w:rsidRPr="006929CA">
        <w:rPr>
          <w:color w:val="000000" w:themeColor="text1"/>
          <w:sz w:val="26"/>
          <w:szCs w:val="26"/>
        </w:rPr>
        <w:t xml:space="preserve">It is noted that there were no significant differences between the demographic and social characteristics of </w:t>
      </w:r>
      <w:r w:rsidR="000D33C7" w:rsidRPr="006929CA">
        <w:rPr>
          <w:color w:val="000000" w:themeColor="text1"/>
          <w:sz w:val="26"/>
          <w:szCs w:val="26"/>
        </w:rPr>
        <w:t xml:space="preserve">the Palestinian </w:t>
      </w:r>
      <w:r w:rsidRPr="006929CA">
        <w:rPr>
          <w:color w:val="000000" w:themeColor="text1"/>
          <w:sz w:val="26"/>
          <w:szCs w:val="26"/>
        </w:rPr>
        <w:t xml:space="preserve">refugees and non-refugees </w:t>
      </w:r>
      <w:r w:rsidR="00941697" w:rsidRPr="006929CA">
        <w:rPr>
          <w:color w:val="000000" w:themeColor="text1"/>
          <w:sz w:val="26"/>
          <w:szCs w:val="26"/>
        </w:rPr>
        <w:t>at the regional level</w:t>
      </w:r>
      <w:r w:rsidR="00514448" w:rsidRPr="006929CA">
        <w:rPr>
          <w:color w:val="000000" w:themeColor="text1"/>
          <w:sz w:val="26"/>
          <w:szCs w:val="26"/>
        </w:rPr>
        <w:t>.</w:t>
      </w:r>
      <w:r w:rsidR="00941697" w:rsidRPr="006929CA">
        <w:rPr>
          <w:color w:val="000000" w:themeColor="text1"/>
          <w:sz w:val="26"/>
          <w:szCs w:val="26"/>
        </w:rPr>
        <w:t xml:space="preserve"> </w:t>
      </w:r>
      <w:r w:rsidR="00514448" w:rsidRPr="006929CA">
        <w:rPr>
          <w:color w:val="000000" w:themeColor="text1"/>
          <w:sz w:val="26"/>
          <w:szCs w:val="26"/>
        </w:rPr>
        <w:t>I</w:t>
      </w:r>
      <w:r w:rsidR="00941697" w:rsidRPr="006929CA">
        <w:rPr>
          <w:color w:val="000000" w:themeColor="text1"/>
          <w:sz w:val="26"/>
          <w:szCs w:val="26"/>
        </w:rPr>
        <w:t xml:space="preserve">lliteracy rate among Palestinian refugees </w:t>
      </w:r>
      <w:r w:rsidR="00514448" w:rsidRPr="006929CA">
        <w:rPr>
          <w:color w:val="000000" w:themeColor="text1"/>
          <w:sz w:val="26"/>
          <w:szCs w:val="26"/>
        </w:rPr>
        <w:t>in the West Bank</w:t>
      </w:r>
      <w:r w:rsidR="00941697" w:rsidRPr="006929CA">
        <w:rPr>
          <w:color w:val="000000" w:themeColor="text1"/>
          <w:sz w:val="26"/>
          <w:szCs w:val="26"/>
        </w:rPr>
        <w:t xml:space="preserve"> reached 1.9%, while it reached </w:t>
      </w:r>
      <w:r w:rsidR="00514448" w:rsidRPr="006929CA">
        <w:rPr>
          <w:color w:val="000000" w:themeColor="text1"/>
          <w:sz w:val="26"/>
          <w:szCs w:val="26"/>
        </w:rPr>
        <w:t>2.3</w:t>
      </w:r>
      <w:r w:rsidR="00941697" w:rsidRPr="006929CA">
        <w:rPr>
          <w:color w:val="000000" w:themeColor="text1"/>
          <w:sz w:val="26"/>
          <w:szCs w:val="26"/>
        </w:rPr>
        <w:t>% among non-refugees.</w:t>
      </w:r>
      <w:r w:rsidR="00514448" w:rsidRPr="006929CA">
        <w:rPr>
          <w:color w:val="000000" w:themeColor="text1"/>
          <w:sz w:val="26"/>
          <w:szCs w:val="26"/>
        </w:rPr>
        <w:t xml:space="preserve"> While it reached 1.7% among r</w:t>
      </w:r>
      <w:r w:rsidR="00941697" w:rsidRPr="006929CA">
        <w:rPr>
          <w:color w:val="000000" w:themeColor="text1"/>
          <w:sz w:val="26"/>
          <w:szCs w:val="26"/>
        </w:rPr>
        <w:t xml:space="preserve">efugees </w:t>
      </w:r>
      <w:r w:rsidR="00514448" w:rsidRPr="006929CA">
        <w:rPr>
          <w:color w:val="000000" w:themeColor="text1"/>
          <w:sz w:val="26"/>
          <w:szCs w:val="26"/>
        </w:rPr>
        <w:t xml:space="preserve"> in</w:t>
      </w:r>
      <w:r w:rsidR="00941697" w:rsidRPr="006929CA">
        <w:rPr>
          <w:color w:val="000000" w:themeColor="text1"/>
          <w:sz w:val="26"/>
          <w:szCs w:val="26"/>
        </w:rPr>
        <w:t xml:space="preserve"> Gaza Strip </w:t>
      </w:r>
      <w:r w:rsidR="00514448" w:rsidRPr="006929CA">
        <w:rPr>
          <w:color w:val="000000" w:themeColor="text1"/>
          <w:sz w:val="26"/>
          <w:szCs w:val="26"/>
        </w:rPr>
        <w:t xml:space="preserve">compared to 2.0% for non-refugees there. </w:t>
      </w:r>
    </w:p>
    <w:p w14:paraId="607C81FD" w14:textId="4E959C5A" w:rsidR="00514448" w:rsidRPr="006929CA" w:rsidRDefault="00514448" w:rsidP="00514448">
      <w:pPr>
        <w:pStyle w:val="BodyTextIndent"/>
        <w:ind w:left="0"/>
        <w:rPr>
          <w:color w:val="000000" w:themeColor="text1"/>
          <w:sz w:val="16"/>
          <w:szCs w:val="16"/>
        </w:rPr>
      </w:pPr>
    </w:p>
    <w:p w14:paraId="7973263D" w14:textId="39A6F91E" w:rsidR="00514448" w:rsidRPr="00C6043A" w:rsidRDefault="00514448" w:rsidP="00514448">
      <w:pPr>
        <w:pStyle w:val="BodyTextIndent"/>
        <w:ind w:left="0"/>
        <w:rPr>
          <w:color w:val="000000" w:themeColor="text1"/>
        </w:rPr>
      </w:pPr>
      <w:r w:rsidRPr="00C6043A">
        <w:rPr>
          <w:color w:val="000000" w:themeColor="text1"/>
        </w:rPr>
        <w:t>Moreover, unemployment rates in 2022 reached 47% among refugees and 42% among non-refugees in Gaza Strip, compared to 14% and 13%, respectively in the West Bank.</w:t>
      </w:r>
    </w:p>
    <w:p w14:paraId="465E6992" w14:textId="69138DE4" w:rsidR="00941697" w:rsidRPr="00C6043A" w:rsidRDefault="00941697" w:rsidP="00941697">
      <w:pPr>
        <w:pStyle w:val="BodyTextIndent"/>
        <w:ind w:left="0"/>
        <w:rPr>
          <w:color w:val="000000" w:themeColor="text1"/>
        </w:rPr>
      </w:pPr>
    </w:p>
    <w:p w14:paraId="60A7A88A" w14:textId="77777777" w:rsidR="006929CA" w:rsidRDefault="006929CA" w:rsidP="00941697">
      <w:pPr>
        <w:pStyle w:val="BodyTextIndent"/>
        <w:ind w:left="0"/>
        <w:jc w:val="center"/>
        <w:rPr>
          <w:b/>
          <w:bCs/>
          <w:color w:val="000000" w:themeColor="text1"/>
        </w:rPr>
      </w:pPr>
    </w:p>
    <w:p w14:paraId="78DA3E97" w14:textId="77777777" w:rsidR="006929CA" w:rsidRDefault="006929CA" w:rsidP="00941697">
      <w:pPr>
        <w:pStyle w:val="BodyTextIndent"/>
        <w:ind w:left="0"/>
        <w:jc w:val="center"/>
        <w:rPr>
          <w:b/>
          <w:bCs/>
          <w:color w:val="000000" w:themeColor="text1"/>
        </w:rPr>
      </w:pPr>
    </w:p>
    <w:p w14:paraId="538F8C18" w14:textId="77777777" w:rsidR="006929CA" w:rsidRDefault="006929CA" w:rsidP="00941697">
      <w:pPr>
        <w:pStyle w:val="BodyTextIndent"/>
        <w:ind w:left="0"/>
        <w:jc w:val="center"/>
        <w:rPr>
          <w:b/>
          <w:bCs/>
          <w:color w:val="000000" w:themeColor="text1"/>
        </w:rPr>
      </w:pPr>
    </w:p>
    <w:p w14:paraId="4E28713D" w14:textId="77777777" w:rsidR="006929CA" w:rsidRDefault="006929CA" w:rsidP="00941697">
      <w:pPr>
        <w:pStyle w:val="BodyTextIndent"/>
        <w:ind w:left="0"/>
        <w:jc w:val="center"/>
        <w:rPr>
          <w:b/>
          <w:bCs/>
          <w:color w:val="000000" w:themeColor="text1"/>
        </w:rPr>
      </w:pPr>
    </w:p>
    <w:p w14:paraId="1A98B7CA" w14:textId="77777777" w:rsidR="006929CA" w:rsidRDefault="006929CA" w:rsidP="00941697">
      <w:pPr>
        <w:pStyle w:val="BodyTextIndent"/>
        <w:ind w:left="0"/>
        <w:jc w:val="center"/>
        <w:rPr>
          <w:b/>
          <w:bCs/>
          <w:color w:val="000000" w:themeColor="text1"/>
        </w:rPr>
      </w:pPr>
    </w:p>
    <w:p w14:paraId="7F46582D" w14:textId="77777777" w:rsidR="006929CA" w:rsidRDefault="006929CA" w:rsidP="00941697">
      <w:pPr>
        <w:pStyle w:val="BodyTextIndent"/>
        <w:ind w:left="0"/>
        <w:jc w:val="center"/>
        <w:rPr>
          <w:b/>
          <w:bCs/>
          <w:color w:val="000000" w:themeColor="text1"/>
        </w:rPr>
      </w:pPr>
    </w:p>
    <w:p w14:paraId="4CAE9DE4" w14:textId="77777777" w:rsidR="006929CA" w:rsidRDefault="006929CA" w:rsidP="00941697">
      <w:pPr>
        <w:pStyle w:val="BodyTextIndent"/>
        <w:ind w:left="0"/>
        <w:jc w:val="center"/>
        <w:rPr>
          <w:b/>
          <w:bCs/>
          <w:color w:val="000000" w:themeColor="text1"/>
        </w:rPr>
      </w:pPr>
    </w:p>
    <w:p w14:paraId="4FE8A82C" w14:textId="77777777" w:rsidR="006929CA" w:rsidRDefault="00941697" w:rsidP="00941697">
      <w:pPr>
        <w:pStyle w:val="BodyTextIndent"/>
        <w:ind w:left="0"/>
        <w:jc w:val="center"/>
        <w:rPr>
          <w:b/>
          <w:bCs/>
          <w:color w:val="000000" w:themeColor="text1"/>
        </w:rPr>
      </w:pPr>
      <w:r w:rsidRPr="006929CA">
        <w:rPr>
          <w:b/>
          <w:bCs/>
          <w:color w:val="000000" w:themeColor="text1"/>
        </w:rPr>
        <w:t>Illiteracy Rate Among Individuals (15 years and above) and Percentage of Individuals</w:t>
      </w:r>
    </w:p>
    <w:p w14:paraId="71800AEA" w14:textId="28689A00" w:rsidR="006929CA" w:rsidRDefault="00941697" w:rsidP="00941697">
      <w:pPr>
        <w:pStyle w:val="BodyTextIndent"/>
        <w:ind w:left="0"/>
        <w:jc w:val="center"/>
        <w:rPr>
          <w:b/>
          <w:bCs/>
          <w:color w:val="000000" w:themeColor="text1"/>
        </w:rPr>
      </w:pPr>
      <w:r w:rsidRPr="006929CA">
        <w:rPr>
          <w:b/>
          <w:bCs/>
          <w:color w:val="000000" w:themeColor="text1"/>
        </w:rPr>
        <w:t xml:space="preserve"> (18 years and above) who Obtained a Bachelor's Degree or Higher by</w:t>
      </w:r>
    </w:p>
    <w:p w14:paraId="7ABD7828" w14:textId="55F34A8E" w:rsidR="00941697" w:rsidRPr="006929CA" w:rsidRDefault="00941697" w:rsidP="00941697">
      <w:pPr>
        <w:pStyle w:val="BodyTextIndent"/>
        <w:ind w:left="0"/>
        <w:jc w:val="center"/>
        <w:rPr>
          <w:b/>
          <w:bCs/>
          <w:color w:val="000000" w:themeColor="text1"/>
        </w:rPr>
      </w:pPr>
      <w:r w:rsidRPr="006929CA">
        <w:rPr>
          <w:b/>
          <w:bCs/>
          <w:color w:val="000000" w:themeColor="text1"/>
        </w:rPr>
        <w:t xml:space="preserve"> Region and Refugee Status, 2022</w:t>
      </w:r>
    </w:p>
    <w:p w14:paraId="51B7819A" w14:textId="77777777" w:rsidR="00941697" w:rsidRPr="00C6043A" w:rsidRDefault="00941697" w:rsidP="00941697">
      <w:pPr>
        <w:bidi w:val="0"/>
        <w:jc w:val="center"/>
        <w:rPr>
          <w:b/>
          <w:bCs/>
          <w:color w:val="000000" w:themeColor="text1"/>
          <w:lang w:eastAsia="en-US"/>
        </w:rPr>
      </w:pPr>
    </w:p>
    <w:tbl>
      <w:tblPr>
        <w:tblStyle w:val="LightShading-Accent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91"/>
        <w:gridCol w:w="1418"/>
        <w:gridCol w:w="1134"/>
        <w:gridCol w:w="1598"/>
        <w:gridCol w:w="2371"/>
      </w:tblGrid>
      <w:tr w:rsidR="00941697" w:rsidRPr="006929CA" w14:paraId="407B1454" w14:textId="77777777" w:rsidTr="006929CA">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91" w:type="dxa"/>
            <w:vMerge w:val="restart"/>
            <w:tcBorders>
              <w:top w:val="none" w:sz="0" w:space="0" w:color="auto"/>
              <w:left w:val="none" w:sz="0" w:space="0" w:color="auto"/>
              <w:bottom w:val="none" w:sz="0" w:space="0" w:color="auto"/>
              <w:right w:val="none" w:sz="0" w:space="0" w:color="auto"/>
            </w:tcBorders>
            <w:shd w:val="clear" w:color="auto" w:fill="FFFFFF"/>
            <w:vAlign w:val="center"/>
          </w:tcPr>
          <w:p w14:paraId="07F3E084" w14:textId="77777777" w:rsidR="00941697" w:rsidRPr="006929CA" w:rsidRDefault="00941697" w:rsidP="00A92E86">
            <w:pPr>
              <w:bidi w:val="0"/>
              <w:jc w:val="center"/>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Region</w:t>
            </w:r>
          </w:p>
        </w:tc>
        <w:tc>
          <w:tcPr>
            <w:tcW w:w="2552" w:type="dxa"/>
            <w:gridSpan w:val="2"/>
            <w:tcBorders>
              <w:top w:val="none" w:sz="0" w:space="0" w:color="auto"/>
              <w:left w:val="none" w:sz="0" w:space="0" w:color="auto"/>
              <w:bottom w:val="none" w:sz="0" w:space="0" w:color="auto"/>
              <w:right w:val="none" w:sz="0" w:space="0" w:color="auto"/>
            </w:tcBorders>
            <w:shd w:val="clear" w:color="auto" w:fill="FFFFFF"/>
            <w:vAlign w:val="center"/>
          </w:tcPr>
          <w:p w14:paraId="31F8ED30" w14:textId="64B72D78" w:rsidR="00941697" w:rsidRPr="006929CA" w:rsidRDefault="00941697" w:rsidP="000D33C7">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 xml:space="preserve">Illiteracy </w:t>
            </w:r>
            <w:r w:rsidR="000D33C7" w:rsidRPr="006929CA">
              <w:rPr>
                <w:rFonts w:asciiTheme="majorBidi" w:hAnsiTheme="majorBidi" w:cstheme="majorBidi"/>
                <w:color w:val="000000" w:themeColor="text1"/>
                <w:sz w:val="22"/>
                <w:szCs w:val="22"/>
                <w:lang w:eastAsia="en-US"/>
              </w:rPr>
              <w:t>Rate</w:t>
            </w:r>
          </w:p>
        </w:tc>
        <w:tc>
          <w:tcPr>
            <w:tcW w:w="3969" w:type="dxa"/>
            <w:gridSpan w:val="2"/>
            <w:tcBorders>
              <w:top w:val="none" w:sz="0" w:space="0" w:color="auto"/>
              <w:left w:val="none" w:sz="0" w:space="0" w:color="auto"/>
              <w:bottom w:val="none" w:sz="0" w:space="0" w:color="auto"/>
              <w:right w:val="none" w:sz="0" w:space="0" w:color="auto"/>
            </w:tcBorders>
            <w:shd w:val="clear" w:color="auto" w:fill="FFFFFF"/>
            <w:vAlign w:val="center"/>
          </w:tcPr>
          <w:p w14:paraId="35B01DFC" w14:textId="77777777" w:rsidR="00941697" w:rsidRPr="006929CA" w:rsidRDefault="00941697" w:rsidP="00A92E86">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Percentage of Individuals who Obtained a Bachelor's Degree or Higher (%)</w:t>
            </w:r>
          </w:p>
        </w:tc>
      </w:tr>
      <w:tr w:rsidR="00941697" w:rsidRPr="006929CA" w14:paraId="7DF6126D" w14:textId="77777777" w:rsidTr="006929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91" w:type="dxa"/>
            <w:vMerge/>
            <w:tcBorders>
              <w:left w:val="none" w:sz="0" w:space="0" w:color="auto"/>
              <w:right w:val="none" w:sz="0" w:space="0" w:color="auto"/>
            </w:tcBorders>
            <w:shd w:val="clear" w:color="auto" w:fill="FFFFFF"/>
          </w:tcPr>
          <w:p w14:paraId="4CC7B4CE" w14:textId="77777777" w:rsidR="00941697" w:rsidRPr="006929CA" w:rsidRDefault="00941697" w:rsidP="00A92E86">
            <w:pPr>
              <w:bidi w:val="0"/>
              <w:jc w:val="center"/>
              <w:rPr>
                <w:rFonts w:asciiTheme="majorBidi" w:hAnsiTheme="majorBidi" w:cstheme="majorBidi"/>
                <w:color w:val="000000" w:themeColor="text1"/>
                <w:sz w:val="22"/>
                <w:szCs w:val="22"/>
                <w:rtl/>
                <w:lang w:eastAsia="en-US"/>
              </w:rPr>
            </w:pPr>
          </w:p>
        </w:tc>
        <w:tc>
          <w:tcPr>
            <w:tcW w:w="1418" w:type="dxa"/>
            <w:tcBorders>
              <w:left w:val="none" w:sz="0" w:space="0" w:color="auto"/>
              <w:right w:val="none" w:sz="0" w:space="0" w:color="auto"/>
            </w:tcBorders>
            <w:shd w:val="clear" w:color="auto" w:fill="FFFFFF"/>
            <w:vAlign w:val="center"/>
          </w:tcPr>
          <w:p w14:paraId="247017F5" w14:textId="77777777" w:rsidR="00941697" w:rsidRPr="006929CA" w:rsidRDefault="00941697" w:rsidP="00A92E8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Refugee</w:t>
            </w:r>
          </w:p>
        </w:tc>
        <w:tc>
          <w:tcPr>
            <w:tcW w:w="1134" w:type="dxa"/>
            <w:tcBorders>
              <w:left w:val="none" w:sz="0" w:space="0" w:color="auto"/>
              <w:right w:val="none" w:sz="0" w:space="0" w:color="auto"/>
            </w:tcBorders>
            <w:shd w:val="clear" w:color="auto" w:fill="FFFFFF"/>
            <w:vAlign w:val="center"/>
          </w:tcPr>
          <w:p w14:paraId="7B53D2AA" w14:textId="62584176" w:rsidR="00941697" w:rsidRPr="006929CA" w:rsidRDefault="000D33C7" w:rsidP="000D33C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Non-</w:t>
            </w:r>
            <w:r w:rsidR="00941697" w:rsidRPr="006929CA">
              <w:rPr>
                <w:rFonts w:asciiTheme="majorBidi" w:hAnsiTheme="majorBidi" w:cstheme="majorBidi"/>
                <w:color w:val="000000" w:themeColor="text1"/>
                <w:sz w:val="22"/>
                <w:szCs w:val="22"/>
                <w:lang w:eastAsia="en-US"/>
              </w:rPr>
              <w:t>refugee</w:t>
            </w:r>
          </w:p>
        </w:tc>
        <w:tc>
          <w:tcPr>
            <w:tcW w:w="1598" w:type="dxa"/>
            <w:tcBorders>
              <w:left w:val="none" w:sz="0" w:space="0" w:color="auto"/>
              <w:right w:val="none" w:sz="0" w:space="0" w:color="auto"/>
            </w:tcBorders>
            <w:shd w:val="clear" w:color="auto" w:fill="FFFFFF"/>
            <w:vAlign w:val="center"/>
          </w:tcPr>
          <w:p w14:paraId="59C5BA98" w14:textId="77777777" w:rsidR="00941697" w:rsidRPr="006929CA" w:rsidRDefault="00941697" w:rsidP="00A92E8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Refugee</w:t>
            </w:r>
          </w:p>
        </w:tc>
        <w:tc>
          <w:tcPr>
            <w:tcW w:w="2371" w:type="dxa"/>
            <w:tcBorders>
              <w:left w:val="none" w:sz="0" w:space="0" w:color="auto"/>
              <w:right w:val="none" w:sz="0" w:space="0" w:color="auto"/>
            </w:tcBorders>
            <w:shd w:val="clear" w:color="auto" w:fill="FFFFFF"/>
            <w:vAlign w:val="center"/>
          </w:tcPr>
          <w:p w14:paraId="1194365C" w14:textId="6ED44925" w:rsidR="00941697" w:rsidRPr="006929CA" w:rsidRDefault="000D33C7" w:rsidP="000D33C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Non-</w:t>
            </w:r>
            <w:r w:rsidR="00941697" w:rsidRPr="006929CA">
              <w:rPr>
                <w:rFonts w:asciiTheme="majorBidi" w:hAnsiTheme="majorBidi" w:cstheme="majorBidi"/>
                <w:color w:val="000000" w:themeColor="text1"/>
                <w:sz w:val="22"/>
                <w:szCs w:val="22"/>
                <w:lang w:eastAsia="en-US"/>
              </w:rPr>
              <w:t>refugee</w:t>
            </w:r>
          </w:p>
        </w:tc>
      </w:tr>
      <w:tr w:rsidR="00941697" w:rsidRPr="006929CA" w14:paraId="62AC8E9F" w14:textId="77777777" w:rsidTr="006929CA">
        <w:trPr>
          <w:trHeight w:val="34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vAlign w:val="center"/>
          </w:tcPr>
          <w:p w14:paraId="642DE9D7" w14:textId="77777777" w:rsidR="00941697" w:rsidRPr="006929CA" w:rsidRDefault="00941697" w:rsidP="00A92E86">
            <w:pPr>
              <w:bidi w:val="0"/>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Palestine</w:t>
            </w:r>
          </w:p>
        </w:tc>
        <w:tc>
          <w:tcPr>
            <w:tcW w:w="1418" w:type="dxa"/>
            <w:shd w:val="clear" w:color="auto" w:fill="FFFFFF"/>
            <w:vAlign w:val="center"/>
          </w:tcPr>
          <w:p w14:paraId="5070BBE4"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2"/>
                <w:szCs w:val="22"/>
                <w:rtl/>
                <w:lang w:eastAsia="en-US"/>
              </w:rPr>
            </w:pPr>
            <w:r w:rsidRPr="006929CA">
              <w:rPr>
                <w:rFonts w:asciiTheme="majorBidi" w:hAnsiTheme="majorBidi" w:cstheme="majorBidi"/>
                <w:b/>
                <w:bCs/>
                <w:color w:val="000000" w:themeColor="text1"/>
                <w:sz w:val="22"/>
                <w:szCs w:val="22"/>
                <w:lang w:eastAsia="en-US"/>
              </w:rPr>
              <w:t>1.9</w:t>
            </w:r>
          </w:p>
        </w:tc>
        <w:tc>
          <w:tcPr>
            <w:tcW w:w="1134" w:type="dxa"/>
            <w:shd w:val="clear" w:color="auto" w:fill="FFFFFF"/>
            <w:vAlign w:val="center"/>
          </w:tcPr>
          <w:p w14:paraId="0FE4EB0E"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2"/>
                <w:szCs w:val="22"/>
                <w:lang w:eastAsia="en-US"/>
              </w:rPr>
            </w:pPr>
            <w:r w:rsidRPr="006929CA">
              <w:rPr>
                <w:rFonts w:asciiTheme="majorBidi" w:hAnsiTheme="majorBidi" w:cstheme="majorBidi"/>
                <w:b/>
                <w:bCs/>
                <w:color w:val="000000" w:themeColor="text1"/>
                <w:sz w:val="22"/>
                <w:szCs w:val="22"/>
                <w:lang w:eastAsia="en-US"/>
              </w:rPr>
              <w:t>2.3</w:t>
            </w:r>
          </w:p>
        </w:tc>
        <w:tc>
          <w:tcPr>
            <w:tcW w:w="1598" w:type="dxa"/>
            <w:shd w:val="clear" w:color="auto" w:fill="FFFFFF"/>
            <w:vAlign w:val="center"/>
          </w:tcPr>
          <w:p w14:paraId="5C1A27AA"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2"/>
                <w:szCs w:val="22"/>
                <w:lang w:eastAsia="en-US"/>
              </w:rPr>
            </w:pPr>
            <w:r w:rsidRPr="006929CA">
              <w:rPr>
                <w:rFonts w:asciiTheme="majorBidi" w:hAnsiTheme="majorBidi" w:cstheme="majorBidi"/>
                <w:b/>
                <w:bCs/>
                <w:color w:val="000000" w:themeColor="text1"/>
                <w:sz w:val="22"/>
                <w:szCs w:val="22"/>
                <w:lang w:eastAsia="en-US"/>
              </w:rPr>
              <w:t>21.0</w:t>
            </w:r>
          </w:p>
        </w:tc>
        <w:tc>
          <w:tcPr>
            <w:tcW w:w="2371" w:type="dxa"/>
            <w:shd w:val="clear" w:color="auto" w:fill="FFFFFF"/>
            <w:vAlign w:val="center"/>
          </w:tcPr>
          <w:p w14:paraId="72708BB5"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2"/>
                <w:szCs w:val="22"/>
                <w:lang w:eastAsia="en-US"/>
              </w:rPr>
            </w:pPr>
            <w:r w:rsidRPr="006929CA">
              <w:rPr>
                <w:rFonts w:asciiTheme="majorBidi" w:hAnsiTheme="majorBidi" w:cstheme="majorBidi"/>
                <w:b/>
                <w:bCs/>
                <w:color w:val="000000" w:themeColor="text1"/>
                <w:sz w:val="22"/>
                <w:szCs w:val="22"/>
                <w:lang w:eastAsia="en-US"/>
              </w:rPr>
              <w:t>19.1</w:t>
            </w:r>
          </w:p>
        </w:tc>
      </w:tr>
      <w:tr w:rsidR="00941697" w:rsidRPr="006929CA" w14:paraId="59D93F68" w14:textId="77777777" w:rsidTr="006929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91" w:type="dxa"/>
            <w:tcBorders>
              <w:left w:val="none" w:sz="0" w:space="0" w:color="auto"/>
              <w:right w:val="none" w:sz="0" w:space="0" w:color="auto"/>
            </w:tcBorders>
            <w:shd w:val="clear" w:color="auto" w:fill="FFFFFF"/>
            <w:vAlign w:val="center"/>
          </w:tcPr>
          <w:p w14:paraId="10E84AF2" w14:textId="77777777" w:rsidR="00941697" w:rsidRPr="006929CA" w:rsidRDefault="00941697" w:rsidP="00A92E86">
            <w:pPr>
              <w:bidi w:val="0"/>
              <w:rPr>
                <w:rFonts w:asciiTheme="majorBidi" w:hAnsiTheme="majorBidi" w:cstheme="majorBidi"/>
                <w:b w:val="0"/>
                <w:bCs w:val="0"/>
                <w:color w:val="000000" w:themeColor="text1"/>
                <w:sz w:val="22"/>
                <w:szCs w:val="22"/>
                <w:rtl/>
                <w:lang w:eastAsia="en-US"/>
              </w:rPr>
            </w:pPr>
            <w:r w:rsidRPr="006929CA">
              <w:rPr>
                <w:rFonts w:asciiTheme="majorBidi" w:hAnsiTheme="majorBidi" w:cstheme="majorBidi"/>
                <w:b w:val="0"/>
                <w:bCs w:val="0"/>
                <w:color w:val="000000" w:themeColor="text1"/>
                <w:sz w:val="22"/>
                <w:szCs w:val="22"/>
                <w:lang w:eastAsia="en-US"/>
              </w:rPr>
              <w:t>West Bank</w:t>
            </w:r>
          </w:p>
        </w:tc>
        <w:tc>
          <w:tcPr>
            <w:tcW w:w="1418" w:type="dxa"/>
            <w:tcBorders>
              <w:left w:val="none" w:sz="0" w:space="0" w:color="auto"/>
              <w:right w:val="none" w:sz="0" w:space="0" w:color="auto"/>
            </w:tcBorders>
            <w:shd w:val="clear" w:color="auto" w:fill="FFFFFF"/>
            <w:vAlign w:val="center"/>
          </w:tcPr>
          <w:p w14:paraId="3A8FEFF2" w14:textId="77777777" w:rsidR="00941697" w:rsidRPr="006929CA" w:rsidRDefault="00941697" w:rsidP="006929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2.1</w:t>
            </w:r>
          </w:p>
        </w:tc>
        <w:tc>
          <w:tcPr>
            <w:tcW w:w="1134" w:type="dxa"/>
            <w:tcBorders>
              <w:left w:val="none" w:sz="0" w:space="0" w:color="auto"/>
              <w:right w:val="none" w:sz="0" w:space="0" w:color="auto"/>
            </w:tcBorders>
            <w:shd w:val="clear" w:color="auto" w:fill="FFFFFF"/>
            <w:vAlign w:val="center"/>
          </w:tcPr>
          <w:p w14:paraId="3EF4DC13" w14:textId="77777777" w:rsidR="00941697" w:rsidRPr="006929CA" w:rsidRDefault="00941697" w:rsidP="006929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2.4</w:t>
            </w:r>
          </w:p>
        </w:tc>
        <w:tc>
          <w:tcPr>
            <w:tcW w:w="1598" w:type="dxa"/>
            <w:tcBorders>
              <w:left w:val="none" w:sz="0" w:space="0" w:color="auto"/>
              <w:right w:val="none" w:sz="0" w:space="0" w:color="auto"/>
            </w:tcBorders>
            <w:shd w:val="clear" w:color="auto" w:fill="FFFFFF"/>
            <w:vAlign w:val="center"/>
          </w:tcPr>
          <w:p w14:paraId="52AB917A" w14:textId="77777777" w:rsidR="00941697" w:rsidRPr="006929CA" w:rsidRDefault="00941697" w:rsidP="006929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19.2</w:t>
            </w:r>
          </w:p>
        </w:tc>
        <w:tc>
          <w:tcPr>
            <w:tcW w:w="2371" w:type="dxa"/>
            <w:tcBorders>
              <w:left w:val="none" w:sz="0" w:space="0" w:color="auto"/>
              <w:right w:val="none" w:sz="0" w:space="0" w:color="auto"/>
            </w:tcBorders>
            <w:shd w:val="clear" w:color="auto" w:fill="FFFFFF"/>
            <w:vAlign w:val="center"/>
          </w:tcPr>
          <w:p w14:paraId="1AF8E797" w14:textId="77777777" w:rsidR="00941697" w:rsidRPr="006929CA" w:rsidRDefault="00941697" w:rsidP="006929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19.5</w:t>
            </w:r>
          </w:p>
        </w:tc>
      </w:tr>
      <w:tr w:rsidR="00941697" w:rsidRPr="006929CA" w14:paraId="1A55BF1D" w14:textId="77777777" w:rsidTr="006929CA">
        <w:trPr>
          <w:trHeight w:val="34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vAlign w:val="center"/>
          </w:tcPr>
          <w:p w14:paraId="7E62516B" w14:textId="77777777" w:rsidR="00941697" w:rsidRPr="006929CA" w:rsidRDefault="00941697" w:rsidP="00A92E86">
            <w:pPr>
              <w:bidi w:val="0"/>
              <w:rPr>
                <w:rFonts w:asciiTheme="majorBidi" w:hAnsiTheme="majorBidi" w:cstheme="majorBidi"/>
                <w:b w:val="0"/>
                <w:bCs w:val="0"/>
                <w:color w:val="000000" w:themeColor="text1"/>
                <w:sz w:val="22"/>
                <w:szCs w:val="22"/>
                <w:rtl/>
                <w:lang w:eastAsia="en-US"/>
              </w:rPr>
            </w:pPr>
            <w:r w:rsidRPr="006929CA">
              <w:rPr>
                <w:rFonts w:asciiTheme="majorBidi" w:hAnsiTheme="majorBidi" w:cstheme="majorBidi"/>
                <w:b w:val="0"/>
                <w:bCs w:val="0"/>
                <w:color w:val="000000" w:themeColor="text1"/>
                <w:sz w:val="22"/>
                <w:szCs w:val="22"/>
                <w:lang w:eastAsia="en-US"/>
              </w:rPr>
              <w:t>Gaza Strip</w:t>
            </w:r>
          </w:p>
        </w:tc>
        <w:tc>
          <w:tcPr>
            <w:tcW w:w="1418" w:type="dxa"/>
            <w:shd w:val="clear" w:color="auto" w:fill="FFFFFF"/>
            <w:vAlign w:val="center"/>
          </w:tcPr>
          <w:p w14:paraId="1CDA7181"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tl/>
                <w:lang w:eastAsia="en-US"/>
              </w:rPr>
            </w:pPr>
            <w:r w:rsidRPr="006929CA">
              <w:rPr>
                <w:rFonts w:asciiTheme="majorBidi" w:hAnsiTheme="majorBidi" w:cstheme="majorBidi"/>
                <w:color w:val="000000" w:themeColor="text1"/>
                <w:sz w:val="22"/>
                <w:szCs w:val="22"/>
                <w:lang w:eastAsia="en-US"/>
              </w:rPr>
              <w:t>1.7</w:t>
            </w:r>
          </w:p>
        </w:tc>
        <w:tc>
          <w:tcPr>
            <w:tcW w:w="1134" w:type="dxa"/>
            <w:shd w:val="clear" w:color="auto" w:fill="FFFFFF"/>
            <w:vAlign w:val="center"/>
          </w:tcPr>
          <w:p w14:paraId="0341309E"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2.0</w:t>
            </w:r>
          </w:p>
        </w:tc>
        <w:tc>
          <w:tcPr>
            <w:tcW w:w="1598" w:type="dxa"/>
            <w:shd w:val="clear" w:color="auto" w:fill="FFFFFF"/>
            <w:vAlign w:val="center"/>
          </w:tcPr>
          <w:p w14:paraId="76F2CD33"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22.0</w:t>
            </w:r>
          </w:p>
        </w:tc>
        <w:tc>
          <w:tcPr>
            <w:tcW w:w="2371" w:type="dxa"/>
            <w:shd w:val="clear" w:color="auto" w:fill="FFFFFF"/>
            <w:vAlign w:val="center"/>
          </w:tcPr>
          <w:p w14:paraId="5BB71963" w14:textId="77777777" w:rsidR="00941697" w:rsidRPr="006929CA" w:rsidRDefault="00941697" w:rsidP="006929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eastAsia="en-US"/>
              </w:rPr>
            </w:pPr>
            <w:r w:rsidRPr="006929CA">
              <w:rPr>
                <w:rFonts w:asciiTheme="majorBidi" w:hAnsiTheme="majorBidi" w:cstheme="majorBidi"/>
                <w:color w:val="000000" w:themeColor="text1"/>
                <w:sz w:val="22"/>
                <w:szCs w:val="22"/>
                <w:lang w:eastAsia="en-US"/>
              </w:rPr>
              <w:t>17.7</w:t>
            </w:r>
          </w:p>
        </w:tc>
      </w:tr>
    </w:tbl>
    <w:p w14:paraId="022D3EA9" w14:textId="5BD5B6CC" w:rsidR="00941697" w:rsidRPr="006929CA" w:rsidRDefault="00941697" w:rsidP="006929CA">
      <w:pPr>
        <w:pStyle w:val="BodyTextIndent"/>
        <w:ind w:left="0" w:firstLine="567"/>
        <w:jc w:val="both"/>
        <w:rPr>
          <w:snapToGrid w:val="0"/>
          <w:sz w:val="18"/>
          <w:szCs w:val="18"/>
          <w:rtl/>
        </w:rPr>
      </w:pPr>
      <w:r w:rsidRPr="006929CA">
        <w:rPr>
          <w:rFonts w:hint="cs"/>
          <w:b/>
          <w:bCs/>
          <w:snapToGrid w:val="0"/>
          <w:sz w:val="18"/>
          <w:szCs w:val="18"/>
          <w:rtl/>
        </w:rPr>
        <w:t xml:space="preserve"> </w:t>
      </w:r>
      <w:r w:rsidR="00787E3D" w:rsidRPr="006929CA">
        <w:rPr>
          <w:b/>
          <w:bCs/>
          <w:color w:val="000000" w:themeColor="text1"/>
          <w:sz w:val="18"/>
          <w:szCs w:val="18"/>
        </w:rPr>
        <w:t>Source:</w:t>
      </w:r>
      <w:r w:rsidRPr="006929CA">
        <w:rPr>
          <w:rFonts w:hint="cs"/>
          <w:b/>
          <w:bCs/>
          <w:snapToGrid w:val="0"/>
          <w:sz w:val="18"/>
          <w:szCs w:val="18"/>
          <w:rtl/>
        </w:rPr>
        <w:t xml:space="preserve"> </w:t>
      </w:r>
      <w:r w:rsidRPr="006929CA">
        <w:rPr>
          <w:b/>
          <w:bCs/>
          <w:snapToGrid w:val="0"/>
          <w:sz w:val="18"/>
          <w:szCs w:val="18"/>
        </w:rPr>
        <w:t xml:space="preserve">Palestinian Central Bureau of Statistics, </w:t>
      </w:r>
      <w:r w:rsidRPr="006929CA">
        <w:rPr>
          <w:rFonts w:hint="cs"/>
          <w:b/>
          <w:bCs/>
          <w:snapToGrid w:val="0"/>
          <w:sz w:val="18"/>
          <w:szCs w:val="18"/>
          <w:rtl/>
        </w:rPr>
        <w:t>2024</w:t>
      </w:r>
      <w:r w:rsidRPr="006929CA">
        <w:rPr>
          <w:b/>
          <w:bCs/>
          <w:snapToGrid w:val="0"/>
          <w:sz w:val="18"/>
          <w:szCs w:val="18"/>
        </w:rPr>
        <w:t xml:space="preserve">. </w:t>
      </w:r>
      <w:r w:rsidRPr="006929CA">
        <w:rPr>
          <w:snapToGrid w:val="0"/>
          <w:sz w:val="18"/>
          <w:szCs w:val="18"/>
        </w:rPr>
        <w:t>Labor Force Survey Database, 2022.</w:t>
      </w:r>
      <w:r w:rsidR="006929CA">
        <w:rPr>
          <w:snapToGrid w:val="0"/>
          <w:sz w:val="18"/>
          <w:szCs w:val="18"/>
        </w:rPr>
        <w:t xml:space="preserve"> </w:t>
      </w:r>
      <w:r w:rsidRPr="006929CA">
        <w:rPr>
          <w:snapToGrid w:val="0"/>
          <w:sz w:val="18"/>
          <w:szCs w:val="18"/>
        </w:rPr>
        <w:t>Ramallah - Palestine.</w:t>
      </w:r>
    </w:p>
    <w:p w14:paraId="2D5C9463" w14:textId="77777777" w:rsidR="00107892" w:rsidRPr="006929CA" w:rsidRDefault="00107892" w:rsidP="00697FF3">
      <w:pPr>
        <w:bidi w:val="0"/>
        <w:jc w:val="both"/>
        <w:rPr>
          <w:rFonts w:eastAsia="Calibri"/>
          <w:b/>
          <w:bCs/>
          <w:color w:val="000000" w:themeColor="text1"/>
          <w:sz w:val="16"/>
          <w:szCs w:val="16"/>
          <w:lang w:eastAsia="en-US"/>
        </w:rPr>
      </w:pPr>
    </w:p>
    <w:p w14:paraId="670E517B" w14:textId="0685D97A" w:rsidR="005B7218" w:rsidRPr="006929CA" w:rsidRDefault="005B7218" w:rsidP="005F5CD8">
      <w:pPr>
        <w:bidi w:val="0"/>
        <w:jc w:val="both"/>
        <w:rPr>
          <w:sz w:val="26"/>
          <w:szCs w:val="26"/>
        </w:rPr>
      </w:pPr>
      <w:r w:rsidRPr="006929CA">
        <w:rPr>
          <w:sz w:val="26"/>
          <w:szCs w:val="26"/>
        </w:rPr>
        <w:t>Due to the ongoing Israeli occupation aggression against Gaza Strip since October 7</w:t>
      </w:r>
      <w:r w:rsidRPr="006929CA">
        <w:rPr>
          <w:sz w:val="26"/>
          <w:szCs w:val="26"/>
          <w:vertAlign w:val="superscript"/>
        </w:rPr>
        <w:t>th</w:t>
      </w:r>
      <w:r w:rsidRPr="006929CA">
        <w:rPr>
          <w:sz w:val="26"/>
          <w:szCs w:val="26"/>
        </w:rPr>
        <w:t xml:space="preserve">, 2023, </w:t>
      </w:r>
      <w:r w:rsidR="005F5CD8" w:rsidRPr="006929CA">
        <w:rPr>
          <w:sz w:val="26"/>
          <w:szCs w:val="26"/>
        </w:rPr>
        <w:t>where</w:t>
      </w:r>
      <w:r w:rsidRPr="006929CA">
        <w:rPr>
          <w:sz w:val="26"/>
          <w:szCs w:val="26"/>
        </w:rPr>
        <w:t xml:space="preserve"> unemployment rates reached unpreceded levels (estimates show that unemployment rates increased to 75% in the 4</w:t>
      </w:r>
      <w:r w:rsidRPr="006929CA">
        <w:rPr>
          <w:sz w:val="26"/>
          <w:szCs w:val="26"/>
          <w:vertAlign w:val="superscript"/>
        </w:rPr>
        <w:t>th</w:t>
      </w:r>
      <w:r w:rsidRPr="006929CA">
        <w:rPr>
          <w:sz w:val="26"/>
          <w:szCs w:val="26"/>
        </w:rPr>
        <w:t xml:space="preserve"> quarter of 2023, compared to 46% in the 3</w:t>
      </w:r>
      <w:r w:rsidRPr="006929CA">
        <w:rPr>
          <w:sz w:val="26"/>
          <w:szCs w:val="26"/>
          <w:vertAlign w:val="superscript"/>
        </w:rPr>
        <w:t>rd</w:t>
      </w:r>
      <w:r w:rsidRPr="006929CA">
        <w:rPr>
          <w:sz w:val="26"/>
          <w:szCs w:val="26"/>
        </w:rPr>
        <w:t xml:space="preserve"> quarter of the same year)</w:t>
      </w:r>
      <w:r w:rsidR="005F5CD8" w:rsidRPr="006929CA">
        <w:rPr>
          <w:sz w:val="26"/>
          <w:szCs w:val="26"/>
        </w:rPr>
        <w:t>, w</w:t>
      </w:r>
      <w:r w:rsidRPr="006929CA">
        <w:rPr>
          <w:sz w:val="26"/>
          <w:szCs w:val="26"/>
        </w:rPr>
        <w:t xml:space="preserve">hich means the loss of at least 200,000 jobs during the first three months of the </w:t>
      </w:r>
      <w:r w:rsidR="005F5CD8" w:rsidRPr="006929CA">
        <w:rPr>
          <w:sz w:val="26"/>
          <w:szCs w:val="26"/>
        </w:rPr>
        <w:t xml:space="preserve">Israeli </w:t>
      </w:r>
      <w:r w:rsidR="00134D0C" w:rsidRPr="006929CA">
        <w:rPr>
          <w:sz w:val="26"/>
          <w:szCs w:val="26"/>
        </w:rPr>
        <w:t xml:space="preserve">occupation </w:t>
      </w:r>
      <w:r w:rsidRPr="006929CA">
        <w:rPr>
          <w:sz w:val="26"/>
          <w:szCs w:val="26"/>
        </w:rPr>
        <w:t>aggression.</w:t>
      </w:r>
    </w:p>
    <w:p w14:paraId="1DD05E60" w14:textId="77777777" w:rsidR="005F5CD8" w:rsidRPr="00787E3D" w:rsidRDefault="005F5CD8" w:rsidP="005F5CD8">
      <w:pPr>
        <w:bidi w:val="0"/>
        <w:jc w:val="both"/>
        <w:rPr>
          <w:sz w:val="16"/>
          <w:szCs w:val="16"/>
        </w:rPr>
      </w:pPr>
    </w:p>
    <w:p w14:paraId="2B5E9F85" w14:textId="74317BC4" w:rsidR="00697FF3" w:rsidRPr="006929CA" w:rsidRDefault="005F5CD8" w:rsidP="009D4620">
      <w:pPr>
        <w:bidi w:val="0"/>
        <w:jc w:val="both"/>
        <w:rPr>
          <w:sz w:val="26"/>
          <w:szCs w:val="26"/>
        </w:rPr>
      </w:pPr>
      <w:r w:rsidRPr="006929CA">
        <w:rPr>
          <w:sz w:val="26"/>
          <w:szCs w:val="26"/>
        </w:rPr>
        <w:t xml:space="preserve">Accordingly, </w:t>
      </w:r>
      <w:r w:rsidR="005B7218" w:rsidRPr="006929CA">
        <w:rPr>
          <w:sz w:val="26"/>
          <w:szCs w:val="26"/>
        </w:rPr>
        <w:t>the number of unemployed persons increased to reach 317 thousand in the 4</w:t>
      </w:r>
      <w:r w:rsidR="005B7218" w:rsidRPr="006929CA">
        <w:rPr>
          <w:sz w:val="26"/>
          <w:szCs w:val="26"/>
          <w:vertAlign w:val="superscript"/>
        </w:rPr>
        <w:t>th</w:t>
      </w:r>
      <w:r w:rsidR="005B7218" w:rsidRPr="006929CA">
        <w:rPr>
          <w:sz w:val="26"/>
          <w:szCs w:val="26"/>
        </w:rPr>
        <w:t xml:space="preserve"> </w:t>
      </w:r>
      <w:r w:rsidR="00134D0C" w:rsidRPr="006929CA">
        <w:rPr>
          <w:sz w:val="26"/>
          <w:szCs w:val="26"/>
        </w:rPr>
        <w:t xml:space="preserve">quarter </w:t>
      </w:r>
      <w:r w:rsidR="005B7218" w:rsidRPr="006929CA">
        <w:rPr>
          <w:sz w:val="26"/>
          <w:szCs w:val="26"/>
        </w:rPr>
        <w:t>of 2023 compared to about 129 thousand in the 3</w:t>
      </w:r>
      <w:r w:rsidR="005B7218" w:rsidRPr="006929CA">
        <w:rPr>
          <w:sz w:val="26"/>
          <w:szCs w:val="26"/>
          <w:vertAlign w:val="superscript"/>
        </w:rPr>
        <w:t>rd</w:t>
      </w:r>
      <w:r w:rsidR="005B7218" w:rsidRPr="006929CA">
        <w:rPr>
          <w:sz w:val="26"/>
          <w:szCs w:val="26"/>
        </w:rPr>
        <w:t xml:space="preserve"> quarter of the same year, i.e. </w:t>
      </w:r>
      <w:r w:rsidRPr="006929CA">
        <w:rPr>
          <w:sz w:val="26"/>
          <w:szCs w:val="26"/>
        </w:rPr>
        <w:t xml:space="preserve">prior to </w:t>
      </w:r>
      <w:r w:rsidR="005B7218" w:rsidRPr="006929CA">
        <w:rPr>
          <w:sz w:val="26"/>
          <w:szCs w:val="26"/>
        </w:rPr>
        <w:t xml:space="preserve">the Israeli </w:t>
      </w:r>
      <w:r w:rsidR="00134D0C" w:rsidRPr="006929CA">
        <w:rPr>
          <w:sz w:val="26"/>
          <w:szCs w:val="26"/>
        </w:rPr>
        <w:t xml:space="preserve">occupation </w:t>
      </w:r>
      <w:r w:rsidR="005B7218" w:rsidRPr="006929CA">
        <w:rPr>
          <w:sz w:val="26"/>
          <w:szCs w:val="26"/>
        </w:rPr>
        <w:t xml:space="preserve">aggression. </w:t>
      </w:r>
      <w:r w:rsidRPr="006929CA">
        <w:rPr>
          <w:sz w:val="26"/>
          <w:szCs w:val="26"/>
        </w:rPr>
        <w:t>In addition</w:t>
      </w:r>
      <w:r w:rsidR="005B7218" w:rsidRPr="006929CA">
        <w:rPr>
          <w:sz w:val="26"/>
          <w:szCs w:val="26"/>
        </w:rPr>
        <w:t xml:space="preserve">, unemployment rates among </w:t>
      </w:r>
      <w:r w:rsidRPr="006929CA">
        <w:rPr>
          <w:sz w:val="26"/>
          <w:szCs w:val="26"/>
        </w:rPr>
        <w:t xml:space="preserve">labour force </w:t>
      </w:r>
      <w:r w:rsidR="005B7218" w:rsidRPr="006929CA">
        <w:rPr>
          <w:sz w:val="26"/>
          <w:szCs w:val="26"/>
        </w:rPr>
        <w:t>participants in the West Bank increased to about 32% in the 4</w:t>
      </w:r>
      <w:r w:rsidR="005B7218" w:rsidRPr="006929CA">
        <w:rPr>
          <w:sz w:val="26"/>
          <w:szCs w:val="26"/>
          <w:vertAlign w:val="superscript"/>
        </w:rPr>
        <w:t>th</w:t>
      </w:r>
      <w:r w:rsidR="005B7218" w:rsidRPr="006929CA">
        <w:rPr>
          <w:sz w:val="26"/>
          <w:szCs w:val="26"/>
        </w:rPr>
        <w:t xml:space="preserve"> quarter of 2023 compared to 13% in the 3</w:t>
      </w:r>
      <w:r w:rsidR="005B7218" w:rsidRPr="006929CA">
        <w:rPr>
          <w:sz w:val="26"/>
          <w:szCs w:val="26"/>
          <w:vertAlign w:val="superscript"/>
        </w:rPr>
        <w:t>rd</w:t>
      </w:r>
      <w:r w:rsidR="005B7218" w:rsidRPr="006929CA">
        <w:rPr>
          <w:sz w:val="26"/>
          <w:szCs w:val="26"/>
        </w:rPr>
        <w:t xml:space="preserve"> quarter of the same year.</w:t>
      </w:r>
    </w:p>
    <w:p w14:paraId="4F228825" w14:textId="146E82AA" w:rsidR="00170C48" w:rsidRPr="00787E3D" w:rsidRDefault="00170C48" w:rsidP="00170C48">
      <w:pPr>
        <w:bidi w:val="0"/>
        <w:rPr>
          <w:sz w:val="12"/>
          <w:szCs w:val="12"/>
        </w:rPr>
      </w:pPr>
    </w:p>
    <w:p w14:paraId="05501664" w14:textId="77777777" w:rsidR="00170C48" w:rsidRPr="006929CA" w:rsidRDefault="00170C48" w:rsidP="00170C48">
      <w:pPr>
        <w:bidi w:val="0"/>
        <w:jc w:val="both"/>
        <w:rPr>
          <w:rFonts w:eastAsia="Calibri"/>
          <w:sz w:val="26"/>
          <w:szCs w:val="26"/>
          <w:lang w:eastAsia="en-US"/>
        </w:rPr>
      </w:pPr>
      <w:r w:rsidRPr="006929CA">
        <w:rPr>
          <w:rFonts w:eastAsia="Calibri"/>
          <w:sz w:val="26"/>
          <w:szCs w:val="26"/>
          <w:lang w:eastAsia="en-US"/>
        </w:rPr>
        <w:t>Due to the continuous bombardment with intense airstrikes on Gaza Strip and the toll of martyrs among students and teachers, as well as the destruction of infrastructure of a significant number of schools, the educational process has been disrupted in Gaza Strip since the beginning of the aggression, depriving approximately 620,000 students of their right to school education for the scholastic year 2023/2024</w:t>
      </w:r>
      <w:r w:rsidRPr="006929CA">
        <w:rPr>
          <w:rFonts w:eastAsia="Calibri"/>
          <w:sz w:val="26"/>
          <w:szCs w:val="26"/>
          <w:rtl/>
          <w:lang w:eastAsia="en-US"/>
        </w:rPr>
        <w:t>.</w:t>
      </w:r>
      <w:r w:rsidRPr="006929CA">
        <w:rPr>
          <w:rFonts w:eastAsia="Calibri"/>
          <w:sz w:val="26"/>
          <w:szCs w:val="26"/>
          <w:lang w:eastAsia="en-US"/>
        </w:rPr>
        <w:t xml:space="preserve"> The number of martyrs among enrolled students in schools in Palestine reached </w:t>
      </w:r>
      <w:r w:rsidRPr="006929CA">
        <w:rPr>
          <w:rFonts w:eastAsia="Calibri" w:hint="cs"/>
          <w:sz w:val="26"/>
          <w:szCs w:val="26"/>
          <w:rtl/>
          <w:lang w:eastAsia="en-US"/>
        </w:rPr>
        <w:t>6</w:t>
      </w:r>
      <w:r w:rsidRPr="006929CA">
        <w:rPr>
          <w:rFonts w:eastAsia="Calibri"/>
          <w:sz w:val="26"/>
          <w:szCs w:val="26"/>
          <w:lang w:eastAsia="en-US"/>
        </w:rPr>
        <w:t>,</w:t>
      </w:r>
      <w:r w:rsidRPr="006929CA">
        <w:rPr>
          <w:rFonts w:eastAsia="Calibri" w:hint="cs"/>
          <w:sz w:val="26"/>
          <w:szCs w:val="26"/>
          <w:rtl/>
          <w:lang w:eastAsia="en-US"/>
        </w:rPr>
        <w:t>050</w:t>
      </w:r>
      <w:r w:rsidRPr="006929CA">
        <w:rPr>
          <w:rFonts w:eastAsia="Calibri"/>
          <w:sz w:val="26"/>
          <w:szCs w:val="26"/>
          <w:lang w:eastAsia="en-US"/>
        </w:rPr>
        <w:t xml:space="preserve"> martyrs; 5,994 martyrs in Gaza Strip and 56 martyrs in the West Bank. Furthermore, the number of injured students enrolled in schools in Palestine reached </w:t>
      </w:r>
      <w:r w:rsidRPr="006929CA">
        <w:rPr>
          <w:rFonts w:eastAsia="Calibri" w:hint="cs"/>
          <w:sz w:val="26"/>
          <w:szCs w:val="26"/>
          <w:rtl/>
          <w:lang w:eastAsia="en-US"/>
        </w:rPr>
        <w:t>10,219</w:t>
      </w:r>
      <w:r w:rsidRPr="006929CA">
        <w:rPr>
          <w:rFonts w:eastAsia="Calibri"/>
          <w:sz w:val="26"/>
          <w:szCs w:val="26"/>
          <w:lang w:eastAsia="en-US"/>
        </w:rPr>
        <w:t xml:space="preserve"> injured students (9,890 in Gaza Strip and 329 in the West Bank). As for the number of detained students enrolled in schools, it reached 105 students, all of them are from the West Bank.</w:t>
      </w:r>
    </w:p>
    <w:p w14:paraId="6C779F0A" w14:textId="77777777" w:rsidR="00170C48" w:rsidRPr="00C6043A" w:rsidRDefault="00170C48" w:rsidP="00170C48">
      <w:pPr>
        <w:bidi w:val="0"/>
        <w:jc w:val="center"/>
        <w:rPr>
          <w:rFonts w:eastAsia="Calibri"/>
          <w:b/>
          <w:bCs/>
          <w:lang w:eastAsia="en-US"/>
        </w:rPr>
      </w:pPr>
    </w:p>
    <w:p w14:paraId="33B4DB39" w14:textId="01E9E342" w:rsidR="005A6D9C" w:rsidRDefault="005A6D9C" w:rsidP="005A6D9C">
      <w:pPr>
        <w:bidi w:val="0"/>
        <w:jc w:val="both"/>
        <w:rPr>
          <w:b/>
          <w:bCs/>
          <w:color w:val="000000" w:themeColor="text1"/>
        </w:rPr>
      </w:pPr>
    </w:p>
    <w:p w14:paraId="45FB2C31" w14:textId="77777777" w:rsidR="005A6D9C" w:rsidRPr="00C6043A" w:rsidRDefault="005A6D9C" w:rsidP="005A6D9C">
      <w:pPr>
        <w:bidi w:val="0"/>
        <w:jc w:val="both"/>
        <w:rPr>
          <w:b/>
          <w:bCs/>
          <w:color w:val="000000" w:themeColor="text1"/>
        </w:rPr>
      </w:pPr>
    </w:p>
    <w:sectPr w:rsidR="005A6D9C" w:rsidRPr="00C6043A" w:rsidSect="005E07F7">
      <w:footerReference w:type="default" r:id="rId11"/>
      <w:type w:val="continuous"/>
      <w:pgSz w:w="11906" w:h="16838" w:code="9"/>
      <w:pgMar w:top="1134" w:right="1134" w:bottom="1134" w:left="1134"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73388" w14:textId="77777777" w:rsidR="004D7580" w:rsidRDefault="004D7580" w:rsidP="00BF7D80">
      <w:r>
        <w:separator/>
      </w:r>
    </w:p>
  </w:endnote>
  <w:endnote w:type="continuationSeparator" w:id="0">
    <w:p w14:paraId="40E79C8B" w14:textId="77777777" w:rsidR="004D7580" w:rsidRDefault="004D7580"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F15C" w14:textId="7B5B79D7" w:rsidR="00C510CB" w:rsidRDefault="00ED37C1">
    <w:pPr>
      <w:pStyle w:val="Footer"/>
      <w:jc w:val="center"/>
    </w:pPr>
    <w:r>
      <w:fldChar w:fldCharType="begin"/>
    </w:r>
    <w:r w:rsidR="00543B83">
      <w:instrText xml:space="preserve"> PAGE   \* MERGEFORMAT </w:instrText>
    </w:r>
    <w:r>
      <w:fldChar w:fldCharType="separate"/>
    </w:r>
    <w:r w:rsidR="00646EB6">
      <w:rPr>
        <w:noProof/>
        <w:rtl/>
      </w:rPr>
      <w:t>1</w:t>
    </w:r>
    <w:r>
      <w:rPr>
        <w:noProof/>
      </w:rPr>
      <w:fldChar w:fldCharType="end"/>
    </w:r>
  </w:p>
  <w:p w14:paraId="5D1C397A"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2A8AA" w14:textId="77777777" w:rsidR="004D7580" w:rsidRDefault="004D7580" w:rsidP="00BF7D80">
      <w:r>
        <w:separator/>
      </w:r>
    </w:p>
  </w:footnote>
  <w:footnote w:type="continuationSeparator" w:id="0">
    <w:p w14:paraId="3E88D39E" w14:textId="77777777" w:rsidR="004D7580" w:rsidRDefault="004D7580" w:rsidP="00BF7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19F9"/>
    <w:rsid w:val="00023CE5"/>
    <w:rsid w:val="00025EDE"/>
    <w:rsid w:val="0003429B"/>
    <w:rsid w:val="0004045F"/>
    <w:rsid w:val="00040767"/>
    <w:rsid w:val="00042C5C"/>
    <w:rsid w:val="0004721D"/>
    <w:rsid w:val="00050943"/>
    <w:rsid w:val="000604FE"/>
    <w:rsid w:val="000614E2"/>
    <w:rsid w:val="00061DCF"/>
    <w:rsid w:val="0006529E"/>
    <w:rsid w:val="00065B2B"/>
    <w:rsid w:val="00066734"/>
    <w:rsid w:val="00067608"/>
    <w:rsid w:val="0007121B"/>
    <w:rsid w:val="00074A7C"/>
    <w:rsid w:val="00074B99"/>
    <w:rsid w:val="00075D0A"/>
    <w:rsid w:val="00080239"/>
    <w:rsid w:val="00080DA1"/>
    <w:rsid w:val="0008499F"/>
    <w:rsid w:val="00084A7F"/>
    <w:rsid w:val="00084A8B"/>
    <w:rsid w:val="00092E93"/>
    <w:rsid w:val="00095CF3"/>
    <w:rsid w:val="000A1D8E"/>
    <w:rsid w:val="000A215B"/>
    <w:rsid w:val="000A2AEA"/>
    <w:rsid w:val="000A3520"/>
    <w:rsid w:val="000B02B7"/>
    <w:rsid w:val="000B07F3"/>
    <w:rsid w:val="000B2F32"/>
    <w:rsid w:val="000B5CB9"/>
    <w:rsid w:val="000C4FA9"/>
    <w:rsid w:val="000C614F"/>
    <w:rsid w:val="000D0D60"/>
    <w:rsid w:val="000D1770"/>
    <w:rsid w:val="000D33C7"/>
    <w:rsid w:val="000D4B78"/>
    <w:rsid w:val="000D54F1"/>
    <w:rsid w:val="000D5F27"/>
    <w:rsid w:val="000D64DA"/>
    <w:rsid w:val="000D7175"/>
    <w:rsid w:val="000E3C52"/>
    <w:rsid w:val="000E4A55"/>
    <w:rsid w:val="000E583A"/>
    <w:rsid w:val="000F1602"/>
    <w:rsid w:val="000F22D9"/>
    <w:rsid w:val="000F269E"/>
    <w:rsid w:val="000F31BA"/>
    <w:rsid w:val="000F6270"/>
    <w:rsid w:val="000F64D3"/>
    <w:rsid w:val="0010550B"/>
    <w:rsid w:val="00107892"/>
    <w:rsid w:val="00115EDB"/>
    <w:rsid w:val="001201D7"/>
    <w:rsid w:val="00121842"/>
    <w:rsid w:val="001219BB"/>
    <w:rsid w:val="00121F4D"/>
    <w:rsid w:val="00127695"/>
    <w:rsid w:val="00127820"/>
    <w:rsid w:val="00127CB7"/>
    <w:rsid w:val="00133EA8"/>
    <w:rsid w:val="00134330"/>
    <w:rsid w:val="00134D0C"/>
    <w:rsid w:val="00137B50"/>
    <w:rsid w:val="0014328A"/>
    <w:rsid w:val="00146C0F"/>
    <w:rsid w:val="00154CBD"/>
    <w:rsid w:val="001572D8"/>
    <w:rsid w:val="00160F8F"/>
    <w:rsid w:val="00165047"/>
    <w:rsid w:val="00170C48"/>
    <w:rsid w:val="001728F9"/>
    <w:rsid w:val="00173F41"/>
    <w:rsid w:val="00173FA7"/>
    <w:rsid w:val="00173FBD"/>
    <w:rsid w:val="0017412F"/>
    <w:rsid w:val="00176FF2"/>
    <w:rsid w:val="00177003"/>
    <w:rsid w:val="001770DB"/>
    <w:rsid w:val="00180E9D"/>
    <w:rsid w:val="0018566C"/>
    <w:rsid w:val="00185B82"/>
    <w:rsid w:val="00185DAD"/>
    <w:rsid w:val="001974D4"/>
    <w:rsid w:val="001A0DAB"/>
    <w:rsid w:val="001A4F6B"/>
    <w:rsid w:val="001A604D"/>
    <w:rsid w:val="001A6CE3"/>
    <w:rsid w:val="001B2C55"/>
    <w:rsid w:val="001B2CD1"/>
    <w:rsid w:val="001B75A6"/>
    <w:rsid w:val="001B7935"/>
    <w:rsid w:val="001C28DE"/>
    <w:rsid w:val="001C2B30"/>
    <w:rsid w:val="001C3BA6"/>
    <w:rsid w:val="001C6527"/>
    <w:rsid w:val="001C7FCF"/>
    <w:rsid w:val="001D26F1"/>
    <w:rsid w:val="001D3FFB"/>
    <w:rsid w:val="001D429C"/>
    <w:rsid w:val="001D5484"/>
    <w:rsid w:val="001E090E"/>
    <w:rsid w:val="001E11B5"/>
    <w:rsid w:val="001E193A"/>
    <w:rsid w:val="001E3CCF"/>
    <w:rsid w:val="001E7548"/>
    <w:rsid w:val="001F1F45"/>
    <w:rsid w:val="001F30A6"/>
    <w:rsid w:val="001F54E5"/>
    <w:rsid w:val="001F6EDC"/>
    <w:rsid w:val="001F7F56"/>
    <w:rsid w:val="00202AB4"/>
    <w:rsid w:val="00202ACA"/>
    <w:rsid w:val="0020559D"/>
    <w:rsid w:val="0021032D"/>
    <w:rsid w:val="0021372D"/>
    <w:rsid w:val="00214EDE"/>
    <w:rsid w:val="002172DD"/>
    <w:rsid w:val="0022170A"/>
    <w:rsid w:val="00230FF7"/>
    <w:rsid w:val="0023501B"/>
    <w:rsid w:val="00236ED7"/>
    <w:rsid w:val="00237969"/>
    <w:rsid w:val="00237EFC"/>
    <w:rsid w:val="0024095B"/>
    <w:rsid w:val="00240FFF"/>
    <w:rsid w:val="00243373"/>
    <w:rsid w:val="00243B12"/>
    <w:rsid w:val="00244B76"/>
    <w:rsid w:val="00245A0A"/>
    <w:rsid w:val="002469D9"/>
    <w:rsid w:val="00246E6C"/>
    <w:rsid w:val="00247928"/>
    <w:rsid w:val="00251B52"/>
    <w:rsid w:val="00256B0C"/>
    <w:rsid w:val="0025787B"/>
    <w:rsid w:val="00261568"/>
    <w:rsid w:val="0026698E"/>
    <w:rsid w:val="00272C33"/>
    <w:rsid w:val="002804D4"/>
    <w:rsid w:val="0028216A"/>
    <w:rsid w:val="002850F0"/>
    <w:rsid w:val="002A1565"/>
    <w:rsid w:val="002A404F"/>
    <w:rsid w:val="002A67FD"/>
    <w:rsid w:val="002A797B"/>
    <w:rsid w:val="002B2D6F"/>
    <w:rsid w:val="002B4ACA"/>
    <w:rsid w:val="002B74D4"/>
    <w:rsid w:val="002C09DD"/>
    <w:rsid w:val="002C0A52"/>
    <w:rsid w:val="002C1048"/>
    <w:rsid w:val="002C4C1D"/>
    <w:rsid w:val="002C561F"/>
    <w:rsid w:val="002C62B0"/>
    <w:rsid w:val="002C7AA8"/>
    <w:rsid w:val="002D2C4F"/>
    <w:rsid w:val="002D4067"/>
    <w:rsid w:val="002D47F4"/>
    <w:rsid w:val="002D63EC"/>
    <w:rsid w:val="002D74E6"/>
    <w:rsid w:val="002E04DB"/>
    <w:rsid w:val="002E058A"/>
    <w:rsid w:val="002E0595"/>
    <w:rsid w:val="002E1CDC"/>
    <w:rsid w:val="002E553F"/>
    <w:rsid w:val="002F4368"/>
    <w:rsid w:val="002F6F53"/>
    <w:rsid w:val="00301BA8"/>
    <w:rsid w:val="00302C69"/>
    <w:rsid w:val="003051AA"/>
    <w:rsid w:val="003062EB"/>
    <w:rsid w:val="00306CD4"/>
    <w:rsid w:val="003111B4"/>
    <w:rsid w:val="00314254"/>
    <w:rsid w:val="00314400"/>
    <w:rsid w:val="00317438"/>
    <w:rsid w:val="00322770"/>
    <w:rsid w:val="00322863"/>
    <w:rsid w:val="00322C0D"/>
    <w:rsid w:val="00322CC9"/>
    <w:rsid w:val="003232FC"/>
    <w:rsid w:val="00323302"/>
    <w:rsid w:val="0032558A"/>
    <w:rsid w:val="00325D27"/>
    <w:rsid w:val="003309F3"/>
    <w:rsid w:val="00330F9F"/>
    <w:rsid w:val="00330FD0"/>
    <w:rsid w:val="003339D1"/>
    <w:rsid w:val="00337A5F"/>
    <w:rsid w:val="00343CBE"/>
    <w:rsid w:val="00345143"/>
    <w:rsid w:val="00350960"/>
    <w:rsid w:val="00353C9C"/>
    <w:rsid w:val="003654EC"/>
    <w:rsid w:val="0036599F"/>
    <w:rsid w:val="00367E89"/>
    <w:rsid w:val="00374B0D"/>
    <w:rsid w:val="003758A1"/>
    <w:rsid w:val="003773FF"/>
    <w:rsid w:val="0038302D"/>
    <w:rsid w:val="00383270"/>
    <w:rsid w:val="00384F8D"/>
    <w:rsid w:val="00387111"/>
    <w:rsid w:val="00387C47"/>
    <w:rsid w:val="00391B0D"/>
    <w:rsid w:val="00392EE4"/>
    <w:rsid w:val="00394617"/>
    <w:rsid w:val="003A18DF"/>
    <w:rsid w:val="003A340D"/>
    <w:rsid w:val="003A3C71"/>
    <w:rsid w:val="003A5D14"/>
    <w:rsid w:val="003A6315"/>
    <w:rsid w:val="003A700F"/>
    <w:rsid w:val="003B2AE5"/>
    <w:rsid w:val="003B372F"/>
    <w:rsid w:val="003B4D27"/>
    <w:rsid w:val="003B7C58"/>
    <w:rsid w:val="003C18EE"/>
    <w:rsid w:val="003C38E1"/>
    <w:rsid w:val="003C594C"/>
    <w:rsid w:val="003D1E65"/>
    <w:rsid w:val="003E0681"/>
    <w:rsid w:val="003E0BF9"/>
    <w:rsid w:val="003E2801"/>
    <w:rsid w:val="003E546D"/>
    <w:rsid w:val="003E67A2"/>
    <w:rsid w:val="003F08F5"/>
    <w:rsid w:val="003F0AA1"/>
    <w:rsid w:val="003F12C6"/>
    <w:rsid w:val="003F2EC6"/>
    <w:rsid w:val="003F42C1"/>
    <w:rsid w:val="003F5363"/>
    <w:rsid w:val="003F5B8F"/>
    <w:rsid w:val="00401367"/>
    <w:rsid w:val="00403235"/>
    <w:rsid w:val="00403443"/>
    <w:rsid w:val="00403D92"/>
    <w:rsid w:val="004064C6"/>
    <w:rsid w:val="0041058C"/>
    <w:rsid w:val="00412698"/>
    <w:rsid w:val="004130DC"/>
    <w:rsid w:val="00415E64"/>
    <w:rsid w:val="004231AF"/>
    <w:rsid w:val="0042351C"/>
    <w:rsid w:val="004265DD"/>
    <w:rsid w:val="00426C79"/>
    <w:rsid w:val="00430C33"/>
    <w:rsid w:val="00435E46"/>
    <w:rsid w:val="00437935"/>
    <w:rsid w:val="00437DEC"/>
    <w:rsid w:val="004413C8"/>
    <w:rsid w:val="00443400"/>
    <w:rsid w:val="00443835"/>
    <w:rsid w:val="00444A5D"/>
    <w:rsid w:val="00444F86"/>
    <w:rsid w:val="00445069"/>
    <w:rsid w:val="0044676E"/>
    <w:rsid w:val="004512DF"/>
    <w:rsid w:val="00455295"/>
    <w:rsid w:val="004562BE"/>
    <w:rsid w:val="00460FC7"/>
    <w:rsid w:val="00462677"/>
    <w:rsid w:val="004626B4"/>
    <w:rsid w:val="00470A15"/>
    <w:rsid w:val="00471282"/>
    <w:rsid w:val="004763BC"/>
    <w:rsid w:val="00476B16"/>
    <w:rsid w:val="00484F1B"/>
    <w:rsid w:val="0048524F"/>
    <w:rsid w:val="00486059"/>
    <w:rsid w:val="00487FE4"/>
    <w:rsid w:val="00493B33"/>
    <w:rsid w:val="004948CB"/>
    <w:rsid w:val="00494BA1"/>
    <w:rsid w:val="004979E4"/>
    <w:rsid w:val="00497A64"/>
    <w:rsid w:val="004A1A13"/>
    <w:rsid w:val="004A33CE"/>
    <w:rsid w:val="004B04E8"/>
    <w:rsid w:val="004B07B4"/>
    <w:rsid w:val="004B0E73"/>
    <w:rsid w:val="004B4BE3"/>
    <w:rsid w:val="004C065D"/>
    <w:rsid w:val="004C15B3"/>
    <w:rsid w:val="004C161A"/>
    <w:rsid w:val="004C1BE7"/>
    <w:rsid w:val="004C1C80"/>
    <w:rsid w:val="004D2BD5"/>
    <w:rsid w:val="004D38FD"/>
    <w:rsid w:val="004D3C25"/>
    <w:rsid w:val="004D54B7"/>
    <w:rsid w:val="004D703B"/>
    <w:rsid w:val="004D7549"/>
    <w:rsid w:val="004D7580"/>
    <w:rsid w:val="004E0B5D"/>
    <w:rsid w:val="004E16DF"/>
    <w:rsid w:val="004E19BE"/>
    <w:rsid w:val="004E2E76"/>
    <w:rsid w:val="004E6841"/>
    <w:rsid w:val="004F4341"/>
    <w:rsid w:val="004F6F94"/>
    <w:rsid w:val="00500C76"/>
    <w:rsid w:val="005017DB"/>
    <w:rsid w:val="00501901"/>
    <w:rsid w:val="0051286A"/>
    <w:rsid w:val="00514164"/>
    <w:rsid w:val="00514448"/>
    <w:rsid w:val="005153B7"/>
    <w:rsid w:val="005218CF"/>
    <w:rsid w:val="00522A92"/>
    <w:rsid w:val="005247C2"/>
    <w:rsid w:val="00530CAC"/>
    <w:rsid w:val="005324F6"/>
    <w:rsid w:val="00533375"/>
    <w:rsid w:val="00542100"/>
    <w:rsid w:val="00542533"/>
    <w:rsid w:val="00543B83"/>
    <w:rsid w:val="00547529"/>
    <w:rsid w:val="00547806"/>
    <w:rsid w:val="00552E0A"/>
    <w:rsid w:val="00554AE0"/>
    <w:rsid w:val="00555C58"/>
    <w:rsid w:val="00555E41"/>
    <w:rsid w:val="00556EB6"/>
    <w:rsid w:val="005624A9"/>
    <w:rsid w:val="00562C02"/>
    <w:rsid w:val="00565896"/>
    <w:rsid w:val="00566C50"/>
    <w:rsid w:val="00573D98"/>
    <w:rsid w:val="005749E7"/>
    <w:rsid w:val="00580104"/>
    <w:rsid w:val="0058181E"/>
    <w:rsid w:val="0059680C"/>
    <w:rsid w:val="005A2DD6"/>
    <w:rsid w:val="005A308A"/>
    <w:rsid w:val="005A3395"/>
    <w:rsid w:val="005A6D9C"/>
    <w:rsid w:val="005B4865"/>
    <w:rsid w:val="005B5C75"/>
    <w:rsid w:val="005B5E74"/>
    <w:rsid w:val="005B7218"/>
    <w:rsid w:val="005C05D0"/>
    <w:rsid w:val="005C07A5"/>
    <w:rsid w:val="005C0984"/>
    <w:rsid w:val="005C486C"/>
    <w:rsid w:val="005C5173"/>
    <w:rsid w:val="005C6A43"/>
    <w:rsid w:val="005D0405"/>
    <w:rsid w:val="005D0A64"/>
    <w:rsid w:val="005D7771"/>
    <w:rsid w:val="005D7838"/>
    <w:rsid w:val="005E0393"/>
    <w:rsid w:val="005E07F7"/>
    <w:rsid w:val="005E0A20"/>
    <w:rsid w:val="005E1DBE"/>
    <w:rsid w:val="005E6008"/>
    <w:rsid w:val="005F18D8"/>
    <w:rsid w:val="005F5CD8"/>
    <w:rsid w:val="005F6A79"/>
    <w:rsid w:val="005F6F32"/>
    <w:rsid w:val="005F7429"/>
    <w:rsid w:val="00602BD6"/>
    <w:rsid w:val="00603A90"/>
    <w:rsid w:val="006050D5"/>
    <w:rsid w:val="00605A82"/>
    <w:rsid w:val="00613607"/>
    <w:rsid w:val="00613DA3"/>
    <w:rsid w:val="00617543"/>
    <w:rsid w:val="00620A94"/>
    <w:rsid w:val="00623BB2"/>
    <w:rsid w:val="00627CD6"/>
    <w:rsid w:val="0063104A"/>
    <w:rsid w:val="00633347"/>
    <w:rsid w:val="00634285"/>
    <w:rsid w:val="006345D2"/>
    <w:rsid w:val="00634E4B"/>
    <w:rsid w:val="00637C2F"/>
    <w:rsid w:val="00642A57"/>
    <w:rsid w:val="00642A68"/>
    <w:rsid w:val="00644821"/>
    <w:rsid w:val="006458FC"/>
    <w:rsid w:val="006461C9"/>
    <w:rsid w:val="00646EB6"/>
    <w:rsid w:val="00651A66"/>
    <w:rsid w:val="00652600"/>
    <w:rsid w:val="00655AD7"/>
    <w:rsid w:val="00657380"/>
    <w:rsid w:val="0066306A"/>
    <w:rsid w:val="006759DF"/>
    <w:rsid w:val="00680F55"/>
    <w:rsid w:val="0068147D"/>
    <w:rsid w:val="006827DE"/>
    <w:rsid w:val="006843A6"/>
    <w:rsid w:val="00685BD0"/>
    <w:rsid w:val="00691F01"/>
    <w:rsid w:val="006926B0"/>
    <w:rsid w:val="006929CA"/>
    <w:rsid w:val="006962F1"/>
    <w:rsid w:val="006967DA"/>
    <w:rsid w:val="006972C9"/>
    <w:rsid w:val="00697F84"/>
    <w:rsid w:val="00697FF3"/>
    <w:rsid w:val="006A09A2"/>
    <w:rsid w:val="006A0D47"/>
    <w:rsid w:val="006A1FD7"/>
    <w:rsid w:val="006A3208"/>
    <w:rsid w:val="006A7AC5"/>
    <w:rsid w:val="006B07AC"/>
    <w:rsid w:val="006B0F87"/>
    <w:rsid w:val="006B1749"/>
    <w:rsid w:val="006B4B1D"/>
    <w:rsid w:val="006C1C6E"/>
    <w:rsid w:val="006C283D"/>
    <w:rsid w:val="006C585D"/>
    <w:rsid w:val="006C64E8"/>
    <w:rsid w:val="006C7DBE"/>
    <w:rsid w:val="006D307B"/>
    <w:rsid w:val="006D364E"/>
    <w:rsid w:val="006D3841"/>
    <w:rsid w:val="006D4037"/>
    <w:rsid w:val="006D5AB3"/>
    <w:rsid w:val="006D5CBD"/>
    <w:rsid w:val="006D607D"/>
    <w:rsid w:val="006D7EEA"/>
    <w:rsid w:val="006E4836"/>
    <w:rsid w:val="006E7F9D"/>
    <w:rsid w:val="006F1277"/>
    <w:rsid w:val="006F3ACE"/>
    <w:rsid w:val="006F49D8"/>
    <w:rsid w:val="006F4CDB"/>
    <w:rsid w:val="006F77BE"/>
    <w:rsid w:val="007057C4"/>
    <w:rsid w:val="00713444"/>
    <w:rsid w:val="00715189"/>
    <w:rsid w:val="00715447"/>
    <w:rsid w:val="00715779"/>
    <w:rsid w:val="007165E7"/>
    <w:rsid w:val="00722EBC"/>
    <w:rsid w:val="00732EDE"/>
    <w:rsid w:val="00737E57"/>
    <w:rsid w:val="00743E43"/>
    <w:rsid w:val="0074477D"/>
    <w:rsid w:val="0074723F"/>
    <w:rsid w:val="00747551"/>
    <w:rsid w:val="00755D2E"/>
    <w:rsid w:val="007567C0"/>
    <w:rsid w:val="00765AA1"/>
    <w:rsid w:val="0076631F"/>
    <w:rsid w:val="00771038"/>
    <w:rsid w:val="007715F9"/>
    <w:rsid w:val="00775B10"/>
    <w:rsid w:val="00783787"/>
    <w:rsid w:val="00784870"/>
    <w:rsid w:val="0078749F"/>
    <w:rsid w:val="00787E3D"/>
    <w:rsid w:val="007903F9"/>
    <w:rsid w:val="00792BDF"/>
    <w:rsid w:val="00797B9A"/>
    <w:rsid w:val="007A0EA3"/>
    <w:rsid w:val="007A1E6B"/>
    <w:rsid w:val="007A2CDE"/>
    <w:rsid w:val="007A53B3"/>
    <w:rsid w:val="007B0DF4"/>
    <w:rsid w:val="007B68C8"/>
    <w:rsid w:val="007B73DD"/>
    <w:rsid w:val="007C0125"/>
    <w:rsid w:val="007C0D3E"/>
    <w:rsid w:val="007C2DE7"/>
    <w:rsid w:val="007D361E"/>
    <w:rsid w:val="007D57C8"/>
    <w:rsid w:val="007D5B30"/>
    <w:rsid w:val="007D6083"/>
    <w:rsid w:val="007E0782"/>
    <w:rsid w:val="007E2610"/>
    <w:rsid w:val="007E5239"/>
    <w:rsid w:val="007F244B"/>
    <w:rsid w:val="007F4B7B"/>
    <w:rsid w:val="007F65C7"/>
    <w:rsid w:val="00821992"/>
    <w:rsid w:val="00826F22"/>
    <w:rsid w:val="00827DC9"/>
    <w:rsid w:val="00830CA0"/>
    <w:rsid w:val="00833354"/>
    <w:rsid w:val="008341AF"/>
    <w:rsid w:val="00835491"/>
    <w:rsid w:val="0084122E"/>
    <w:rsid w:val="00845F59"/>
    <w:rsid w:val="00847F60"/>
    <w:rsid w:val="0085112C"/>
    <w:rsid w:val="008512C3"/>
    <w:rsid w:val="00852BBC"/>
    <w:rsid w:val="008637C5"/>
    <w:rsid w:val="00865E8D"/>
    <w:rsid w:val="00873738"/>
    <w:rsid w:val="00873EBF"/>
    <w:rsid w:val="00877377"/>
    <w:rsid w:val="00882199"/>
    <w:rsid w:val="00882F61"/>
    <w:rsid w:val="0088302F"/>
    <w:rsid w:val="00885651"/>
    <w:rsid w:val="00891782"/>
    <w:rsid w:val="008927D3"/>
    <w:rsid w:val="008A1C6C"/>
    <w:rsid w:val="008A269F"/>
    <w:rsid w:val="008A2733"/>
    <w:rsid w:val="008A33DC"/>
    <w:rsid w:val="008A6FB7"/>
    <w:rsid w:val="008B10FC"/>
    <w:rsid w:val="008B2166"/>
    <w:rsid w:val="008B32DD"/>
    <w:rsid w:val="008B4FE0"/>
    <w:rsid w:val="008B5569"/>
    <w:rsid w:val="008C123B"/>
    <w:rsid w:val="008C352E"/>
    <w:rsid w:val="008D189D"/>
    <w:rsid w:val="008D38C8"/>
    <w:rsid w:val="008D4892"/>
    <w:rsid w:val="008D4B66"/>
    <w:rsid w:val="008D60AC"/>
    <w:rsid w:val="008E117C"/>
    <w:rsid w:val="008E2CDF"/>
    <w:rsid w:val="008E3AB7"/>
    <w:rsid w:val="008E5233"/>
    <w:rsid w:val="008E639F"/>
    <w:rsid w:val="008E7BAE"/>
    <w:rsid w:val="008F021C"/>
    <w:rsid w:val="008F1A08"/>
    <w:rsid w:val="008F3C69"/>
    <w:rsid w:val="008F44EB"/>
    <w:rsid w:val="009035F9"/>
    <w:rsid w:val="009046AB"/>
    <w:rsid w:val="00905EB5"/>
    <w:rsid w:val="00906FEC"/>
    <w:rsid w:val="00911A0E"/>
    <w:rsid w:val="00915A78"/>
    <w:rsid w:val="0092012D"/>
    <w:rsid w:val="00920E5C"/>
    <w:rsid w:val="00921A79"/>
    <w:rsid w:val="00924163"/>
    <w:rsid w:val="0092544E"/>
    <w:rsid w:val="009265E4"/>
    <w:rsid w:val="00930E74"/>
    <w:rsid w:val="009330B4"/>
    <w:rsid w:val="00933872"/>
    <w:rsid w:val="00935F73"/>
    <w:rsid w:val="00941697"/>
    <w:rsid w:val="00945512"/>
    <w:rsid w:val="0094629E"/>
    <w:rsid w:val="00947118"/>
    <w:rsid w:val="00947CF9"/>
    <w:rsid w:val="00953C7E"/>
    <w:rsid w:val="0095420E"/>
    <w:rsid w:val="0095442E"/>
    <w:rsid w:val="00960382"/>
    <w:rsid w:val="00962F07"/>
    <w:rsid w:val="009641AC"/>
    <w:rsid w:val="009642F9"/>
    <w:rsid w:val="00970B81"/>
    <w:rsid w:val="009720A6"/>
    <w:rsid w:val="00973DAC"/>
    <w:rsid w:val="00973ED3"/>
    <w:rsid w:val="009753DD"/>
    <w:rsid w:val="00975533"/>
    <w:rsid w:val="00981A5B"/>
    <w:rsid w:val="00986C77"/>
    <w:rsid w:val="00990CB1"/>
    <w:rsid w:val="00990F86"/>
    <w:rsid w:val="0099464B"/>
    <w:rsid w:val="009965ED"/>
    <w:rsid w:val="009A15DD"/>
    <w:rsid w:val="009A1AFE"/>
    <w:rsid w:val="009A2448"/>
    <w:rsid w:val="009A3FE7"/>
    <w:rsid w:val="009A517E"/>
    <w:rsid w:val="009A6BA9"/>
    <w:rsid w:val="009A76AF"/>
    <w:rsid w:val="009B4CD9"/>
    <w:rsid w:val="009B6550"/>
    <w:rsid w:val="009B729D"/>
    <w:rsid w:val="009C30E7"/>
    <w:rsid w:val="009C35F5"/>
    <w:rsid w:val="009C512E"/>
    <w:rsid w:val="009C7B05"/>
    <w:rsid w:val="009D0E37"/>
    <w:rsid w:val="009D3A6F"/>
    <w:rsid w:val="009D4620"/>
    <w:rsid w:val="009D4FCF"/>
    <w:rsid w:val="009E283B"/>
    <w:rsid w:val="009E30D8"/>
    <w:rsid w:val="009E335D"/>
    <w:rsid w:val="009E3871"/>
    <w:rsid w:val="009F011F"/>
    <w:rsid w:val="009F2385"/>
    <w:rsid w:val="009F2ED9"/>
    <w:rsid w:val="009F6925"/>
    <w:rsid w:val="009F7307"/>
    <w:rsid w:val="009F7B9D"/>
    <w:rsid w:val="00A006F9"/>
    <w:rsid w:val="00A02264"/>
    <w:rsid w:val="00A04047"/>
    <w:rsid w:val="00A0473D"/>
    <w:rsid w:val="00A063F4"/>
    <w:rsid w:val="00A075FF"/>
    <w:rsid w:val="00A125BA"/>
    <w:rsid w:val="00A1292D"/>
    <w:rsid w:val="00A1453C"/>
    <w:rsid w:val="00A14BEE"/>
    <w:rsid w:val="00A2015B"/>
    <w:rsid w:val="00A21E0C"/>
    <w:rsid w:val="00A26202"/>
    <w:rsid w:val="00A26258"/>
    <w:rsid w:val="00A3474D"/>
    <w:rsid w:val="00A34DBC"/>
    <w:rsid w:val="00A40F63"/>
    <w:rsid w:val="00A41229"/>
    <w:rsid w:val="00A436DF"/>
    <w:rsid w:val="00A450A8"/>
    <w:rsid w:val="00A47877"/>
    <w:rsid w:val="00A478A3"/>
    <w:rsid w:val="00A47AA2"/>
    <w:rsid w:val="00A5186E"/>
    <w:rsid w:val="00A52958"/>
    <w:rsid w:val="00A60EF7"/>
    <w:rsid w:val="00A618F3"/>
    <w:rsid w:val="00A624E3"/>
    <w:rsid w:val="00A676C7"/>
    <w:rsid w:val="00A70008"/>
    <w:rsid w:val="00A72BB8"/>
    <w:rsid w:val="00A7352C"/>
    <w:rsid w:val="00A744D2"/>
    <w:rsid w:val="00A751B5"/>
    <w:rsid w:val="00A7697E"/>
    <w:rsid w:val="00A82A85"/>
    <w:rsid w:val="00A84403"/>
    <w:rsid w:val="00A87118"/>
    <w:rsid w:val="00A90F58"/>
    <w:rsid w:val="00A92E3F"/>
    <w:rsid w:val="00A92EFE"/>
    <w:rsid w:val="00AA4324"/>
    <w:rsid w:val="00AA4F16"/>
    <w:rsid w:val="00AA5B8F"/>
    <w:rsid w:val="00AA651D"/>
    <w:rsid w:val="00AA6618"/>
    <w:rsid w:val="00AB496E"/>
    <w:rsid w:val="00AB72F2"/>
    <w:rsid w:val="00AC1353"/>
    <w:rsid w:val="00AC21FC"/>
    <w:rsid w:val="00AC3B6D"/>
    <w:rsid w:val="00AC6DA6"/>
    <w:rsid w:val="00AD1C29"/>
    <w:rsid w:val="00AD2F63"/>
    <w:rsid w:val="00AD3A62"/>
    <w:rsid w:val="00AD4E79"/>
    <w:rsid w:val="00AD7F35"/>
    <w:rsid w:val="00AE1973"/>
    <w:rsid w:val="00AE29DE"/>
    <w:rsid w:val="00AF00A0"/>
    <w:rsid w:val="00AF2BDD"/>
    <w:rsid w:val="00AF637E"/>
    <w:rsid w:val="00AF7760"/>
    <w:rsid w:val="00B0037C"/>
    <w:rsid w:val="00B00432"/>
    <w:rsid w:val="00B00CCE"/>
    <w:rsid w:val="00B01A81"/>
    <w:rsid w:val="00B02598"/>
    <w:rsid w:val="00B04DC2"/>
    <w:rsid w:val="00B0626F"/>
    <w:rsid w:val="00B06715"/>
    <w:rsid w:val="00B125C8"/>
    <w:rsid w:val="00B13291"/>
    <w:rsid w:val="00B1396B"/>
    <w:rsid w:val="00B17FAF"/>
    <w:rsid w:val="00B239DE"/>
    <w:rsid w:val="00B25CD2"/>
    <w:rsid w:val="00B25D60"/>
    <w:rsid w:val="00B26D6A"/>
    <w:rsid w:val="00B3166E"/>
    <w:rsid w:val="00B318F8"/>
    <w:rsid w:val="00B32096"/>
    <w:rsid w:val="00B37200"/>
    <w:rsid w:val="00B40187"/>
    <w:rsid w:val="00B43AFF"/>
    <w:rsid w:val="00B45780"/>
    <w:rsid w:val="00B46727"/>
    <w:rsid w:val="00B47E8E"/>
    <w:rsid w:val="00B5078B"/>
    <w:rsid w:val="00B51011"/>
    <w:rsid w:val="00B5121F"/>
    <w:rsid w:val="00B55A32"/>
    <w:rsid w:val="00B55C16"/>
    <w:rsid w:val="00B55EB5"/>
    <w:rsid w:val="00B650A5"/>
    <w:rsid w:val="00B66AF7"/>
    <w:rsid w:val="00B66CC7"/>
    <w:rsid w:val="00B703CB"/>
    <w:rsid w:val="00B70547"/>
    <w:rsid w:val="00B7410C"/>
    <w:rsid w:val="00B752C3"/>
    <w:rsid w:val="00B76B9D"/>
    <w:rsid w:val="00B7721C"/>
    <w:rsid w:val="00B77566"/>
    <w:rsid w:val="00B775C4"/>
    <w:rsid w:val="00B840BB"/>
    <w:rsid w:val="00B871EE"/>
    <w:rsid w:val="00B926E2"/>
    <w:rsid w:val="00B92BCC"/>
    <w:rsid w:val="00B942E0"/>
    <w:rsid w:val="00B95BC4"/>
    <w:rsid w:val="00B973DC"/>
    <w:rsid w:val="00BA02D4"/>
    <w:rsid w:val="00BA072D"/>
    <w:rsid w:val="00BA25FF"/>
    <w:rsid w:val="00BA721B"/>
    <w:rsid w:val="00BB0DBB"/>
    <w:rsid w:val="00BB246F"/>
    <w:rsid w:val="00BB5BB1"/>
    <w:rsid w:val="00BC0FD4"/>
    <w:rsid w:val="00BC1FB8"/>
    <w:rsid w:val="00BC428F"/>
    <w:rsid w:val="00BC5775"/>
    <w:rsid w:val="00BC701E"/>
    <w:rsid w:val="00BD0247"/>
    <w:rsid w:val="00BD1F00"/>
    <w:rsid w:val="00BD2C9F"/>
    <w:rsid w:val="00BD51D0"/>
    <w:rsid w:val="00BD56D1"/>
    <w:rsid w:val="00BD6515"/>
    <w:rsid w:val="00BD6FB4"/>
    <w:rsid w:val="00BD7A55"/>
    <w:rsid w:val="00BE4479"/>
    <w:rsid w:val="00BE450D"/>
    <w:rsid w:val="00BE4FF1"/>
    <w:rsid w:val="00BE5B3D"/>
    <w:rsid w:val="00BF269C"/>
    <w:rsid w:val="00BF3CDC"/>
    <w:rsid w:val="00BF41D0"/>
    <w:rsid w:val="00BF5319"/>
    <w:rsid w:val="00BF7D80"/>
    <w:rsid w:val="00C02782"/>
    <w:rsid w:val="00C03CD6"/>
    <w:rsid w:val="00C04967"/>
    <w:rsid w:val="00C04C54"/>
    <w:rsid w:val="00C051FF"/>
    <w:rsid w:val="00C0553E"/>
    <w:rsid w:val="00C076E7"/>
    <w:rsid w:val="00C077B9"/>
    <w:rsid w:val="00C079F3"/>
    <w:rsid w:val="00C12398"/>
    <w:rsid w:val="00C1742B"/>
    <w:rsid w:val="00C17C28"/>
    <w:rsid w:val="00C24D41"/>
    <w:rsid w:val="00C24E8F"/>
    <w:rsid w:val="00C304F7"/>
    <w:rsid w:val="00C3521F"/>
    <w:rsid w:val="00C35F90"/>
    <w:rsid w:val="00C36FB3"/>
    <w:rsid w:val="00C37070"/>
    <w:rsid w:val="00C40747"/>
    <w:rsid w:val="00C42551"/>
    <w:rsid w:val="00C446EF"/>
    <w:rsid w:val="00C510CB"/>
    <w:rsid w:val="00C518CD"/>
    <w:rsid w:val="00C52E59"/>
    <w:rsid w:val="00C54AE2"/>
    <w:rsid w:val="00C561A1"/>
    <w:rsid w:val="00C6043A"/>
    <w:rsid w:val="00C6171E"/>
    <w:rsid w:val="00C63223"/>
    <w:rsid w:val="00C67201"/>
    <w:rsid w:val="00C67CA6"/>
    <w:rsid w:val="00C71B30"/>
    <w:rsid w:val="00C72C58"/>
    <w:rsid w:val="00C74290"/>
    <w:rsid w:val="00C775DB"/>
    <w:rsid w:val="00C82DDA"/>
    <w:rsid w:val="00C83601"/>
    <w:rsid w:val="00C850A7"/>
    <w:rsid w:val="00C8588C"/>
    <w:rsid w:val="00C85977"/>
    <w:rsid w:val="00C87412"/>
    <w:rsid w:val="00C907D3"/>
    <w:rsid w:val="00C934EB"/>
    <w:rsid w:val="00C93D87"/>
    <w:rsid w:val="00C95C4B"/>
    <w:rsid w:val="00C97448"/>
    <w:rsid w:val="00C97F6A"/>
    <w:rsid w:val="00CA03A3"/>
    <w:rsid w:val="00CA3D89"/>
    <w:rsid w:val="00CA592D"/>
    <w:rsid w:val="00CA7B00"/>
    <w:rsid w:val="00CA7CA6"/>
    <w:rsid w:val="00CB6C2A"/>
    <w:rsid w:val="00CB6F0A"/>
    <w:rsid w:val="00CB762E"/>
    <w:rsid w:val="00CC323B"/>
    <w:rsid w:val="00CC438F"/>
    <w:rsid w:val="00CC5BFB"/>
    <w:rsid w:val="00CD49E7"/>
    <w:rsid w:val="00CD6396"/>
    <w:rsid w:val="00CE04CD"/>
    <w:rsid w:val="00CE1960"/>
    <w:rsid w:val="00CE1D09"/>
    <w:rsid w:val="00CE3537"/>
    <w:rsid w:val="00CE39B2"/>
    <w:rsid w:val="00CF1B43"/>
    <w:rsid w:val="00CF1CAE"/>
    <w:rsid w:val="00D0695E"/>
    <w:rsid w:val="00D11E92"/>
    <w:rsid w:val="00D13B51"/>
    <w:rsid w:val="00D150BF"/>
    <w:rsid w:val="00D157EC"/>
    <w:rsid w:val="00D16CA4"/>
    <w:rsid w:val="00D17597"/>
    <w:rsid w:val="00D244D0"/>
    <w:rsid w:val="00D259B0"/>
    <w:rsid w:val="00D26814"/>
    <w:rsid w:val="00D3231B"/>
    <w:rsid w:val="00D3775C"/>
    <w:rsid w:val="00D377EC"/>
    <w:rsid w:val="00D40FF7"/>
    <w:rsid w:val="00D47E4A"/>
    <w:rsid w:val="00D5036E"/>
    <w:rsid w:val="00D51923"/>
    <w:rsid w:val="00D55AC2"/>
    <w:rsid w:val="00D561BE"/>
    <w:rsid w:val="00D564BE"/>
    <w:rsid w:val="00D62D9B"/>
    <w:rsid w:val="00D701A7"/>
    <w:rsid w:val="00D70D25"/>
    <w:rsid w:val="00D735DA"/>
    <w:rsid w:val="00D83119"/>
    <w:rsid w:val="00D84DE1"/>
    <w:rsid w:val="00D928BF"/>
    <w:rsid w:val="00D94838"/>
    <w:rsid w:val="00D95FB1"/>
    <w:rsid w:val="00D97652"/>
    <w:rsid w:val="00DA1107"/>
    <w:rsid w:val="00DA11A7"/>
    <w:rsid w:val="00DA2E94"/>
    <w:rsid w:val="00DA53FC"/>
    <w:rsid w:val="00DA769E"/>
    <w:rsid w:val="00DA7777"/>
    <w:rsid w:val="00DB04D2"/>
    <w:rsid w:val="00DB21A3"/>
    <w:rsid w:val="00DB2260"/>
    <w:rsid w:val="00DB6976"/>
    <w:rsid w:val="00DC602C"/>
    <w:rsid w:val="00DC6FBE"/>
    <w:rsid w:val="00DD0431"/>
    <w:rsid w:val="00DD13D5"/>
    <w:rsid w:val="00DD33BF"/>
    <w:rsid w:val="00DD4090"/>
    <w:rsid w:val="00DE27A9"/>
    <w:rsid w:val="00DE31B9"/>
    <w:rsid w:val="00DE466C"/>
    <w:rsid w:val="00DF765E"/>
    <w:rsid w:val="00E0062F"/>
    <w:rsid w:val="00E02128"/>
    <w:rsid w:val="00E03EE8"/>
    <w:rsid w:val="00E11A5E"/>
    <w:rsid w:val="00E13900"/>
    <w:rsid w:val="00E17646"/>
    <w:rsid w:val="00E17916"/>
    <w:rsid w:val="00E20368"/>
    <w:rsid w:val="00E25F05"/>
    <w:rsid w:val="00E260FE"/>
    <w:rsid w:val="00E26FEF"/>
    <w:rsid w:val="00E27E36"/>
    <w:rsid w:val="00E30122"/>
    <w:rsid w:val="00E371F4"/>
    <w:rsid w:val="00E37C60"/>
    <w:rsid w:val="00E40E38"/>
    <w:rsid w:val="00E439A1"/>
    <w:rsid w:val="00E45414"/>
    <w:rsid w:val="00E46462"/>
    <w:rsid w:val="00E5106B"/>
    <w:rsid w:val="00E532A7"/>
    <w:rsid w:val="00E61E79"/>
    <w:rsid w:val="00E63626"/>
    <w:rsid w:val="00E656EB"/>
    <w:rsid w:val="00E672E7"/>
    <w:rsid w:val="00E675B7"/>
    <w:rsid w:val="00E70B93"/>
    <w:rsid w:val="00E73211"/>
    <w:rsid w:val="00E73F7B"/>
    <w:rsid w:val="00E76E4F"/>
    <w:rsid w:val="00E77D51"/>
    <w:rsid w:val="00E84CE2"/>
    <w:rsid w:val="00E86D56"/>
    <w:rsid w:val="00E86E6E"/>
    <w:rsid w:val="00E90F52"/>
    <w:rsid w:val="00E942A5"/>
    <w:rsid w:val="00E954C0"/>
    <w:rsid w:val="00E95620"/>
    <w:rsid w:val="00EA11F7"/>
    <w:rsid w:val="00EA1EAE"/>
    <w:rsid w:val="00EA29E1"/>
    <w:rsid w:val="00EA49D7"/>
    <w:rsid w:val="00EA5B1B"/>
    <w:rsid w:val="00EA5E21"/>
    <w:rsid w:val="00EA7382"/>
    <w:rsid w:val="00EB3478"/>
    <w:rsid w:val="00EC0353"/>
    <w:rsid w:val="00EC0604"/>
    <w:rsid w:val="00EC083D"/>
    <w:rsid w:val="00EC169B"/>
    <w:rsid w:val="00EC5B4C"/>
    <w:rsid w:val="00EC63BD"/>
    <w:rsid w:val="00EC6817"/>
    <w:rsid w:val="00ED0B0A"/>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EF74C7"/>
    <w:rsid w:val="00F0018E"/>
    <w:rsid w:val="00F004BC"/>
    <w:rsid w:val="00F029AB"/>
    <w:rsid w:val="00F0377A"/>
    <w:rsid w:val="00F04AFD"/>
    <w:rsid w:val="00F05E02"/>
    <w:rsid w:val="00F12ED4"/>
    <w:rsid w:val="00F141D2"/>
    <w:rsid w:val="00F150F2"/>
    <w:rsid w:val="00F24B58"/>
    <w:rsid w:val="00F269D9"/>
    <w:rsid w:val="00F42EC7"/>
    <w:rsid w:val="00F463FF"/>
    <w:rsid w:val="00F47A7D"/>
    <w:rsid w:val="00F51F87"/>
    <w:rsid w:val="00F53FAB"/>
    <w:rsid w:val="00F61376"/>
    <w:rsid w:val="00F61D43"/>
    <w:rsid w:val="00F638D6"/>
    <w:rsid w:val="00F653F5"/>
    <w:rsid w:val="00F65E52"/>
    <w:rsid w:val="00F71E9F"/>
    <w:rsid w:val="00F74D20"/>
    <w:rsid w:val="00F75158"/>
    <w:rsid w:val="00F761AB"/>
    <w:rsid w:val="00F77D4B"/>
    <w:rsid w:val="00F83098"/>
    <w:rsid w:val="00F847D1"/>
    <w:rsid w:val="00F85047"/>
    <w:rsid w:val="00F861F3"/>
    <w:rsid w:val="00F87895"/>
    <w:rsid w:val="00F918D9"/>
    <w:rsid w:val="00F920D4"/>
    <w:rsid w:val="00F93024"/>
    <w:rsid w:val="00FA2ECD"/>
    <w:rsid w:val="00FA3FF5"/>
    <w:rsid w:val="00FA6718"/>
    <w:rsid w:val="00FB1853"/>
    <w:rsid w:val="00FB2A58"/>
    <w:rsid w:val="00FC0350"/>
    <w:rsid w:val="00FC11DE"/>
    <w:rsid w:val="00FC26FA"/>
    <w:rsid w:val="00FD0158"/>
    <w:rsid w:val="00FD0CE6"/>
    <w:rsid w:val="00FE1C12"/>
    <w:rsid w:val="00FE4D6D"/>
    <w:rsid w:val="00FE63D3"/>
    <w:rsid w:val="00FE67C3"/>
    <w:rsid w:val="00FF1250"/>
    <w:rsid w:val="00FF5660"/>
    <w:rsid w:val="00FF7161"/>
    <w:rsid w:val="00FF7498"/>
    <w:rsid w:val="00FF7627"/>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AC80"/>
  <w15:docId w15:val="{7BA04C85-F007-4C91-B390-1230D26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uiPriority w:val="99"/>
    <w:unhideWhenUsed/>
    <w:rsid w:val="00A436DF"/>
    <w:rPr>
      <w:sz w:val="20"/>
      <w:szCs w:val="20"/>
    </w:rPr>
  </w:style>
  <w:style w:type="character" w:customStyle="1" w:styleId="FootnoteTextChar">
    <w:name w:val="Footnote Text Char"/>
    <w:basedOn w:val="DefaultParagraphFont"/>
    <w:link w:val="FootnoteText"/>
    <w:uiPriority w:val="99"/>
    <w:rsid w:val="00A436DF"/>
    <w:rPr>
      <w:lang w:eastAsia="ar-SA"/>
    </w:rPr>
  </w:style>
  <w:style w:type="character" w:styleId="FootnoteReference">
    <w:name w:val="footnote reference"/>
    <w:basedOn w:val="DefaultParagraphFont"/>
    <w:uiPriority w:val="99"/>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 w:type="paragraph" w:styleId="NormalWeb">
    <w:name w:val="Normal (Web)"/>
    <w:basedOn w:val="Normal"/>
    <w:uiPriority w:val="99"/>
    <w:rsid w:val="00AF637E"/>
    <w:pPr>
      <w:bidi w:val="0"/>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AF637E"/>
    <w:pPr>
      <w:jc w:val="center"/>
    </w:pPr>
    <w:rPr>
      <w:rFonts w:cs="Simplified Arabic"/>
      <w:b/>
      <w:bCs/>
      <w:color w:val="000000"/>
    </w:rPr>
  </w:style>
  <w:style w:type="character" w:customStyle="1" w:styleId="TitleChar">
    <w:name w:val="Title Char"/>
    <w:basedOn w:val="DefaultParagraphFont"/>
    <w:link w:val="Title"/>
    <w:rsid w:val="00AF637E"/>
    <w:rPr>
      <w:rFonts w:cs="Simplified Arabic"/>
      <w:b/>
      <w:bCs/>
      <w:color w:val="000000"/>
      <w:sz w:val="24"/>
      <w:szCs w:val="24"/>
      <w:lang w:eastAsia="ar-SA"/>
    </w:rPr>
  </w:style>
  <w:style w:type="table" w:customStyle="1" w:styleId="TableGrid1">
    <w:name w:val="Table Grid1"/>
    <w:basedOn w:val="TableNormal"/>
    <w:next w:val="TableGrid"/>
    <w:rsid w:val="00AA661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C8588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semiHidden/>
    <w:unhideWhenUsed/>
    <w:rsid w:val="00C8588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1593733578">
                              <w:marLeft w:val="0"/>
                              <w:marRight w:val="0"/>
                              <w:marTop w:val="0"/>
                              <w:marBottom w:val="0"/>
                              <w:divBdr>
                                <w:top w:val="none" w:sz="0" w:space="0" w:color="auto"/>
                                <w:left w:val="none" w:sz="0" w:space="0" w:color="auto"/>
                                <w:bottom w:val="none" w:sz="0" w:space="0" w:color="auto"/>
                                <w:right w:val="none" w:sz="0" w:space="0" w:color="auto"/>
                              </w:divBdr>
                            </w:div>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449866">
      <w:bodyDiv w:val="1"/>
      <w:marLeft w:val="0"/>
      <w:marRight w:val="0"/>
      <w:marTop w:val="0"/>
      <w:marBottom w:val="0"/>
      <w:divBdr>
        <w:top w:val="none" w:sz="0" w:space="0" w:color="auto"/>
        <w:left w:val="none" w:sz="0" w:space="0" w:color="auto"/>
        <w:bottom w:val="none" w:sz="0" w:space="0" w:color="auto"/>
        <w:right w:val="none" w:sz="0" w:space="0" w:color="auto"/>
      </w:divBdr>
      <w:divsChild>
        <w:div w:id="480540114">
          <w:marLeft w:val="0"/>
          <w:marRight w:val="0"/>
          <w:marTop w:val="0"/>
          <w:marBottom w:val="0"/>
          <w:divBdr>
            <w:top w:val="none" w:sz="0" w:space="0" w:color="auto"/>
            <w:left w:val="none" w:sz="0" w:space="0" w:color="auto"/>
            <w:bottom w:val="none" w:sz="0" w:space="0" w:color="auto"/>
            <w:right w:val="none" w:sz="0" w:space="0" w:color="auto"/>
          </w:divBdr>
          <w:divsChild>
            <w:div w:id="23678755">
              <w:marLeft w:val="0"/>
              <w:marRight w:val="0"/>
              <w:marTop w:val="0"/>
              <w:marBottom w:val="0"/>
              <w:divBdr>
                <w:top w:val="none" w:sz="0" w:space="0" w:color="auto"/>
                <w:left w:val="none" w:sz="0" w:space="0" w:color="auto"/>
                <w:bottom w:val="none" w:sz="0" w:space="0" w:color="auto"/>
                <w:right w:val="none" w:sz="0" w:space="0" w:color="auto"/>
              </w:divBdr>
              <w:divsChild>
                <w:div w:id="1049720930">
                  <w:marLeft w:val="0"/>
                  <w:marRight w:val="0"/>
                  <w:marTop w:val="0"/>
                  <w:marBottom w:val="0"/>
                  <w:divBdr>
                    <w:top w:val="none" w:sz="0" w:space="0" w:color="auto"/>
                    <w:left w:val="none" w:sz="0" w:space="0" w:color="auto"/>
                    <w:bottom w:val="none" w:sz="0" w:space="0" w:color="auto"/>
                    <w:right w:val="none" w:sz="0" w:space="0" w:color="auto"/>
                  </w:divBdr>
                  <w:divsChild>
                    <w:div w:id="1115708791">
                      <w:marLeft w:val="0"/>
                      <w:marRight w:val="0"/>
                      <w:marTop w:val="0"/>
                      <w:marBottom w:val="0"/>
                      <w:divBdr>
                        <w:top w:val="none" w:sz="0" w:space="0" w:color="auto"/>
                        <w:left w:val="none" w:sz="0" w:space="0" w:color="auto"/>
                        <w:bottom w:val="none" w:sz="0" w:space="0" w:color="auto"/>
                        <w:right w:val="none" w:sz="0" w:space="0" w:color="auto"/>
                      </w:divBdr>
                      <w:divsChild>
                        <w:div w:id="1882479017">
                          <w:marLeft w:val="0"/>
                          <w:marRight w:val="0"/>
                          <w:marTop w:val="0"/>
                          <w:marBottom w:val="0"/>
                          <w:divBdr>
                            <w:top w:val="none" w:sz="0" w:space="0" w:color="auto"/>
                            <w:left w:val="none" w:sz="0" w:space="0" w:color="auto"/>
                            <w:bottom w:val="none" w:sz="0" w:space="0" w:color="auto"/>
                            <w:right w:val="none" w:sz="0" w:space="0" w:color="auto"/>
                          </w:divBdr>
                          <w:divsChild>
                            <w:div w:id="1030180101">
                              <w:marLeft w:val="0"/>
                              <w:marRight w:val="0"/>
                              <w:marTop w:val="0"/>
                              <w:marBottom w:val="0"/>
                              <w:divBdr>
                                <w:top w:val="none" w:sz="0" w:space="0" w:color="auto"/>
                                <w:left w:val="none" w:sz="0" w:space="0" w:color="auto"/>
                                <w:bottom w:val="none" w:sz="0" w:space="0" w:color="auto"/>
                                <w:right w:val="none" w:sz="0" w:space="0" w:color="auto"/>
                              </w:divBdr>
                            </w:div>
                            <w:div w:id="1095322672">
                              <w:marLeft w:val="0"/>
                              <w:marRight w:val="0"/>
                              <w:marTop w:val="0"/>
                              <w:marBottom w:val="0"/>
                              <w:divBdr>
                                <w:top w:val="none" w:sz="0" w:space="0" w:color="auto"/>
                                <w:left w:val="none" w:sz="0" w:space="0" w:color="auto"/>
                                <w:bottom w:val="none" w:sz="0" w:space="0" w:color="auto"/>
                                <w:right w:val="none" w:sz="0" w:space="0" w:color="auto"/>
                              </w:divBdr>
                              <w:divsChild>
                                <w:div w:id="251089113">
                                  <w:marLeft w:val="0"/>
                                  <w:marRight w:val="0"/>
                                  <w:marTop w:val="0"/>
                                  <w:marBottom w:val="0"/>
                                  <w:divBdr>
                                    <w:top w:val="none" w:sz="0" w:space="0" w:color="auto"/>
                                    <w:left w:val="none" w:sz="0" w:space="0" w:color="auto"/>
                                    <w:bottom w:val="none" w:sz="0" w:space="0" w:color="auto"/>
                                    <w:right w:val="none" w:sz="0" w:space="0" w:color="auto"/>
                                  </w:divBdr>
                                  <w:divsChild>
                                    <w:div w:id="198326246">
                                      <w:marLeft w:val="0"/>
                                      <w:marRight w:val="0"/>
                                      <w:marTop w:val="0"/>
                                      <w:marBottom w:val="0"/>
                                      <w:divBdr>
                                        <w:top w:val="none" w:sz="0" w:space="0" w:color="auto"/>
                                        <w:left w:val="none" w:sz="0" w:space="0" w:color="auto"/>
                                        <w:bottom w:val="none" w:sz="0" w:space="0" w:color="auto"/>
                                        <w:right w:val="none" w:sz="0" w:space="0" w:color="auto"/>
                                      </w:divBdr>
                                      <w:divsChild>
                                        <w:div w:id="1186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249936">
      <w:bodyDiv w:val="1"/>
      <w:marLeft w:val="0"/>
      <w:marRight w:val="0"/>
      <w:marTop w:val="0"/>
      <w:marBottom w:val="0"/>
      <w:divBdr>
        <w:top w:val="none" w:sz="0" w:space="0" w:color="auto"/>
        <w:left w:val="none" w:sz="0" w:space="0" w:color="auto"/>
        <w:bottom w:val="none" w:sz="0" w:space="0" w:color="auto"/>
        <w:right w:val="none" w:sz="0" w:space="0" w:color="auto"/>
      </w:divBdr>
      <w:divsChild>
        <w:div w:id="243146813">
          <w:marLeft w:val="0"/>
          <w:marRight w:val="0"/>
          <w:marTop w:val="0"/>
          <w:marBottom w:val="0"/>
          <w:divBdr>
            <w:top w:val="none" w:sz="0" w:space="0" w:color="auto"/>
            <w:left w:val="none" w:sz="0" w:space="0" w:color="auto"/>
            <w:bottom w:val="none" w:sz="0" w:space="0" w:color="auto"/>
            <w:right w:val="none" w:sz="0" w:space="0" w:color="auto"/>
          </w:divBdr>
          <w:divsChild>
            <w:div w:id="179858994">
              <w:marLeft w:val="0"/>
              <w:marRight w:val="0"/>
              <w:marTop w:val="0"/>
              <w:marBottom w:val="0"/>
              <w:divBdr>
                <w:top w:val="none" w:sz="0" w:space="0" w:color="auto"/>
                <w:left w:val="none" w:sz="0" w:space="0" w:color="auto"/>
                <w:bottom w:val="none" w:sz="0" w:space="0" w:color="auto"/>
                <w:right w:val="none" w:sz="0" w:space="0" w:color="auto"/>
              </w:divBdr>
              <w:divsChild>
                <w:div w:id="123013227">
                  <w:marLeft w:val="0"/>
                  <w:marRight w:val="0"/>
                  <w:marTop w:val="0"/>
                  <w:marBottom w:val="0"/>
                  <w:divBdr>
                    <w:top w:val="none" w:sz="0" w:space="0" w:color="auto"/>
                    <w:left w:val="none" w:sz="0" w:space="0" w:color="auto"/>
                    <w:bottom w:val="none" w:sz="0" w:space="0" w:color="auto"/>
                    <w:right w:val="none" w:sz="0" w:space="0" w:color="auto"/>
                  </w:divBdr>
                  <w:divsChild>
                    <w:div w:id="995111850">
                      <w:marLeft w:val="0"/>
                      <w:marRight w:val="0"/>
                      <w:marTop w:val="0"/>
                      <w:marBottom w:val="0"/>
                      <w:divBdr>
                        <w:top w:val="none" w:sz="0" w:space="0" w:color="auto"/>
                        <w:left w:val="none" w:sz="0" w:space="0" w:color="auto"/>
                        <w:bottom w:val="none" w:sz="0" w:space="0" w:color="auto"/>
                        <w:right w:val="none" w:sz="0" w:space="0" w:color="auto"/>
                      </w:divBdr>
                      <w:divsChild>
                        <w:div w:id="1211957409">
                          <w:marLeft w:val="0"/>
                          <w:marRight w:val="0"/>
                          <w:marTop w:val="0"/>
                          <w:marBottom w:val="0"/>
                          <w:divBdr>
                            <w:top w:val="none" w:sz="0" w:space="0" w:color="auto"/>
                            <w:left w:val="none" w:sz="0" w:space="0" w:color="auto"/>
                            <w:bottom w:val="none" w:sz="0" w:space="0" w:color="auto"/>
                            <w:right w:val="none" w:sz="0" w:space="0" w:color="auto"/>
                          </w:divBdr>
                          <w:divsChild>
                            <w:div w:id="1821342528">
                              <w:marLeft w:val="0"/>
                              <w:marRight w:val="0"/>
                              <w:marTop w:val="0"/>
                              <w:marBottom w:val="0"/>
                              <w:divBdr>
                                <w:top w:val="none" w:sz="0" w:space="0" w:color="auto"/>
                                <w:left w:val="none" w:sz="0" w:space="0" w:color="auto"/>
                                <w:bottom w:val="none" w:sz="0" w:space="0" w:color="auto"/>
                                <w:right w:val="none" w:sz="0" w:space="0" w:color="auto"/>
                              </w:divBdr>
                            </w:div>
                            <w:div w:id="446890706">
                              <w:marLeft w:val="0"/>
                              <w:marRight w:val="0"/>
                              <w:marTop w:val="0"/>
                              <w:marBottom w:val="0"/>
                              <w:divBdr>
                                <w:top w:val="none" w:sz="0" w:space="0" w:color="auto"/>
                                <w:left w:val="none" w:sz="0" w:space="0" w:color="auto"/>
                                <w:bottom w:val="none" w:sz="0" w:space="0" w:color="auto"/>
                                <w:right w:val="none" w:sz="0" w:space="0" w:color="auto"/>
                              </w:divBdr>
                              <w:divsChild>
                                <w:div w:id="1216891967">
                                  <w:marLeft w:val="0"/>
                                  <w:marRight w:val="0"/>
                                  <w:marTop w:val="0"/>
                                  <w:marBottom w:val="0"/>
                                  <w:divBdr>
                                    <w:top w:val="none" w:sz="0" w:space="0" w:color="auto"/>
                                    <w:left w:val="none" w:sz="0" w:space="0" w:color="auto"/>
                                    <w:bottom w:val="none" w:sz="0" w:space="0" w:color="auto"/>
                                    <w:right w:val="none" w:sz="0" w:space="0" w:color="auto"/>
                                  </w:divBdr>
                                  <w:divsChild>
                                    <w:div w:id="962541821">
                                      <w:marLeft w:val="0"/>
                                      <w:marRight w:val="0"/>
                                      <w:marTop w:val="0"/>
                                      <w:marBottom w:val="0"/>
                                      <w:divBdr>
                                        <w:top w:val="none" w:sz="0" w:space="0" w:color="auto"/>
                                        <w:left w:val="none" w:sz="0" w:space="0" w:color="auto"/>
                                        <w:bottom w:val="none" w:sz="0" w:space="0" w:color="auto"/>
                                        <w:right w:val="none" w:sz="0" w:space="0" w:color="auto"/>
                                      </w:divBdr>
                                      <w:divsChild>
                                        <w:div w:id="16414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32396425130406"/>
          <c:y val="0.18571631671041691"/>
          <c:w val="0.7994616100202665"/>
          <c:h val="0.73451498250218761"/>
        </c:manualLayout>
      </c:layout>
      <c:pieChart>
        <c:varyColors val="1"/>
        <c:ser>
          <c:idx val="0"/>
          <c:order val="0"/>
          <c:tx>
            <c:strRef>
              <c:f>Sheet1!$A$2</c:f>
              <c:strCache>
                <c:ptCount val="1"/>
                <c:pt idx="0">
                  <c:v>East</c:v>
                </c:pt>
              </c:strCache>
            </c:strRef>
          </c:tx>
          <c:dPt>
            <c:idx val="0"/>
            <c:bubble3D val="0"/>
            <c:spPr>
              <a:solidFill>
                <a:schemeClr val="accent6">
                  <a:lumMod val="75000"/>
                </a:schemeClr>
              </a:solidFill>
            </c:spPr>
            <c:extLst>
              <c:ext xmlns:c16="http://schemas.microsoft.com/office/drawing/2014/chart" uri="{C3380CC4-5D6E-409C-BE32-E72D297353CC}">
                <c16:uniqueId val="{00000001-B9CE-49CD-B5B0-8E8D096D5E29}"/>
              </c:ext>
            </c:extLst>
          </c:dPt>
          <c:dPt>
            <c:idx val="1"/>
            <c:bubble3D val="0"/>
            <c:spPr>
              <a:solidFill>
                <a:srgbClr val="1F497D">
                  <a:lumMod val="20000"/>
                  <a:lumOff val="80000"/>
                </a:srgbClr>
              </a:solidFill>
            </c:spPr>
            <c:extLst>
              <c:ext xmlns:c16="http://schemas.microsoft.com/office/drawing/2014/chart" uri="{C3380CC4-5D6E-409C-BE32-E72D297353CC}">
                <c16:uniqueId val="{00000003-B9CE-49CD-B5B0-8E8D096D5E29}"/>
              </c:ext>
            </c:extLst>
          </c:dPt>
          <c:dPt>
            <c:idx val="2"/>
            <c:bubble3D val="0"/>
            <c:spPr>
              <a:solidFill>
                <a:srgbClr val="EEECE1">
                  <a:lumMod val="50000"/>
                </a:srgbClr>
              </a:solidFill>
            </c:spPr>
            <c:extLst>
              <c:ext xmlns:c16="http://schemas.microsoft.com/office/drawing/2014/chart" uri="{C3380CC4-5D6E-409C-BE32-E72D297353CC}">
                <c16:uniqueId val="{00000005-B9CE-49CD-B5B0-8E8D096D5E29}"/>
              </c:ext>
            </c:extLst>
          </c:dPt>
          <c:dLbls>
            <c:dLbl>
              <c:idx val="0"/>
              <c:layout>
                <c:manualLayout>
                  <c:x val="0.15904182863218091"/>
                  <c:y val="-4.356955380577427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CE-49CD-B5B0-8E8D096D5E29}"/>
                </c:ext>
              </c:extLst>
            </c:dLbl>
            <c:dLbl>
              <c:idx val="1"/>
              <c:layout>
                <c:manualLayout>
                  <c:x val="4.558404558404569E-2"/>
                  <c:y val="0.273972602739733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CE-49CD-B5B0-8E8D096D5E29}"/>
                </c:ext>
              </c:extLst>
            </c:dLbl>
            <c:dLbl>
              <c:idx val="2"/>
              <c:layout>
                <c:manualLayout>
                  <c:x val="-0.17810760667903525"/>
                  <c:y val="2.7397260273972612E-2"/>
                </c:manualLayout>
              </c:layout>
              <c:spPr/>
              <c:txPr>
                <a:bodyPr/>
                <a:lstStyle/>
                <a:p>
                  <a:pPr>
                    <a:defRPr sz="1000">
                      <a:latin typeface="Arial" panose="020B0604020202020204" pitchFamily="34" charset="0"/>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CE-49CD-B5B0-8E8D096D5E29}"/>
                </c:ext>
              </c:extLst>
            </c:dLbl>
            <c:dLbl>
              <c:idx val="3"/>
              <c:layout>
                <c:manualLayout>
                  <c:x val="0"/>
                  <c:y val="-0.1389840332458444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CE-49CD-B5B0-8E8D096D5E29}"/>
                </c:ext>
              </c:extLst>
            </c:dLbl>
            <c:spPr>
              <a:noFill/>
              <a:ln>
                <a:noFill/>
              </a:ln>
              <a:effectLst/>
            </c:spPr>
            <c:txPr>
              <a:bodyPr/>
              <a:lstStyle/>
              <a:p>
                <a:pPr>
                  <a:defRPr sz="1000">
                    <a:latin typeface="Arial" panose="020B0604020202020204" pitchFamily="34" charset="0"/>
                    <a:cs typeface="Arial" panose="020B0604020202020204" pitchFamily="34" charset="0"/>
                  </a:defRPr>
                </a:pPr>
                <a:endParaRPr lang="en-US"/>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Sheet1!$B$1:$E$1</c:f>
              <c:strCache>
                <c:ptCount val="4"/>
                <c:pt idx="0">
                  <c:v>Lebanon</c:v>
                </c:pt>
                <c:pt idx="1">
                  <c:v>Joradan</c:v>
                </c:pt>
                <c:pt idx="2">
                  <c:v>Syria</c:v>
                </c:pt>
                <c:pt idx="3">
                  <c:v>State of Palestine</c:v>
                </c:pt>
              </c:strCache>
            </c:strRef>
          </c:cat>
          <c:val>
            <c:numRef>
              <c:f>Sheet1!$B$2:$E$2</c:f>
              <c:numCache>
                <c:formatCode>0.0%</c:formatCode>
                <c:ptCount val="4"/>
                <c:pt idx="0">
                  <c:v>8.2000000000000003E-2</c:v>
                </c:pt>
                <c:pt idx="1">
                  <c:v>0.40200000000000002</c:v>
                </c:pt>
                <c:pt idx="2">
                  <c:v>9.7000000000000003E-2</c:v>
                </c:pt>
                <c:pt idx="3">
                  <c:v>0.41899999999999998</c:v>
                </c:pt>
              </c:numCache>
            </c:numRef>
          </c:val>
          <c:extLst>
            <c:ext xmlns:c16="http://schemas.microsoft.com/office/drawing/2014/chart" uri="{C3380CC4-5D6E-409C-BE32-E72D297353CC}">
              <c16:uniqueId val="{00000007-B9CE-49CD-B5B0-8E8D096D5E29}"/>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568345323741011E-2"/>
          <c:y val="5.9828849518810165E-2"/>
          <c:w val="0.84892086330938521"/>
          <c:h val="0.65995133420825336"/>
        </c:manualLayout>
      </c:layout>
      <c:barChart>
        <c:barDir val="col"/>
        <c:grouping val="clustered"/>
        <c:varyColors val="0"/>
        <c:ser>
          <c:idx val="0"/>
          <c:order val="0"/>
          <c:tx>
            <c:strRef>
              <c:f>Sheet1!$A$2</c:f>
              <c:strCache>
                <c:ptCount val="1"/>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1-AA73-412F-8F1B-732CE898FC3B}"/>
              </c:ext>
            </c:extLst>
          </c:dPt>
          <c:dPt>
            <c:idx val="1"/>
            <c:invertIfNegative val="0"/>
            <c:bubble3D val="0"/>
            <c:spPr>
              <a:solidFill>
                <a:schemeClr val="tx2">
                  <a:lumMod val="40000"/>
                  <a:lumOff val="60000"/>
                </a:schemeClr>
              </a:solidFill>
            </c:spPr>
            <c:extLst>
              <c:ext xmlns:c16="http://schemas.microsoft.com/office/drawing/2014/chart" uri="{C3380CC4-5D6E-409C-BE32-E72D297353CC}">
                <c16:uniqueId val="{00000003-AA73-412F-8F1B-732CE898FC3B}"/>
              </c:ext>
            </c:extLst>
          </c:dPt>
          <c:dPt>
            <c:idx val="2"/>
            <c:invertIfNegative val="0"/>
            <c:bubble3D val="0"/>
            <c:spPr>
              <a:solidFill>
                <a:schemeClr val="accent3">
                  <a:lumMod val="60000"/>
                  <a:lumOff val="40000"/>
                </a:schemeClr>
              </a:solidFill>
            </c:spPr>
            <c:extLst>
              <c:ext xmlns:c16="http://schemas.microsoft.com/office/drawing/2014/chart" uri="{C3380CC4-5D6E-409C-BE32-E72D297353CC}">
                <c16:uniqueId val="{00000005-AA73-412F-8F1B-732CE898FC3B}"/>
              </c:ext>
            </c:extLst>
          </c:dPt>
          <c:dPt>
            <c:idx val="4"/>
            <c:invertIfNegative val="0"/>
            <c:bubble3D val="0"/>
            <c:spPr>
              <a:solidFill>
                <a:schemeClr val="accent5">
                  <a:lumMod val="50000"/>
                </a:schemeClr>
              </a:solidFill>
            </c:spPr>
            <c:extLst>
              <c:ext xmlns:c16="http://schemas.microsoft.com/office/drawing/2014/chart" uri="{C3380CC4-5D6E-409C-BE32-E72D297353CC}">
                <c16:uniqueId val="{00000007-AA73-412F-8F1B-732CE898FC3B}"/>
              </c:ext>
            </c:extLst>
          </c:dPt>
          <c:dLbls>
            <c:dLbl>
              <c:idx val="2"/>
              <c:tx>
                <c:rich>
                  <a:bodyPr/>
                  <a:lstStyle/>
                  <a:p>
                    <a:r>
                      <a:rPr lang="ar-SA" sz="1000">
                        <a:latin typeface="Arial" pitchFamily="34" charset="0"/>
                        <a:cs typeface="Arial" pitchFamily="34" charset="0"/>
                      </a:rPr>
                      <a:t>9</a:t>
                    </a:r>
                    <a:endParaRPr lang="ar-SA"/>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73-412F-8F1B-732CE898FC3B}"/>
                </c:ext>
              </c:extLst>
            </c:dLbl>
            <c:dLbl>
              <c:idx val="3"/>
              <c:layout>
                <c:manualLayout>
                  <c:x val="8.2758620689655255E-2"/>
                  <c:y val="6.2176165803108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73-412F-8F1B-732CE898FC3B}"/>
                </c:ext>
              </c:extLst>
            </c:dLbl>
            <c:spPr>
              <a:noFill/>
              <a:ln>
                <a:noFill/>
              </a:ln>
              <a:effectLst/>
            </c:spPr>
            <c:txPr>
              <a:bodyPr/>
              <a:lstStyle/>
              <a:p>
                <a:pPr>
                  <a:defRPr sz="10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Lebanon</c:v>
                </c:pt>
                <c:pt idx="1">
                  <c:v>Jordan</c:v>
                </c:pt>
                <c:pt idx="2">
                  <c:v>Syria</c:v>
                </c:pt>
                <c:pt idx="3">
                  <c:v>West Bank</c:v>
                </c:pt>
                <c:pt idx="4">
                  <c:v>Gaza Strip</c:v>
                </c:pt>
              </c:strCache>
            </c:strRef>
          </c:cat>
          <c:val>
            <c:numRef>
              <c:f>Sheet1!$B$2:$F$2</c:f>
              <c:numCache>
                <c:formatCode>General</c:formatCode>
                <c:ptCount val="5"/>
                <c:pt idx="0">
                  <c:v>12</c:v>
                </c:pt>
                <c:pt idx="1">
                  <c:v>10</c:v>
                </c:pt>
                <c:pt idx="2">
                  <c:v>9</c:v>
                </c:pt>
                <c:pt idx="3">
                  <c:v>19</c:v>
                </c:pt>
                <c:pt idx="4">
                  <c:v>8</c:v>
                </c:pt>
              </c:numCache>
            </c:numRef>
          </c:val>
          <c:extLst>
            <c:ext xmlns:c16="http://schemas.microsoft.com/office/drawing/2014/chart" uri="{C3380CC4-5D6E-409C-BE32-E72D297353CC}">
              <c16:uniqueId val="{00000009-AA73-412F-8F1B-732CE898FC3B}"/>
            </c:ext>
          </c:extLst>
        </c:ser>
        <c:dLbls>
          <c:showLegendKey val="0"/>
          <c:showVal val="1"/>
          <c:showCatName val="0"/>
          <c:showSerName val="0"/>
          <c:showPercent val="0"/>
          <c:showBubbleSize val="0"/>
        </c:dLbls>
        <c:gapWidth val="150"/>
        <c:axId val="171297792"/>
        <c:axId val="171299584"/>
      </c:barChart>
      <c:catAx>
        <c:axId val="171297792"/>
        <c:scaling>
          <c:orientation val="minMax"/>
        </c:scaling>
        <c:delete val="0"/>
        <c:axPos val="b"/>
        <c:numFmt formatCode="General" sourceLinked="1"/>
        <c:majorTickMark val="out"/>
        <c:minorTickMark val="none"/>
        <c:tickLblPos val="nextTo"/>
        <c:txPr>
          <a:bodyPr rot="0" vert="horz"/>
          <a:lstStyle/>
          <a:p>
            <a:pPr>
              <a:defRPr sz="1000">
                <a:latin typeface="Arial" pitchFamily="34" charset="0"/>
                <a:cs typeface="Arial" pitchFamily="34" charset="0"/>
              </a:defRPr>
            </a:pPr>
            <a:endParaRPr lang="en-US"/>
          </a:p>
        </c:txPr>
        <c:crossAx val="171299584"/>
        <c:crosses val="autoZero"/>
        <c:auto val="1"/>
        <c:lblAlgn val="ctr"/>
        <c:lblOffset val="100"/>
        <c:tickLblSkip val="1"/>
        <c:tickMarkSkip val="1"/>
        <c:noMultiLvlLbl val="0"/>
      </c:catAx>
      <c:valAx>
        <c:axId val="171299584"/>
        <c:scaling>
          <c:orientation val="minMax"/>
        </c:scaling>
        <c:delete val="0"/>
        <c:axPos val="l"/>
        <c:majorGridlines/>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en-US"/>
          </a:p>
        </c:txPr>
        <c:crossAx val="171297792"/>
        <c:crosses val="autoZero"/>
        <c:crossBetween val="between"/>
      </c:valAx>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80835303750299"/>
          <c:y val="5.7669774036866114E-2"/>
          <c:w val="0.78592043341521611"/>
          <c:h val="0.71796625421822269"/>
        </c:manualLayout>
      </c:layout>
      <c:barChart>
        <c:barDir val="col"/>
        <c:grouping val="clustered"/>
        <c:varyColors val="0"/>
        <c:ser>
          <c:idx val="0"/>
          <c:order val="0"/>
          <c:tx>
            <c:strRef>
              <c:f>Sheet1!$A$2</c:f>
              <c:strCache>
                <c:ptCount val="1"/>
              </c:strCache>
            </c:strRef>
          </c:tx>
          <c:invertIfNegative val="0"/>
          <c:dPt>
            <c:idx val="1"/>
            <c:invertIfNegative val="0"/>
            <c:bubble3D val="0"/>
            <c:spPr>
              <a:solidFill>
                <a:schemeClr val="accent3">
                  <a:lumMod val="75000"/>
                </a:schemeClr>
              </a:solidFill>
            </c:spPr>
            <c:extLst>
              <c:ext xmlns:c16="http://schemas.microsoft.com/office/drawing/2014/chart" uri="{C3380CC4-5D6E-409C-BE32-E72D297353CC}">
                <c16:uniqueId val="{00000001-6E88-4296-9786-0F7ED619646A}"/>
              </c:ext>
            </c:extLst>
          </c:dPt>
          <c:dPt>
            <c:idx val="2"/>
            <c:invertIfNegative val="0"/>
            <c:bubble3D val="0"/>
            <c:spPr>
              <a:solidFill>
                <a:schemeClr val="accent5">
                  <a:lumMod val="50000"/>
                </a:schemeClr>
              </a:solidFill>
            </c:spPr>
            <c:extLst>
              <c:ext xmlns:c16="http://schemas.microsoft.com/office/drawing/2014/chart" uri="{C3380CC4-5D6E-409C-BE32-E72D297353CC}">
                <c16:uniqueId val="{00000003-6E88-4296-9786-0F7ED619646A}"/>
              </c:ext>
            </c:extLst>
          </c:dPt>
          <c:dLbls>
            <c:dLbl>
              <c:idx val="2"/>
              <c:tx>
                <c:rich>
                  <a:bodyPr/>
                  <a:lstStyle/>
                  <a:p>
                    <a:r>
                      <a:rPr lang="en-US"/>
                      <a:t>66.1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88-4296-9786-0F7ED619646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State of Palestine</c:v>
                </c:pt>
                <c:pt idx="1">
                  <c:v>West Bank</c:v>
                </c:pt>
                <c:pt idx="2">
                  <c:v>Gaza Strip</c:v>
                </c:pt>
              </c:strCache>
            </c:strRef>
          </c:cat>
          <c:val>
            <c:numRef>
              <c:f>Sheet1!$B$2:$D$2</c:f>
              <c:numCache>
                <c:formatCode>#,##0.0</c:formatCode>
                <c:ptCount val="3"/>
                <c:pt idx="0">
                  <c:v>42.2</c:v>
                </c:pt>
                <c:pt idx="1">
                  <c:v>26.3</c:v>
                </c:pt>
                <c:pt idx="2">
                  <c:v>64.099999999999994</c:v>
                </c:pt>
              </c:numCache>
            </c:numRef>
          </c:val>
          <c:extLst>
            <c:ext xmlns:c16="http://schemas.microsoft.com/office/drawing/2014/chart" uri="{C3380CC4-5D6E-409C-BE32-E72D297353CC}">
              <c16:uniqueId val="{00000004-6E88-4296-9786-0F7ED619646A}"/>
            </c:ext>
          </c:extLst>
        </c:ser>
        <c:dLbls>
          <c:showLegendKey val="0"/>
          <c:showVal val="1"/>
          <c:showCatName val="0"/>
          <c:showSerName val="0"/>
          <c:showPercent val="0"/>
          <c:showBubbleSize val="0"/>
        </c:dLbls>
        <c:gapWidth val="150"/>
        <c:axId val="184692736"/>
        <c:axId val="184694272"/>
      </c:barChart>
      <c:catAx>
        <c:axId val="184692736"/>
        <c:scaling>
          <c:orientation val="minMax"/>
        </c:scaling>
        <c:delete val="0"/>
        <c:axPos val="b"/>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en-US"/>
          </a:p>
        </c:txPr>
        <c:crossAx val="184694272"/>
        <c:crosses val="autoZero"/>
        <c:auto val="1"/>
        <c:lblAlgn val="ctr"/>
        <c:lblOffset val="100"/>
        <c:tickLblSkip val="1"/>
        <c:tickMarkSkip val="1"/>
        <c:noMultiLvlLbl val="0"/>
      </c:catAx>
      <c:valAx>
        <c:axId val="184694272"/>
        <c:scaling>
          <c:orientation val="minMax"/>
          <c:max val="70"/>
        </c:scaling>
        <c:delete val="0"/>
        <c:axPos val="l"/>
        <c:numFmt formatCode="#,##0" sourceLinked="0"/>
        <c:majorTickMark val="out"/>
        <c:minorTickMark val="none"/>
        <c:tickLblPos val="nextTo"/>
        <c:txPr>
          <a:bodyPr rot="0" vert="horz"/>
          <a:lstStyle/>
          <a:p>
            <a:pPr>
              <a:defRPr sz="900">
                <a:latin typeface="Arial" pitchFamily="34" charset="0"/>
                <a:cs typeface="Arial" pitchFamily="34" charset="0"/>
              </a:defRPr>
            </a:pPr>
            <a:endParaRPr lang="en-US"/>
          </a:p>
        </c:txPr>
        <c:crossAx val="184692736"/>
        <c:crosses val="autoZero"/>
        <c:crossBetween val="between"/>
      </c:valAx>
      <c:spPr>
        <a:noFill/>
        <a:ln>
          <a:noFill/>
        </a:ln>
      </c:spPr>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818A0-27C7-4669-B83E-61CC2369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6349</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pcbs</cp:lastModifiedBy>
  <cp:revision>2</cp:revision>
  <cp:lastPrinted>2024-06-03T07:07:00Z</cp:lastPrinted>
  <dcterms:created xsi:type="dcterms:W3CDTF">2024-06-13T07:49:00Z</dcterms:created>
  <dcterms:modified xsi:type="dcterms:W3CDTF">2024-06-13T07:49:00Z</dcterms:modified>
</cp:coreProperties>
</file>