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67848" w14:textId="77777777" w:rsidR="002F1769" w:rsidRDefault="00592540" w:rsidP="006F4D57">
      <w:pPr>
        <w:pStyle w:val="BodyText"/>
        <w:bidi w:val="0"/>
        <w:jc w:val="center"/>
        <w:rPr>
          <w:rFonts w:asciiTheme="majorBidi" w:hAnsiTheme="majorBidi" w:cstheme="majorBidi"/>
          <w:b/>
          <w:bCs/>
          <w:sz w:val="32"/>
          <w:szCs w:val="32"/>
        </w:rPr>
      </w:pPr>
      <w:r w:rsidRPr="002F1769">
        <w:rPr>
          <w:rFonts w:asciiTheme="majorBidi" w:hAnsiTheme="majorBidi" w:cstheme="majorBidi"/>
          <w:b/>
          <w:bCs/>
          <w:sz w:val="32"/>
          <w:szCs w:val="32"/>
        </w:rPr>
        <w:t>The Palestinian Central Bureau of Statistics (PCBS)</w:t>
      </w:r>
      <w:r w:rsidR="00D36A25" w:rsidRPr="002F1769">
        <w:rPr>
          <w:rFonts w:asciiTheme="majorBidi" w:hAnsiTheme="majorBidi" w:cstheme="majorBidi"/>
          <w:b/>
          <w:bCs/>
          <w:sz w:val="32"/>
          <w:szCs w:val="32"/>
        </w:rPr>
        <w:t>,</w:t>
      </w:r>
      <w:r w:rsidR="00301FFA" w:rsidRPr="002F1769">
        <w:rPr>
          <w:rFonts w:asciiTheme="majorBidi" w:hAnsiTheme="majorBidi" w:cstheme="majorBidi"/>
          <w:b/>
          <w:bCs/>
          <w:sz w:val="32"/>
          <w:szCs w:val="32"/>
        </w:rPr>
        <w:t xml:space="preserve"> </w:t>
      </w:r>
      <w:r w:rsidR="00AF00CE" w:rsidRPr="002F1769">
        <w:rPr>
          <w:rFonts w:asciiTheme="majorBidi" w:hAnsiTheme="majorBidi" w:cstheme="majorBidi"/>
          <w:b/>
          <w:bCs/>
          <w:sz w:val="32"/>
          <w:szCs w:val="32"/>
        </w:rPr>
        <w:t xml:space="preserve">and </w:t>
      </w:r>
      <w:r w:rsidRPr="002F1769">
        <w:rPr>
          <w:rFonts w:asciiTheme="majorBidi" w:hAnsiTheme="majorBidi" w:cstheme="majorBidi"/>
          <w:b/>
          <w:bCs/>
          <w:sz w:val="32"/>
          <w:szCs w:val="32"/>
        </w:rPr>
        <w:t>the Palestinian Water Authority</w:t>
      </w:r>
      <w:r w:rsidR="008A3E2E" w:rsidRPr="002F1769">
        <w:rPr>
          <w:rFonts w:asciiTheme="majorBidi" w:hAnsiTheme="majorBidi" w:cstheme="majorBidi"/>
          <w:b/>
          <w:bCs/>
          <w:sz w:val="32"/>
          <w:szCs w:val="32"/>
        </w:rPr>
        <w:t xml:space="preserve"> (PWA)</w:t>
      </w:r>
      <w:r w:rsidRPr="002F1769">
        <w:rPr>
          <w:rFonts w:asciiTheme="majorBidi" w:hAnsiTheme="majorBidi" w:cstheme="majorBidi"/>
          <w:b/>
          <w:bCs/>
          <w:sz w:val="32"/>
          <w:szCs w:val="32"/>
        </w:rPr>
        <w:t xml:space="preserve"> Issue a</w:t>
      </w:r>
      <w:r w:rsidR="00C24734" w:rsidRPr="002F1769">
        <w:rPr>
          <w:rFonts w:asciiTheme="majorBidi" w:hAnsiTheme="majorBidi" w:cstheme="majorBidi"/>
          <w:b/>
          <w:bCs/>
          <w:sz w:val="32"/>
          <w:szCs w:val="32"/>
        </w:rPr>
        <w:t xml:space="preserve"> joint</w:t>
      </w:r>
      <w:r w:rsidRPr="002F1769">
        <w:rPr>
          <w:rFonts w:asciiTheme="majorBidi" w:hAnsiTheme="majorBidi" w:cstheme="majorBidi"/>
          <w:b/>
          <w:bCs/>
          <w:sz w:val="32"/>
          <w:szCs w:val="32"/>
        </w:rPr>
        <w:t xml:space="preserve"> Press Release </w:t>
      </w:r>
    </w:p>
    <w:p w14:paraId="52107D40" w14:textId="154C297D" w:rsidR="00592540" w:rsidRDefault="002724A0" w:rsidP="002F1769">
      <w:pPr>
        <w:pStyle w:val="BodyText"/>
        <w:bidi w:val="0"/>
        <w:jc w:val="center"/>
        <w:rPr>
          <w:rFonts w:asciiTheme="majorBidi" w:hAnsiTheme="majorBidi" w:cstheme="majorBidi"/>
          <w:b/>
          <w:bCs/>
          <w:sz w:val="32"/>
          <w:szCs w:val="32"/>
        </w:rPr>
      </w:pPr>
      <w:r w:rsidRPr="002F1769">
        <w:rPr>
          <w:rFonts w:asciiTheme="majorBidi" w:hAnsiTheme="majorBidi" w:cstheme="majorBidi"/>
          <w:b/>
          <w:bCs/>
          <w:sz w:val="32"/>
          <w:szCs w:val="32"/>
        </w:rPr>
        <w:t>on</w:t>
      </w:r>
      <w:r w:rsidR="00592540" w:rsidRPr="002F1769">
        <w:rPr>
          <w:rFonts w:asciiTheme="majorBidi" w:hAnsiTheme="majorBidi" w:cstheme="majorBidi"/>
          <w:b/>
          <w:bCs/>
          <w:sz w:val="32"/>
          <w:szCs w:val="32"/>
        </w:rPr>
        <w:t xml:space="preserve"> </w:t>
      </w:r>
      <w:r w:rsidR="001F25F8" w:rsidRPr="002F1769">
        <w:rPr>
          <w:rFonts w:asciiTheme="majorBidi" w:hAnsiTheme="majorBidi" w:cstheme="majorBidi"/>
          <w:b/>
          <w:bCs/>
          <w:sz w:val="32"/>
          <w:szCs w:val="32"/>
        </w:rPr>
        <w:t xml:space="preserve">the </w:t>
      </w:r>
      <w:r w:rsidR="00592540" w:rsidRPr="002F1769">
        <w:rPr>
          <w:rFonts w:asciiTheme="majorBidi" w:hAnsiTheme="majorBidi" w:cstheme="majorBidi"/>
          <w:b/>
          <w:bCs/>
          <w:sz w:val="32"/>
          <w:szCs w:val="32"/>
        </w:rPr>
        <w:t>World Water Day</w:t>
      </w:r>
    </w:p>
    <w:p w14:paraId="25E04CB2" w14:textId="77777777" w:rsidR="002F1769" w:rsidRPr="002F1769" w:rsidRDefault="002F1769" w:rsidP="002F1769">
      <w:pPr>
        <w:pStyle w:val="BodyText"/>
        <w:bidi w:val="0"/>
        <w:jc w:val="center"/>
        <w:rPr>
          <w:rFonts w:asciiTheme="majorBidi" w:hAnsiTheme="majorBidi" w:cstheme="majorBidi"/>
          <w:b/>
          <w:bCs/>
          <w:sz w:val="32"/>
          <w:szCs w:val="32"/>
        </w:rPr>
      </w:pPr>
    </w:p>
    <w:p w14:paraId="3C18544F" w14:textId="1D568C2E" w:rsidR="000F5EB1" w:rsidRPr="002F1769" w:rsidRDefault="00C24734" w:rsidP="009C595C">
      <w:pPr>
        <w:pStyle w:val="NormalWeb"/>
        <w:jc w:val="both"/>
        <w:rPr>
          <w:rFonts w:asciiTheme="majorBidi" w:hAnsiTheme="majorBidi" w:cstheme="majorBidi"/>
          <w:sz w:val="28"/>
          <w:szCs w:val="28"/>
          <w:lang w:eastAsia="ar-SA"/>
        </w:rPr>
      </w:pPr>
      <w:r w:rsidRPr="002F1769">
        <w:rPr>
          <w:rFonts w:asciiTheme="majorBidi" w:hAnsiTheme="majorBidi" w:cstheme="majorBidi"/>
          <w:sz w:val="28"/>
          <w:szCs w:val="28"/>
          <w:lang w:eastAsia="ar-SA"/>
        </w:rPr>
        <w:t>The Palestinian Central Bureau of Statistics (</w:t>
      </w:r>
      <w:r w:rsidR="002724A0" w:rsidRPr="002F1769">
        <w:rPr>
          <w:rFonts w:asciiTheme="majorBidi" w:hAnsiTheme="majorBidi" w:cstheme="majorBidi"/>
          <w:sz w:val="28"/>
          <w:szCs w:val="28"/>
          <w:lang w:eastAsia="ar-SA"/>
        </w:rPr>
        <w:t>PCBS)</w:t>
      </w:r>
      <w:r w:rsidRPr="002F1769">
        <w:rPr>
          <w:rFonts w:asciiTheme="majorBidi" w:hAnsiTheme="majorBidi" w:cstheme="majorBidi"/>
          <w:sz w:val="28"/>
          <w:szCs w:val="28"/>
          <w:lang w:eastAsia="ar-SA"/>
        </w:rPr>
        <w:t xml:space="preserve"> and the Palestinian Water Authority (PWA) issue a joint press release </w:t>
      </w:r>
      <w:r w:rsidR="002724A0" w:rsidRPr="002F1769">
        <w:rPr>
          <w:rFonts w:asciiTheme="majorBidi" w:hAnsiTheme="majorBidi" w:cstheme="majorBidi"/>
          <w:sz w:val="28"/>
          <w:szCs w:val="28"/>
          <w:lang w:eastAsia="ar-SA"/>
        </w:rPr>
        <w:t>on</w:t>
      </w:r>
      <w:r w:rsidRPr="002F1769">
        <w:rPr>
          <w:rFonts w:asciiTheme="majorBidi" w:hAnsiTheme="majorBidi" w:cstheme="majorBidi"/>
          <w:sz w:val="28"/>
          <w:szCs w:val="28"/>
          <w:lang w:eastAsia="ar-SA"/>
        </w:rPr>
        <w:t xml:space="preserve"> </w:t>
      </w:r>
      <w:r w:rsidR="004A0DDF" w:rsidRPr="002F1769">
        <w:rPr>
          <w:rFonts w:asciiTheme="majorBidi" w:hAnsiTheme="majorBidi" w:cstheme="majorBidi"/>
          <w:sz w:val="28"/>
          <w:szCs w:val="28"/>
          <w:lang w:eastAsia="ar-SA"/>
        </w:rPr>
        <w:t xml:space="preserve">the </w:t>
      </w:r>
      <w:r w:rsidRPr="002F1769">
        <w:rPr>
          <w:rFonts w:asciiTheme="majorBidi" w:hAnsiTheme="majorBidi" w:cstheme="majorBidi"/>
          <w:sz w:val="28"/>
          <w:szCs w:val="28"/>
          <w:lang w:eastAsia="ar-SA"/>
        </w:rPr>
        <w:t>World Water Day</w:t>
      </w:r>
      <w:r w:rsidR="002724A0" w:rsidRPr="002F1769">
        <w:rPr>
          <w:rFonts w:asciiTheme="majorBidi" w:hAnsiTheme="majorBidi" w:cstheme="majorBidi"/>
          <w:sz w:val="28"/>
          <w:szCs w:val="28"/>
          <w:lang w:eastAsia="ar-SA"/>
        </w:rPr>
        <w:t xml:space="preserve">, </w:t>
      </w:r>
      <w:r w:rsidRPr="002F1769">
        <w:rPr>
          <w:rFonts w:asciiTheme="majorBidi" w:hAnsiTheme="majorBidi" w:cstheme="majorBidi"/>
          <w:sz w:val="28"/>
          <w:szCs w:val="28"/>
          <w:lang w:eastAsia="ar-SA"/>
        </w:rPr>
        <w:t xml:space="preserve">on </w:t>
      </w:r>
      <w:r w:rsidR="00F55813" w:rsidRPr="002F1769">
        <w:rPr>
          <w:rFonts w:asciiTheme="majorBidi" w:hAnsiTheme="majorBidi" w:cstheme="majorBidi"/>
          <w:sz w:val="28"/>
          <w:szCs w:val="28"/>
          <w:lang w:eastAsia="ar-SA"/>
        </w:rPr>
        <w:t>March 22 of each year</w:t>
      </w:r>
      <w:r w:rsidRPr="002F1769">
        <w:rPr>
          <w:rFonts w:asciiTheme="majorBidi" w:hAnsiTheme="majorBidi" w:cstheme="majorBidi"/>
          <w:sz w:val="28"/>
          <w:szCs w:val="28"/>
          <w:lang w:eastAsia="ar-SA"/>
        </w:rPr>
        <w:t xml:space="preserve">. </w:t>
      </w:r>
      <w:r w:rsidR="000F5EB1" w:rsidRPr="002F1769">
        <w:rPr>
          <w:rFonts w:asciiTheme="majorBidi" w:hAnsiTheme="majorBidi" w:cstheme="majorBidi"/>
          <w:sz w:val="28"/>
          <w:szCs w:val="28"/>
          <w:lang w:eastAsia="ar-SA"/>
        </w:rPr>
        <w:t xml:space="preserve">This year’s statement highlights the relationship between water and gender, emphasizing that challenges related to water resource management are not limited to environmental or technical aspects </w:t>
      </w:r>
      <w:r w:rsidR="009C595C" w:rsidRPr="002F1769">
        <w:rPr>
          <w:rFonts w:asciiTheme="majorBidi" w:hAnsiTheme="majorBidi" w:cstheme="majorBidi"/>
          <w:sz w:val="28"/>
          <w:szCs w:val="28"/>
          <w:lang w:eastAsia="ar-SA"/>
        </w:rPr>
        <w:t>only</w:t>
      </w:r>
      <w:r w:rsidR="000F5EB1" w:rsidRPr="002F1769">
        <w:rPr>
          <w:rFonts w:asciiTheme="majorBidi" w:hAnsiTheme="majorBidi" w:cstheme="majorBidi"/>
          <w:sz w:val="28"/>
          <w:szCs w:val="28"/>
          <w:lang w:eastAsia="ar-SA"/>
        </w:rPr>
        <w:t>, but also extend to social and developmental dimensions related to equity and equality in access to water and related services.</w:t>
      </w:r>
    </w:p>
    <w:p w14:paraId="0C6730B8" w14:textId="1AB97BE9" w:rsidR="000F5EB1" w:rsidRDefault="000F5EB1" w:rsidP="009C595C">
      <w:pPr>
        <w:pStyle w:val="NormalWeb"/>
        <w:jc w:val="both"/>
        <w:rPr>
          <w:rFonts w:asciiTheme="majorBidi" w:hAnsiTheme="majorBidi" w:cstheme="majorBidi"/>
          <w:sz w:val="28"/>
          <w:szCs w:val="28"/>
          <w:lang w:eastAsia="ar-SA"/>
        </w:rPr>
      </w:pPr>
      <w:r w:rsidRPr="002F1769">
        <w:rPr>
          <w:rFonts w:asciiTheme="majorBidi" w:hAnsiTheme="majorBidi" w:cstheme="majorBidi"/>
          <w:sz w:val="28"/>
          <w:szCs w:val="28"/>
          <w:lang w:eastAsia="ar-SA"/>
        </w:rPr>
        <w:t xml:space="preserve">This theme was selected based on the fact that women and girls around the world bear the largest share of responsibilities related to water management at the household and community levels, while their participation in water sector institutions and water-related decision-making processes remains limited. In this context, the statement aims to shed light on the reality of </w:t>
      </w:r>
      <w:r w:rsidR="009C595C" w:rsidRPr="002F1769">
        <w:rPr>
          <w:rFonts w:asciiTheme="majorBidi" w:hAnsiTheme="majorBidi" w:cstheme="majorBidi"/>
          <w:sz w:val="28"/>
          <w:szCs w:val="28"/>
          <w:lang w:eastAsia="ar-SA"/>
        </w:rPr>
        <w:t xml:space="preserve">both </w:t>
      </w:r>
      <w:r w:rsidRPr="002F1769">
        <w:rPr>
          <w:rFonts w:asciiTheme="majorBidi" w:hAnsiTheme="majorBidi" w:cstheme="majorBidi"/>
          <w:sz w:val="28"/>
          <w:szCs w:val="28"/>
          <w:lang w:eastAsia="ar-SA"/>
        </w:rPr>
        <w:t xml:space="preserve">women and the water sector in Palestine, highlighting the vital roles women play in managing water resources and </w:t>
      </w:r>
      <w:r w:rsidR="004E087A" w:rsidRPr="002F1769">
        <w:rPr>
          <w:rFonts w:asciiTheme="majorBidi" w:hAnsiTheme="majorBidi" w:cstheme="majorBidi"/>
          <w:sz w:val="28"/>
          <w:szCs w:val="28"/>
          <w:lang w:eastAsia="ar-SA"/>
        </w:rPr>
        <w:t xml:space="preserve">in </w:t>
      </w:r>
      <w:r w:rsidRPr="002F1769">
        <w:rPr>
          <w:rFonts w:asciiTheme="majorBidi" w:hAnsiTheme="majorBidi" w:cstheme="majorBidi"/>
          <w:sz w:val="28"/>
          <w:szCs w:val="28"/>
          <w:lang w:eastAsia="ar-SA"/>
        </w:rPr>
        <w:t>adapting to the challenges. It also analyzes the gaps in their institutional participation and explores opportunities to strengthen their role in planning, decision-making, and the development of water services, to ensure the availability and sustainable management of water and sanitation services for all.</w:t>
      </w:r>
    </w:p>
    <w:p w14:paraId="58D35BA8" w14:textId="77777777" w:rsidR="002F1769" w:rsidRPr="002F1769" w:rsidRDefault="002F1769" w:rsidP="009C595C">
      <w:pPr>
        <w:pStyle w:val="NormalWeb"/>
        <w:jc w:val="both"/>
        <w:rPr>
          <w:rFonts w:asciiTheme="majorBidi" w:hAnsiTheme="majorBidi" w:cstheme="majorBidi"/>
          <w:sz w:val="28"/>
          <w:szCs w:val="28"/>
          <w:lang w:eastAsia="ar-SA"/>
        </w:rPr>
      </w:pPr>
    </w:p>
    <w:p w14:paraId="56D3F29B" w14:textId="26634E41" w:rsidR="00C162BB" w:rsidRPr="002F1769" w:rsidRDefault="00C162BB" w:rsidP="00EB0952">
      <w:pPr>
        <w:pStyle w:val="Heading3"/>
        <w:rPr>
          <w:sz w:val="26"/>
          <w:szCs w:val="26"/>
          <w:rtl/>
        </w:rPr>
      </w:pPr>
      <w:r w:rsidRPr="002F1769">
        <w:rPr>
          <w:sz w:val="26"/>
          <w:szCs w:val="26"/>
        </w:rPr>
        <w:t xml:space="preserve">Women Make Up 49% of Palestinian Society, and </w:t>
      </w:r>
      <w:r w:rsidR="00EB0952" w:rsidRPr="002F1769">
        <w:rPr>
          <w:sz w:val="26"/>
          <w:szCs w:val="26"/>
        </w:rPr>
        <w:t xml:space="preserve">more than </w:t>
      </w:r>
      <w:r w:rsidRPr="002F1769">
        <w:rPr>
          <w:sz w:val="26"/>
          <w:szCs w:val="26"/>
        </w:rPr>
        <w:t xml:space="preserve">Two Million Women </w:t>
      </w:r>
      <w:proofErr w:type="gramStart"/>
      <w:r w:rsidR="00EB0952" w:rsidRPr="002F1769">
        <w:rPr>
          <w:sz w:val="26"/>
          <w:szCs w:val="26"/>
        </w:rPr>
        <w:t>are</w:t>
      </w:r>
      <w:proofErr w:type="gramEnd"/>
      <w:r w:rsidR="00EB0952" w:rsidRPr="002F1769">
        <w:rPr>
          <w:sz w:val="26"/>
          <w:szCs w:val="26"/>
        </w:rPr>
        <w:t xml:space="preserve"> </w:t>
      </w:r>
      <w:r w:rsidRPr="002F1769">
        <w:rPr>
          <w:sz w:val="26"/>
          <w:szCs w:val="26"/>
        </w:rPr>
        <w:t xml:space="preserve">Affected by the Water Crisis Resulting from the </w:t>
      </w:r>
      <w:r w:rsidR="00DF5D5C" w:rsidRPr="002F1769">
        <w:rPr>
          <w:sz w:val="26"/>
          <w:szCs w:val="26"/>
        </w:rPr>
        <w:t xml:space="preserve">Israeli </w:t>
      </w:r>
      <w:r w:rsidRPr="002F1769">
        <w:rPr>
          <w:sz w:val="26"/>
          <w:szCs w:val="26"/>
        </w:rPr>
        <w:t>Occupation's Control over Palestinian Water Resources</w:t>
      </w:r>
    </w:p>
    <w:p w14:paraId="1CAFB34B" w14:textId="03906DE1" w:rsidR="000F5EB1" w:rsidRPr="002F1769" w:rsidRDefault="000F5EB1" w:rsidP="00C162BB">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The water reality in Palestine cannot be understood merely as a crisis of natural scarcity; rather, at its core, it is a </w:t>
      </w:r>
      <w:r w:rsidRPr="002F1769">
        <w:rPr>
          <w:rStyle w:val="Strong"/>
          <w:rFonts w:asciiTheme="majorBidi" w:hAnsiTheme="majorBidi" w:cstheme="majorBidi"/>
          <w:b w:val="0"/>
          <w:bCs w:val="0"/>
          <w:sz w:val="26"/>
          <w:szCs w:val="26"/>
        </w:rPr>
        <w:t>crisis of sovereignty and control over resources</w:t>
      </w:r>
      <w:r w:rsidRPr="002F1769">
        <w:rPr>
          <w:rFonts w:asciiTheme="majorBidi" w:hAnsiTheme="majorBidi" w:cstheme="majorBidi"/>
          <w:sz w:val="26"/>
          <w:szCs w:val="26"/>
        </w:rPr>
        <w:t xml:space="preserve">. Since </w:t>
      </w:r>
      <w:r w:rsidRPr="002F1769">
        <w:rPr>
          <w:rStyle w:val="Strong"/>
          <w:rFonts w:asciiTheme="majorBidi" w:hAnsiTheme="majorBidi" w:cstheme="majorBidi"/>
          <w:b w:val="0"/>
          <w:bCs w:val="0"/>
          <w:sz w:val="26"/>
          <w:szCs w:val="26"/>
        </w:rPr>
        <w:t>1967</w:t>
      </w:r>
      <w:r w:rsidRPr="002F1769">
        <w:rPr>
          <w:rFonts w:asciiTheme="majorBidi" w:hAnsiTheme="majorBidi" w:cstheme="majorBidi"/>
          <w:sz w:val="26"/>
          <w:szCs w:val="26"/>
        </w:rPr>
        <w:t xml:space="preserve">, Israel has established effective control over the Palestinian water resource system, both </w:t>
      </w:r>
      <w:r w:rsidRPr="002F1769">
        <w:rPr>
          <w:rStyle w:val="Strong"/>
          <w:rFonts w:asciiTheme="majorBidi" w:hAnsiTheme="majorBidi" w:cstheme="majorBidi"/>
          <w:b w:val="0"/>
          <w:bCs w:val="0"/>
          <w:sz w:val="26"/>
          <w:szCs w:val="26"/>
        </w:rPr>
        <w:t>groundwater and surface water</w:t>
      </w:r>
      <w:r w:rsidRPr="002F1769">
        <w:rPr>
          <w:rFonts w:asciiTheme="majorBidi" w:hAnsiTheme="majorBidi" w:cstheme="majorBidi"/>
          <w:sz w:val="26"/>
          <w:szCs w:val="26"/>
        </w:rPr>
        <w:t xml:space="preserve">, leading to a fundamental violation of the principle of </w:t>
      </w:r>
      <w:r w:rsidRPr="002F1769">
        <w:rPr>
          <w:rStyle w:val="Strong"/>
          <w:rFonts w:asciiTheme="majorBidi" w:hAnsiTheme="majorBidi" w:cstheme="majorBidi"/>
          <w:b w:val="0"/>
          <w:bCs w:val="0"/>
          <w:sz w:val="26"/>
          <w:szCs w:val="26"/>
        </w:rPr>
        <w:t>“equitable and reasonable use”</w:t>
      </w:r>
      <w:r w:rsidRPr="002F1769">
        <w:rPr>
          <w:rFonts w:asciiTheme="majorBidi" w:hAnsiTheme="majorBidi" w:cstheme="majorBidi"/>
          <w:sz w:val="26"/>
          <w:szCs w:val="26"/>
        </w:rPr>
        <w:t xml:space="preserve"> stipulated in international water law governing shared watercourses.</w:t>
      </w:r>
    </w:p>
    <w:p w14:paraId="1B7DF900" w14:textId="4CB8406D" w:rsidR="000F5EB1" w:rsidRPr="002F1769" w:rsidRDefault="000F5EB1">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Official data indicate that the Israeli occupation controls </w:t>
      </w:r>
      <w:r w:rsidRPr="002F1769">
        <w:rPr>
          <w:rStyle w:val="Strong"/>
          <w:rFonts w:asciiTheme="majorBidi" w:hAnsiTheme="majorBidi" w:cstheme="majorBidi"/>
          <w:b w:val="0"/>
          <w:bCs w:val="0"/>
          <w:sz w:val="26"/>
          <w:szCs w:val="26"/>
        </w:rPr>
        <w:t>more than 85% of Palestinian groundwater resources</w:t>
      </w:r>
      <w:r w:rsidRPr="002F1769">
        <w:rPr>
          <w:rFonts w:asciiTheme="majorBidi" w:hAnsiTheme="majorBidi" w:cstheme="majorBidi"/>
          <w:sz w:val="26"/>
          <w:szCs w:val="26"/>
        </w:rPr>
        <w:t xml:space="preserve"> in the three main aquifers in the West Bank (</w:t>
      </w:r>
      <w:r w:rsidRPr="002F1769">
        <w:rPr>
          <w:rStyle w:val="Strong"/>
          <w:rFonts w:asciiTheme="majorBidi" w:hAnsiTheme="majorBidi" w:cstheme="majorBidi"/>
          <w:b w:val="0"/>
          <w:bCs w:val="0"/>
          <w:sz w:val="26"/>
          <w:szCs w:val="26"/>
        </w:rPr>
        <w:t>Western, Eastern, and North-Eastern</w:t>
      </w:r>
      <w:r w:rsidRPr="002F1769">
        <w:rPr>
          <w:rFonts w:asciiTheme="majorBidi" w:hAnsiTheme="majorBidi" w:cstheme="majorBidi"/>
          <w:sz w:val="26"/>
          <w:szCs w:val="26"/>
        </w:rPr>
        <w:t xml:space="preserve">), through controlling well drilling, preventing the development of new wells, and imposing strict restrictions on the rehabilitation of existing wells. This occurs in parallel with the intensive exploitation of these aquifers for the benefit of </w:t>
      </w:r>
      <w:r w:rsidRPr="002F1769">
        <w:rPr>
          <w:rStyle w:val="Strong"/>
          <w:rFonts w:asciiTheme="majorBidi" w:hAnsiTheme="majorBidi" w:cstheme="majorBidi"/>
          <w:b w:val="0"/>
          <w:bCs w:val="0"/>
          <w:sz w:val="26"/>
          <w:szCs w:val="26"/>
        </w:rPr>
        <w:t>illegal Israeli settlements</w:t>
      </w:r>
      <w:r w:rsidRPr="002F1769">
        <w:rPr>
          <w:rFonts w:asciiTheme="majorBidi" w:hAnsiTheme="majorBidi" w:cstheme="majorBidi"/>
          <w:sz w:val="26"/>
          <w:szCs w:val="26"/>
        </w:rPr>
        <w:t xml:space="preserve">. As a result, Palestinians still do not receive the quantities stipulated in the </w:t>
      </w:r>
      <w:r w:rsidRPr="002F1769">
        <w:rPr>
          <w:rStyle w:val="Strong"/>
          <w:rFonts w:asciiTheme="majorBidi" w:hAnsiTheme="majorBidi" w:cstheme="majorBidi"/>
          <w:b w:val="0"/>
          <w:bCs w:val="0"/>
          <w:sz w:val="26"/>
          <w:szCs w:val="26"/>
        </w:rPr>
        <w:t>Interim Agreement</w:t>
      </w:r>
      <w:r w:rsidR="00DF5D5C" w:rsidRPr="002F1769">
        <w:rPr>
          <w:rStyle w:val="Strong"/>
          <w:rFonts w:asciiTheme="majorBidi" w:hAnsiTheme="majorBidi" w:cstheme="majorBidi"/>
          <w:b w:val="0"/>
          <w:bCs w:val="0"/>
          <w:sz w:val="26"/>
          <w:szCs w:val="26"/>
        </w:rPr>
        <w:t xml:space="preserve"> 1995</w:t>
      </w:r>
      <w:r w:rsidRPr="002F1769">
        <w:rPr>
          <w:rFonts w:asciiTheme="majorBidi" w:hAnsiTheme="majorBidi" w:cstheme="majorBidi"/>
          <w:sz w:val="26"/>
          <w:szCs w:val="26"/>
        </w:rPr>
        <w:t xml:space="preserve">, </w:t>
      </w:r>
      <w:r w:rsidR="00DF5D5C" w:rsidRPr="002F1769">
        <w:rPr>
          <w:rFonts w:asciiTheme="majorBidi" w:hAnsiTheme="majorBidi" w:cstheme="majorBidi"/>
          <w:sz w:val="26"/>
          <w:szCs w:val="26"/>
        </w:rPr>
        <w:t xml:space="preserve">even though </w:t>
      </w:r>
      <w:r w:rsidRPr="002F1769">
        <w:rPr>
          <w:rFonts w:asciiTheme="majorBidi" w:hAnsiTheme="majorBidi" w:cstheme="majorBidi"/>
          <w:sz w:val="26"/>
          <w:szCs w:val="26"/>
        </w:rPr>
        <w:t>three decades ha</w:t>
      </w:r>
      <w:r w:rsidR="00EB0952" w:rsidRPr="002F1769">
        <w:rPr>
          <w:rFonts w:asciiTheme="majorBidi" w:hAnsiTheme="majorBidi" w:cstheme="majorBidi"/>
          <w:sz w:val="26"/>
          <w:szCs w:val="26"/>
        </w:rPr>
        <w:t>ve</w:t>
      </w:r>
      <w:r w:rsidRPr="002F1769">
        <w:rPr>
          <w:rFonts w:asciiTheme="majorBidi" w:hAnsiTheme="majorBidi" w:cstheme="majorBidi"/>
          <w:sz w:val="26"/>
          <w:szCs w:val="26"/>
        </w:rPr>
        <w:t xml:space="preserve"> passed since its signing.</w:t>
      </w:r>
    </w:p>
    <w:p w14:paraId="4AC623AE" w14:textId="538C7F9F" w:rsidR="000F5EB1" w:rsidRPr="002F1769" w:rsidRDefault="000F5EB1">
      <w:pPr>
        <w:pStyle w:val="NormalWeb"/>
        <w:jc w:val="both"/>
        <w:rPr>
          <w:rFonts w:asciiTheme="majorBidi" w:hAnsiTheme="majorBidi" w:cstheme="majorBidi"/>
          <w:sz w:val="26"/>
          <w:szCs w:val="26"/>
        </w:rPr>
      </w:pPr>
      <w:r w:rsidRPr="002F1769">
        <w:rPr>
          <w:rFonts w:asciiTheme="majorBidi" w:hAnsiTheme="majorBidi" w:cstheme="majorBidi"/>
          <w:sz w:val="26"/>
          <w:szCs w:val="26"/>
        </w:rPr>
        <w:lastRenderedPageBreak/>
        <w:t xml:space="preserve">This control does not only involve the unequal sharing of water quantities; it also extends to </w:t>
      </w:r>
      <w:r w:rsidRPr="002F1769">
        <w:rPr>
          <w:rStyle w:val="Strong"/>
          <w:rFonts w:asciiTheme="majorBidi" w:hAnsiTheme="majorBidi" w:cstheme="majorBidi"/>
          <w:b w:val="0"/>
          <w:bCs w:val="0"/>
          <w:sz w:val="26"/>
          <w:szCs w:val="26"/>
        </w:rPr>
        <w:t xml:space="preserve">control over production, </w:t>
      </w:r>
      <w:r w:rsidR="00DF5D5C" w:rsidRPr="002F1769">
        <w:rPr>
          <w:rStyle w:val="Strong"/>
          <w:rFonts w:asciiTheme="majorBidi" w:hAnsiTheme="majorBidi" w:cstheme="majorBidi"/>
          <w:b w:val="0"/>
          <w:bCs w:val="0"/>
          <w:sz w:val="26"/>
          <w:szCs w:val="26"/>
        </w:rPr>
        <w:t>tran</w:t>
      </w:r>
      <w:r w:rsidR="00DC2256" w:rsidRPr="002F1769">
        <w:rPr>
          <w:rStyle w:val="Strong"/>
          <w:rFonts w:asciiTheme="majorBidi" w:hAnsiTheme="majorBidi" w:cstheme="majorBidi"/>
          <w:b w:val="0"/>
          <w:bCs w:val="0"/>
          <w:sz w:val="26"/>
          <w:szCs w:val="26"/>
        </w:rPr>
        <w:t>s</w:t>
      </w:r>
      <w:r w:rsidR="00DF5D5C" w:rsidRPr="002F1769">
        <w:rPr>
          <w:rStyle w:val="Strong"/>
          <w:rFonts w:asciiTheme="majorBidi" w:hAnsiTheme="majorBidi" w:cstheme="majorBidi"/>
          <w:b w:val="0"/>
          <w:bCs w:val="0"/>
          <w:sz w:val="26"/>
          <w:szCs w:val="26"/>
        </w:rPr>
        <w:t>port</w:t>
      </w:r>
      <w:r w:rsidRPr="002F1769">
        <w:rPr>
          <w:rStyle w:val="Strong"/>
          <w:rFonts w:asciiTheme="majorBidi" w:hAnsiTheme="majorBidi" w:cstheme="majorBidi"/>
          <w:b w:val="0"/>
          <w:bCs w:val="0"/>
          <w:sz w:val="26"/>
          <w:szCs w:val="26"/>
        </w:rPr>
        <w:t>, and distribution systems</w:t>
      </w:r>
      <w:r w:rsidRPr="002F1769">
        <w:rPr>
          <w:rFonts w:asciiTheme="majorBidi" w:hAnsiTheme="majorBidi" w:cstheme="majorBidi"/>
          <w:sz w:val="26"/>
          <w:szCs w:val="26"/>
        </w:rPr>
        <w:t xml:space="preserve">, including obliging the Palestinian side to purchase increasing quantities of water from the Israeli company </w:t>
      </w:r>
      <w:r w:rsidRPr="002F1769">
        <w:rPr>
          <w:rStyle w:val="Strong"/>
          <w:rFonts w:asciiTheme="majorBidi" w:hAnsiTheme="majorBidi" w:cstheme="majorBidi"/>
          <w:b w:val="0"/>
          <w:bCs w:val="0"/>
          <w:sz w:val="26"/>
          <w:szCs w:val="26"/>
        </w:rPr>
        <w:t>“</w:t>
      </w:r>
      <w:proofErr w:type="spellStart"/>
      <w:r w:rsidRPr="002F1769">
        <w:rPr>
          <w:rStyle w:val="Strong"/>
          <w:rFonts w:asciiTheme="majorBidi" w:hAnsiTheme="majorBidi" w:cstheme="majorBidi"/>
          <w:b w:val="0"/>
          <w:bCs w:val="0"/>
          <w:sz w:val="26"/>
          <w:szCs w:val="26"/>
        </w:rPr>
        <w:t>Mekorot</w:t>
      </w:r>
      <w:proofErr w:type="spellEnd"/>
      <w:r w:rsidRPr="002F1769">
        <w:rPr>
          <w:rStyle w:val="Strong"/>
          <w:rFonts w:asciiTheme="majorBidi" w:hAnsiTheme="majorBidi" w:cstheme="majorBidi"/>
          <w:b w:val="0"/>
          <w:bCs w:val="0"/>
          <w:sz w:val="26"/>
          <w:szCs w:val="26"/>
        </w:rPr>
        <w:t>”</w:t>
      </w:r>
      <w:r w:rsidRPr="002F1769">
        <w:rPr>
          <w:rFonts w:asciiTheme="majorBidi" w:hAnsiTheme="majorBidi" w:cstheme="majorBidi"/>
          <w:sz w:val="26"/>
          <w:szCs w:val="26"/>
        </w:rPr>
        <w:t xml:space="preserve">, bearing water losses in pipelines located in </w:t>
      </w:r>
      <w:r w:rsidRPr="002F1769">
        <w:rPr>
          <w:rStyle w:val="Strong"/>
          <w:rFonts w:asciiTheme="majorBidi" w:hAnsiTheme="majorBidi" w:cstheme="majorBidi"/>
          <w:b w:val="0"/>
          <w:bCs w:val="0"/>
          <w:sz w:val="26"/>
          <w:szCs w:val="26"/>
        </w:rPr>
        <w:t>Area C</w:t>
      </w:r>
      <w:r w:rsidRPr="002F1769">
        <w:rPr>
          <w:rFonts w:asciiTheme="majorBidi" w:hAnsiTheme="majorBidi" w:cstheme="majorBidi"/>
          <w:sz w:val="26"/>
          <w:szCs w:val="26"/>
        </w:rPr>
        <w:t xml:space="preserve">, and deducting various costs from clearance revenues. This effectively transforms water from a natural resource into </w:t>
      </w:r>
      <w:r w:rsidRPr="002F1769">
        <w:rPr>
          <w:rStyle w:val="Strong"/>
          <w:rFonts w:asciiTheme="majorBidi" w:hAnsiTheme="majorBidi" w:cstheme="majorBidi"/>
          <w:b w:val="0"/>
          <w:bCs w:val="0"/>
          <w:sz w:val="26"/>
          <w:szCs w:val="26"/>
        </w:rPr>
        <w:t>a financial and political pressure tool</w:t>
      </w:r>
      <w:r w:rsidRPr="002F1769">
        <w:rPr>
          <w:rFonts w:asciiTheme="majorBidi" w:hAnsiTheme="majorBidi" w:cstheme="majorBidi"/>
          <w:sz w:val="26"/>
          <w:szCs w:val="26"/>
        </w:rPr>
        <w:t>.</w:t>
      </w:r>
    </w:p>
    <w:p w14:paraId="2E53AA45" w14:textId="5008D16D" w:rsidR="000F5EB1" w:rsidRPr="002F1769" w:rsidRDefault="000F5EB1">
      <w:pPr>
        <w:pStyle w:val="NormalWeb"/>
        <w:jc w:val="both"/>
        <w:rPr>
          <w:rFonts w:asciiTheme="majorBidi" w:hAnsiTheme="majorBidi" w:cstheme="majorBidi"/>
          <w:sz w:val="26"/>
          <w:szCs w:val="26"/>
          <w:rtl/>
        </w:rPr>
      </w:pPr>
      <w:r w:rsidRPr="002F1769">
        <w:rPr>
          <w:rFonts w:asciiTheme="majorBidi" w:hAnsiTheme="majorBidi" w:cstheme="majorBidi"/>
          <w:sz w:val="26"/>
          <w:szCs w:val="26"/>
        </w:rPr>
        <w:t xml:space="preserve">Regarding surface water, Palestinians are almost completely deprived of their right to the </w:t>
      </w:r>
      <w:r w:rsidRPr="002F1769">
        <w:rPr>
          <w:rStyle w:val="Strong"/>
          <w:rFonts w:asciiTheme="majorBidi" w:hAnsiTheme="majorBidi" w:cstheme="majorBidi"/>
          <w:b w:val="0"/>
          <w:bCs w:val="0"/>
          <w:sz w:val="26"/>
          <w:szCs w:val="26"/>
        </w:rPr>
        <w:t>Jordan River</w:t>
      </w:r>
      <w:r w:rsidRPr="002F1769">
        <w:rPr>
          <w:rFonts w:asciiTheme="majorBidi" w:hAnsiTheme="majorBidi" w:cstheme="majorBidi"/>
          <w:sz w:val="26"/>
          <w:szCs w:val="26"/>
        </w:rPr>
        <w:t xml:space="preserve">, despite being a riparian state. Israel has exclusively controlled the river and its economic resources, as well as the </w:t>
      </w:r>
      <w:r w:rsidRPr="002F1769">
        <w:rPr>
          <w:rStyle w:val="Strong"/>
          <w:rFonts w:asciiTheme="majorBidi" w:hAnsiTheme="majorBidi" w:cstheme="majorBidi"/>
          <w:b w:val="0"/>
          <w:bCs w:val="0"/>
          <w:sz w:val="26"/>
          <w:szCs w:val="26"/>
        </w:rPr>
        <w:t>Dead Sea</w:t>
      </w:r>
      <w:r w:rsidRPr="002F1769">
        <w:rPr>
          <w:rFonts w:asciiTheme="majorBidi" w:hAnsiTheme="majorBidi" w:cstheme="majorBidi"/>
          <w:sz w:val="26"/>
          <w:szCs w:val="26"/>
        </w:rPr>
        <w:t xml:space="preserve">, preventing any </w:t>
      </w:r>
      <w:r w:rsidR="00DF5D5C" w:rsidRPr="002F1769">
        <w:rPr>
          <w:rFonts w:asciiTheme="majorBidi" w:hAnsiTheme="majorBidi" w:cstheme="majorBidi"/>
          <w:sz w:val="26"/>
          <w:szCs w:val="26"/>
        </w:rPr>
        <w:t xml:space="preserve">actual </w:t>
      </w:r>
      <w:r w:rsidRPr="002F1769">
        <w:rPr>
          <w:rFonts w:asciiTheme="majorBidi" w:hAnsiTheme="majorBidi" w:cstheme="majorBidi"/>
          <w:sz w:val="26"/>
          <w:szCs w:val="26"/>
        </w:rPr>
        <w:t xml:space="preserve">Palestinian access since </w:t>
      </w:r>
      <w:r w:rsidRPr="002F1769">
        <w:rPr>
          <w:rStyle w:val="Strong"/>
          <w:rFonts w:asciiTheme="majorBidi" w:hAnsiTheme="majorBidi" w:cstheme="majorBidi"/>
          <w:b w:val="0"/>
          <w:bCs w:val="0"/>
          <w:sz w:val="26"/>
          <w:szCs w:val="26"/>
        </w:rPr>
        <w:t>1967</w:t>
      </w:r>
      <w:r w:rsidRPr="002F1769">
        <w:rPr>
          <w:rFonts w:asciiTheme="majorBidi" w:hAnsiTheme="majorBidi" w:cstheme="majorBidi"/>
          <w:sz w:val="26"/>
          <w:szCs w:val="26"/>
        </w:rPr>
        <w:t xml:space="preserve">. Israel also imposes systematic obstacles to the utilization of </w:t>
      </w:r>
      <w:r w:rsidRPr="002F1769">
        <w:rPr>
          <w:rStyle w:val="Strong"/>
          <w:rFonts w:asciiTheme="majorBidi" w:hAnsiTheme="majorBidi" w:cstheme="majorBidi"/>
          <w:b w:val="0"/>
          <w:bCs w:val="0"/>
          <w:sz w:val="26"/>
          <w:szCs w:val="26"/>
        </w:rPr>
        <w:t>rainwater in the West Bank</w:t>
      </w:r>
      <w:r w:rsidRPr="002F1769">
        <w:rPr>
          <w:rFonts w:asciiTheme="majorBidi" w:hAnsiTheme="majorBidi" w:cstheme="majorBidi"/>
          <w:sz w:val="26"/>
          <w:szCs w:val="26"/>
        </w:rPr>
        <w:t xml:space="preserve">, which is estimated at </w:t>
      </w:r>
      <w:r w:rsidRPr="002F1769">
        <w:rPr>
          <w:rStyle w:val="Strong"/>
          <w:rFonts w:asciiTheme="majorBidi" w:hAnsiTheme="majorBidi" w:cstheme="majorBidi"/>
          <w:b w:val="0"/>
          <w:bCs w:val="0"/>
          <w:sz w:val="26"/>
          <w:szCs w:val="26"/>
        </w:rPr>
        <w:t>more than 165 million cubic meters annually</w:t>
      </w:r>
      <w:r w:rsidRPr="002F1769">
        <w:rPr>
          <w:rFonts w:asciiTheme="majorBidi" w:hAnsiTheme="majorBidi" w:cstheme="majorBidi"/>
          <w:sz w:val="26"/>
          <w:szCs w:val="26"/>
        </w:rPr>
        <w:t xml:space="preserve">, by preventing the construction of dams or collection ponds in many areas classified as </w:t>
      </w:r>
      <w:r w:rsidRPr="002F1769">
        <w:rPr>
          <w:rStyle w:val="Strong"/>
          <w:rFonts w:asciiTheme="majorBidi" w:hAnsiTheme="majorBidi" w:cstheme="majorBidi"/>
          <w:b w:val="0"/>
          <w:bCs w:val="0"/>
          <w:sz w:val="26"/>
          <w:szCs w:val="26"/>
        </w:rPr>
        <w:t>Area C</w:t>
      </w:r>
      <w:r w:rsidRPr="002F1769">
        <w:rPr>
          <w:rFonts w:asciiTheme="majorBidi" w:hAnsiTheme="majorBidi" w:cstheme="majorBidi"/>
          <w:sz w:val="26"/>
          <w:szCs w:val="26"/>
        </w:rPr>
        <w:t xml:space="preserve">. Consequently, a large portion of this water flows toward the </w:t>
      </w:r>
      <w:r w:rsidRPr="002F1769">
        <w:rPr>
          <w:rStyle w:val="Strong"/>
          <w:rFonts w:asciiTheme="majorBidi" w:hAnsiTheme="majorBidi" w:cstheme="majorBidi"/>
          <w:b w:val="0"/>
          <w:bCs w:val="0"/>
          <w:sz w:val="26"/>
          <w:szCs w:val="26"/>
        </w:rPr>
        <w:t>Mediterranean Sea</w:t>
      </w:r>
      <w:r w:rsidRPr="002F1769">
        <w:rPr>
          <w:rFonts w:asciiTheme="majorBidi" w:hAnsiTheme="majorBidi" w:cstheme="majorBidi"/>
          <w:sz w:val="26"/>
          <w:szCs w:val="26"/>
        </w:rPr>
        <w:t xml:space="preserve"> and the </w:t>
      </w:r>
      <w:r w:rsidRPr="002F1769">
        <w:rPr>
          <w:rStyle w:val="Strong"/>
          <w:rFonts w:asciiTheme="majorBidi" w:hAnsiTheme="majorBidi" w:cstheme="majorBidi"/>
          <w:b w:val="0"/>
          <w:bCs w:val="0"/>
          <w:sz w:val="26"/>
          <w:szCs w:val="26"/>
        </w:rPr>
        <w:t>Jordan River</w:t>
      </w:r>
      <w:r w:rsidRPr="002F1769">
        <w:rPr>
          <w:rFonts w:asciiTheme="majorBidi" w:hAnsiTheme="majorBidi" w:cstheme="majorBidi"/>
          <w:sz w:val="26"/>
          <w:szCs w:val="26"/>
        </w:rPr>
        <w:t xml:space="preserve"> without </w:t>
      </w:r>
      <w:r w:rsidR="00DF5D5C" w:rsidRPr="002F1769">
        <w:rPr>
          <w:rFonts w:asciiTheme="majorBidi" w:hAnsiTheme="majorBidi" w:cstheme="majorBidi"/>
          <w:sz w:val="26"/>
          <w:szCs w:val="26"/>
        </w:rPr>
        <w:t xml:space="preserve">the </w:t>
      </w:r>
      <w:r w:rsidRPr="002F1769">
        <w:rPr>
          <w:rFonts w:asciiTheme="majorBidi" w:hAnsiTheme="majorBidi" w:cstheme="majorBidi"/>
          <w:sz w:val="26"/>
          <w:szCs w:val="26"/>
        </w:rPr>
        <w:t xml:space="preserve">Palestinian </w:t>
      </w:r>
      <w:r w:rsidR="00DF5D5C" w:rsidRPr="002F1769">
        <w:rPr>
          <w:rFonts w:asciiTheme="majorBidi" w:hAnsiTheme="majorBidi" w:cstheme="majorBidi"/>
          <w:sz w:val="26"/>
          <w:szCs w:val="26"/>
        </w:rPr>
        <w:t xml:space="preserve">being able to </w:t>
      </w:r>
      <w:r w:rsidRPr="002F1769">
        <w:rPr>
          <w:rFonts w:asciiTheme="majorBidi" w:hAnsiTheme="majorBidi" w:cstheme="majorBidi"/>
          <w:sz w:val="26"/>
          <w:szCs w:val="26"/>
        </w:rPr>
        <w:t>benefit</w:t>
      </w:r>
      <w:r w:rsidR="00DF5D5C" w:rsidRPr="002F1769">
        <w:rPr>
          <w:rFonts w:asciiTheme="majorBidi" w:hAnsiTheme="majorBidi" w:cstheme="majorBidi"/>
          <w:sz w:val="26"/>
          <w:szCs w:val="26"/>
        </w:rPr>
        <w:t xml:space="preserve"> from it</w:t>
      </w:r>
      <w:r w:rsidRPr="002F1769">
        <w:rPr>
          <w:rFonts w:asciiTheme="majorBidi" w:hAnsiTheme="majorBidi" w:cstheme="majorBidi"/>
          <w:sz w:val="26"/>
          <w:szCs w:val="26"/>
        </w:rPr>
        <w:t>.</w:t>
      </w:r>
    </w:p>
    <w:p w14:paraId="7357C464" w14:textId="6B1FC50D" w:rsidR="00E96C46" w:rsidRPr="002F1769" w:rsidRDefault="00E96C46" w:rsidP="004E087A">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This reality has created a water crisis experienced by the Palestinian people in general. Data show a clear numerical convergence between males and females, with females making up approximately half of Palestinian society </w:t>
      </w:r>
      <w:r w:rsidR="004E087A" w:rsidRPr="002F1769">
        <w:rPr>
          <w:rFonts w:asciiTheme="majorBidi" w:hAnsiTheme="majorBidi" w:cstheme="majorBidi"/>
          <w:sz w:val="26"/>
          <w:szCs w:val="26"/>
        </w:rPr>
        <w:t>(</w:t>
      </w:r>
      <w:r w:rsidRPr="002F1769">
        <w:rPr>
          <w:rFonts w:asciiTheme="majorBidi" w:hAnsiTheme="majorBidi" w:cstheme="majorBidi"/>
          <w:sz w:val="26"/>
          <w:szCs w:val="26"/>
        </w:rPr>
        <w:t>49%</w:t>
      </w:r>
      <w:r w:rsidR="004E087A" w:rsidRPr="002F1769">
        <w:rPr>
          <w:rFonts w:asciiTheme="majorBidi" w:hAnsiTheme="majorBidi" w:cstheme="majorBidi"/>
          <w:sz w:val="26"/>
          <w:szCs w:val="26"/>
        </w:rPr>
        <w:t>)</w:t>
      </w:r>
      <w:r w:rsidRPr="002F1769">
        <w:rPr>
          <w:rFonts w:asciiTheme="majorBidi" w:hAnsiTheme="majorBidi" w:cstheme="majorBidi"/>
          <w:sz w:val="26"/>
          <w:szCs w:val="26"/>
        </w:rPr>
        <w:t xml:space="preserve">. Despite this numerical parity, the effects of water scarcity and the deterioration of water services are not distributed equally between the sexes. Social and economic roles play a decisive role in determining who bears the greatest burden </w:t>
      </w:r>
      <w:r w:rsidR="004E087A" w:rsidRPr="002F1769">
        <w:rPr>
          <w:rFonts w:asciiTheme="majorBidi" w:hAnsiTheme="majorBidi" w:cstheme="majorBidi"/>
          <w:sz w:val="26"/>
          <w:szCs w:val="26"/>
        </w:rPr>
        <w:t xml:space="preserve">of </w:t>
      </w:r>
      <w:r w:rsidRPr="002F1769">
        <w:rPr>
          <w:rFonts w:asciiTheme="majorBidi" w:hAnsiTheme="majorBidi" w:cstheme="majorBidi"/>
          <w:sz w:val="26"/>
          <w:szCs w:val="26"/>
        </w:rPr>
        <w:t xml:space="preserve">managing water resources within the </w:t>
      </w:r>
      <w:r w:rsidR="004F4B17" w:rsidRPr="002F1769">
        <w:rPr>
          <w:rFonts w:asciiTheme="majorBidi" w:hAnsiTheme="majorBidi" w:cstheme="majorBidi"/>
          <w:sz w:val="26"/>
          <w:szCs w:val="26"/>
        </w:rPr>
        <w:t xml:space="preserve">household </w:t>
      </w:r>
      <w:r w:rsidRPr="002F1769">
        <w:rPr>
          <w:rFonts w:asciiTheme="majorBidi" w:hAnsiTheme="majorBidi" w:cstheme="majorBidi"/>
          <w:sz w:val="26"/>
          <w:szCs w:val="26"/>
        </w:rPr>
        <w:t>and community, placing women at the forefront of dealing with the effects of water scarcity and the irregularity of its services. Furthermore, the geographical disparity between regions and the relative dependence of some local communities on agricultural activities are all factors that amplify the gender impact of the water crisis.</w:t>
      </w:r>
    </w:p>
    <w:p w14:paraId="5D254901" w14:textId="77777777" w:rsidR="000F5EB1" w:rsidRPr="002F1769" w:rsidRDefault="000F5EB1" w:rsidP="000F5EB1">
      <w:pPr>
        <w:pStyle w:val="Heading3"/>
        <w:rPr>
          <w:sz w:val="26"/>
          <w:szCs w:val="26"/>
        </w:rPr>
      </w:pPr>
      <w:r w:rsidRPr="002F1769">
        <w:rPr>
          <w:sz w:val="26"/>
          <w:szCs w:val="26"/>
        </w:rPr>
        <w:t>61.5% of Women in the West Bank Do Not Reach the Minimum Recommended Daily Water Share</w:t>
      </w:r>
    </w:p>
    <w:p w14:paraId="5C116875" w14:textId="3CD7691A" w:rsidR="0065526A" w:rsidRPr="002F1769" w:rsidRDefault="0065526A" w:rsidP="00E309E0">
      <w:pPr>
        <w:pStyle w:val="NormalWeb"/>
        <w:jc w:val="both"/>
        <w:rPr>
          <w:rFonts w:asciiTheme="majorBidi" w:hAnsiTheme="majorBidi" w:cstheme="majorBidi"/>
          <w:sz w:val="26"/>
          <w:szCs w:val="26"/>
        </w:rPr>
      </w:pPr>
      <w:r w:rsidRPr="002F1769">
        <w:rPr>
          <w:rFonts w:asciiTheme="majorBidi" w:hAnsiTheme="majorBidi" w:cstheme="majorBidi"/>
          <w:sz w:val="26"/>
          <w:szCs w:val="26"/>
        </w:rPr>
        <w:t>Data indicate that the number of females living in governorates</w:t>
      </w:r>
      <w:r w:rsidR="002049D7" w:rsidRPr="002F1769">
        <w:rPr>
          <w:rFonts w:asciiTheme="majorBidi" w:hAnsiTheme="majorBidi" w:cstheme="majorBidi"/>
          <w:sz w:val="26"/>
          <w:szCs w:val="26"/>
        </w:rPr>
        <w:t>,</w:t>
      </w:r>
      <w:r w:rsidRPr="002F1769">
        <w:rPr>
          <w:rFonts w:asciiTheme="majorBidi" w:hAnsiTheme="majorBidi" w:cstheme="majorBidi"/>
          <w:sz w:val="26"/>
          <w:szCs w:val="26"/>
        </w:rPr>
        <w:t xml:space="preserve"> where the </w:t>
      </w:r>
      <w:r w:rsidRPr="002F1769">
        <w:rPr>
          <w:rStyle w:val="Strong"/>
          <w:rFonts w:asciiTheme="majorBidi" w:hAnsiTheme="majorBidi" w:cstheme="majorBidi"/>
          <w:b w:val="0"/>
          <w:bCs w:val="0"/>
          <w:sz w:val="26"/>
          <w:szCs w:val="26"/>
        </w:rPr>
        <w:t>minimum globally recommended daily water share of 100 liters per person per day</w:t>
      </w:r>
      <w:r w:rsidRPr="002F1769">
        <w:rPr>
          <w:rFonts w:asciiTheme="majorBidi" w:hAnsiTheme="majorBidi" w:cstheme="majorBidi"/>
          <w:sz w:val="26"/>
          <w:szCs w:val="26"/>
        </w:rPr>
        <w:t xml:space="preserve"> is not </w:t>
      </w:r>
      <w:r w:rsidR="00E309E0" w:rsidRPr="002F1769">
        <w:rPr>
          <w:rFonts w:asciiTheme="majorBidi" w:hAnsiTheme="majorBidi" w:cstheme="majorBidi"/>
          <w:sz w:val="26"/>
          <w:szCs w:val="26"/>
        </w:rPr>
        <w:t>met</w:t>
      </w:r>
      <w:r w:rsidR="002049D7" w:rsidRPr="002F1769">
        <w:rPr>
          <w:rFonts w:asciiTheme="majorBidi" w:hAnsiTheme="majorBidi" w:cstheme="majorBidi"/>
          <w:sz w:val="26"/>
          <w:szCs w:val="26"/>
        </w:rPr>
        <w:t>,</w:t>
      </w:r>
      <w:r w:rsidRPr="002F1769">
        <w:rPr>
          <w:rFonts w:asciiTheme="majorBidi" w:hAnsiTheme="majorBidi" w:cstheme="majorBidi"/>
          <w:sz w:val="26"/>
          <w:szCs w:val="26"/>
        </w:rPr>
        <w:t xml:space="preserve"> amounts to </w:t>
      </w:r>
      <w:r w:rsidRPr="002F1769">
        <w:rPr>
          <w:rStyle w:val="Strong"/>
          <w:rFonts w:asciiTheme="majorBidi" w:hAnsiTheme="majorBidi" w:cstheme="majorBidi"/>
          <w:b w:val="0"/>
          <w:bCs w:val="0"/>
          <w:sz w:val="26"/>
          <w:szCs w:val="26"/>
        </w:rPr>
        <w:t>1,014,000 females</w:t>
      </w:r>
      <w:r w:rsidRPr="002F1769">
        <w:rPr>
          <w:rFonts w:asciiTheme="majorBidi" w:hAnsiTheme="majorBidi" w:cstheme="majorBidi"/>
          <w:sz w:val="26"/>
          <w:szCs w:val="26"/>
        </w:rPr>
        <w:t xml:space="preserve">, representing </w:t>
      </w:r>
      <w:r w:rsidRPr="002F1769">
        <w:rPr>
          <w:rStyle w:val="Strong"/>
          <w:rFonts w:asciiTheme="majorBidi" w:hAnsiTheme="majorBidi" w:cstheme="majorBidi"/>
          <w:b w:val="0"/>
          <w:bCs w:val="0"/>
          <w:sz w:val="26"/>
          <w:szCs w:val="26"/>
        </w:rPr>
        <w:t>61.5% of the total female population in the West Bank</w:t>
      </w:r>
      <w:r w:rsidRPr="002F1769">
        <w:rPr>
          <w:rFonts w:asciiTheme="majorBidi" w:hAnsiTheme="majorBidi" w:cstheme="majorBidi"/>
          <w:sz w:val="26"/>
          <w:szCs w:val="26"/>
        </w:rPr>
        <w:t>. If the conditions of displaced persons from camps were taken into consideration, this percentage would be even higher.</w:t>
      </w:r>
    </w:p>
    <w:p w14:paraId="7A6E98AE" w14:textId="2EE7DB25" w:rsidR="000F5EB1" w:rsidRPr="002F1769" w:rsidRDefault="000F5EB1" w:rsidP="002049D7">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Women traditionally bear responsibilities for </w:t>
      </w:r>
      <w:r w:rsidRPr="002F1769">
        <w:rPr>
          <w:rStyle w:val="Strong"/>
          <w:rFonts w:asciiTheme="majorBidi" w:hAnsiTheme="majorBidi" w:cstheme="majorBidi"/>
          <w:b w:val="0"/>
          <w:bCs w:val="0"/>
          <w:sz w:val="26"/>
          <w:szCs w:val="26"/>
        </w:rPr>
        <w:t>household management</w:t>
      </w:r>
      <w:r w:rsidRPr="002F1769">
        <w:rPr>
          <w:rFonts w:asciiTheme="majorBidi" w:hAnsiTheme="majorBidi" w:cstheme="majorBidi"/>
          <w:sz w:val="26"/>
          <w:szCs w:val="26"/>
        </w:rPr>
        <w:t xml:space="preserve">, including securing water, storing it, rationalizing its use, and ensuring the continuity of activities related to cooking, hygiene, and the health care of children and the elderly. When water becomes </w:t>
      </w:r>
      <w:r w:rsidRPr="002F1769">
        <w:rPr>
          <w:rStyle w:val="Strong"/>
          <w:rFonts w:asciiTheme="majorBidi" w:hAnsiTheme="majorBidi" w:cstheme="majorBidi"/>
          <w:b w:val="0"/>
          <w:bCs w:val="0"/>
          <w:sz w:val="26"/>
          <w:szCs w:val="26"/>
        </w:rPr>
        <w:t>scarce, intermittent, or expensive</w:t>
      </w:r>
      <w:r w:rsidRPr="002F1769">
        <w:rPr>
          <w:rFonts w:asciiTheme="majorBidi" w:hAnsiTheme="majorBidi" w:cstheme="majorBidi"/>
          <w:sz w:val="26"/>
          <w:szCs w:val="26"/>
        </w:rPr>
        <w:t xml:space="preserve">, these responsibilities </w:t>
      </w:r>
      <w:r w:rsidR="002049D7" w:rsidRPr="002F1769">
        <w:rPr>
          <w:rFonts w:asciiTheme="majorBidi" w:hAnsiTheme="majorBidi" w:cstheme="majorBidi"/>
          <w:sz w:val="26"/>
          <w:szCs w:val="26"/>
        </w:rPr>
        <w:t>become</w:t>
      </w:r>
      <w:r w:rsidRPr="002F1769">
        <w:rPr>
          <w:rFonts w:asciiTheme="majorBidi" w:hAnsiTheme="majorBidi" w:cstheme="majorBidi"/>
          <w:sz w:val="26"/>
          <w:szCs w:val="26"/>
        </w:rPr>
        <w:t xml:space="preserve"> a </w:t>
      </w:r>
      <w:r w:rsidRPr="002F1769">
        <w:rPr>
          <w:rStyle w:val="Strong"/>
          <w:rFonts w:asciiTheme="majorBidi" w:hAnsiTheme="majorBidi" w:cstheme="majorBidi"/>
          <w:b w:val="0"/>
          <w:bCs w:val="0"/>
          <w:sz w:val="26"/>
          <w:szCs w:val="26"/>
        </w:rPr>
        <w:t>compound daily burden</w:t>
      </w:r>
      <w:r w:rsidRPr="002F1769">
        <w:rPr>
          <w:rFonts w:asciiTheme="majorBidi" w:hAnsiTheme="majorBidi" w:cstheme="majorBidi"/>
          <w:sz w:val="26"/>
          <w:szCs w:val="26"/>
        </w:rPr>
        <w:t>, combining physical, psychological, and economic pressure.</w:t>
      </w:r>
    </w:p>
    <w:p w14:paraId="7FE44BEF" w14:textId="0F593888" w:rsidR="000F5EB1" w:rsidRPr="002F1769" w:rsidRDefault="000F5EB1" w:rsidP="00E309E0">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Control over water resources and restrictions on agricultural development do not only affect the macro-economy but also directly impact </w:t>
      </w:r>
      <w:r w:rsidRPr="002F1769">
        <w:rPr>
          <w:rStyle w:val="Strong"/>
          <w:rFonts w:asciiTheme="majorBidi" w:hAnsiTheme="majorBidi" w:cstheme="majorBidi"/>
          <w:b w:val="0"/>
          <w:bCs w:val="0"/>
          <w:sz w:val="26"/>
          <w:szCs w:val="26"/>
        </w:rPr>
        <w:t>women farmers</w:t>
      </w:r>
      <w:r w:rsidRPr="002F1769">
        <w:rPr>
          <w:rFonts w:asciiTheme="majorBidi" w:hAnsiTheme="majorBidi" w:cstheme="majorBidi"/>
          <w:sz w:val="26"/>
          <w:szCs w:val="26"/>
        </w:rPr>
        <w:t xml:space="preserve">, employment opportunities, and household production. This deepens </w:t>
      </w:r>
      <w:r w:rsidRPr="002F1769">
        <w:rPr>
          <w:rStyle w:val="Strong"/>
          <w:rFonts w:asciiTheme="majorBidi" w:hAnsiTheme="majorBidi" w:cstheme="majorBidi"/>
          <w:b w:val="0"/>
          <w:bCs w:val="0"/>
          <w:sz w:val="26"/>
          <w:szCs w:val="26"/>
        </w:rPr>
        <w:t>income gaps</w:t>
      </w:r>
      <w:r w:rsidRPr="002F1769">
        <w:rPr>
          <w:rFonts w:asciiTheme="majorBidi" w:hAnsiTheme="majorBidi" w:cstheme="majorBidi"/>
          <w:sz w:val="26"/>
          <w:szCs w:val="26"/>
        </w:rPr>
        <w:t xml:space="preserve"> and increases the vulnerability of households headed by women. In marginalized areas and </w:t>
      </w:r>
      <w:r w:rsidRPr="002F1769">
        <w:rPr>
          <w:rStyle w:val="Strong"/>
          <w:rFonts w:asciiTheme="majorBidi" w:hAnsiTheme="majorBidi" w:cstheme="majorBidi"/>
          <w:b w:val="0"/>
          <w:bCs w:val="0"/>
          <w:sz w:val="26"/>
          <w:szCs w:val="26"/>
        </w:rPr>
        <w:t>Area C</w:t>
      </w:r>
      <w:r w:rsidRPr="002F1769">
        <w:rPr>
          <w:rFonts w:asciiTheme="majorBidi" w:hAnsiTheme="majorBidi" w:cstheme="majorBidi"/>
          <w:sz w:val="26"/>
          <w:szCs w:val="26"/>
        </w:rPr>
        <w:t xml:space="preserve">, where residents rely on </w:t>
      </w:r>
      <w:r w:rsidRPr="002F1769">
        <w:rPr>
          <w:rStyle w:val="Strong"/>
          <w:rFonts w:asciiTheme="majorBidi" w:hAnsiTheme="majorBidi" w:cstheme="majorBidi"/>
          <w:b w:val="0"/>
          <w:bCs w:val="0"/>
          <w:sz w:val="26"/>
          <w:szCs w:val="26"/>
        </w:rPr>
        <w:t>water tankers</w:t>
      </w:r>
      <w:r w:rsidRPr="002F1769">
        <w:rPr>
          <w:rFonts w:asciiTheme="majorBidi" w:hAnsiTheme="majorBidi" w:cstheme="majorBidi"/>
          <w:sz w:val="26"/>
          <w:szCs w:val="26"/>
        </w:rPr>
        <w:t xml:space="preserve">, the financial burden on </w:t>
      </w:r>
      <w:r w:rsidR="00EA6E33" w:rsidRPr="002F1769">
        <w:rPr>
          <w:rFonts w:asciiTheme="majorBidi" w:hAnsiTheme="majorBidi" w:cstheme="majorBidi"/>
          <w:sz w:val="26"/>
          <w:szCs w:val="26"/>
        </w:rPr>
        <w:t>households</w:t>
      </w:r>
      <w:r w:rsidRPr="002F1769">
        <w:rPr>
          <w:rFonts w:asciiTheme="majorBidi" w:hAnsiTheme="majorBidi" w:cstheme="majorBidi"/>
          <w:sz w:val="26"/>
          <w:szCs w:val="26"/>
        </w:rPr>
        <w:t xml:space="preserve"> increases significantly. Women are often </w:t>
      </w:r>
      <w:r w:rsidRPr="002F1769">
        <w:rPr>
          <w:rFonts w:asciiTheme="majorBidi" w:hAnsiTheme="majorBidi" w:cstheme="majorBidi"/>
          <w:sz w:val="26"/>
          <w:szCs w:val="26"/>
        </w:rPr>
        <w:lastRenderedPageBreak/>
        <w:t xml:space="preserve">forced to </w:t>
      </w:r>
      <w:r w:rsidRPr="002F1769">
        <w:rPr>
          <w:rStyle w:val="Strong"/>
          <w:rFonts w:asciiTheme="majorBidi" w:hAnsiTheme="majorBidi" w:cstheme="majorBidi"/>
          <w:b w:val="0"/>
          <w:bCs w:val="0"/>
          <w:sz w:val="26"/>
          <w:szCs w:val="26"/>
        </w:rPr>
        <w:t>reduce water consumption allocated for their personal needs</w:t>
      </w:r>
      <w:r w:rsidRPr="002F1769">
        <w:rPr>
          <w:rFonts w:asciiTheme="majorBidi" w:hAnsiTheme="majorBidi" w:cstheme="majorBidi"/>
          <w:sz w:val="26"/>
          <w:szCs w:val="26"/>
        </w:rPr>
        <w:t xml:space="preserve"> in order to preserve the minimum requirements of the </w:t>
      </w:r>
      <w:r w:rsidR="00E309E0" w:rsidRPr="002F1769">
        <w:rPr>
          <w:rFonts w:asciiTheme="majorBidi" w:hAnsiTheme="majorBidi" w:cstheme="majorBidi"/>
          <w:sz w:val="26"/>
          <w:szCs w:val="26"/>
        </w:rPr>
        <w:t>household</w:t>
      </w:r>
      <w:r w:rsidRPr="002F1769">
        <w:rPr>
          <w:rFonts w:asciiTheme="majorBidi" w:hAnsiTheme="majorBidi" w:cstheme="majorBidi"/>
          <w:sz w:val="26"/>
          <w:szCs w:val="26"/>
        </w:rPr>
        <w:t>.</w:t>
      </w:r>
    </w:p>
    <w:p w14:paraId="0F176B84" w14:textId="77777777" w:rsidR="00F871CE" w:rsidRPr="002F1769" w:rsidRDefault="00F871CE" w:rsidP="00F871CE">
      <w:pPr>
        <w:pStyle w:val="Heading3"/>
        <w:rPr>
          <w:sz w:val="26"/>
          <w:szCs w:val="26"/>
        </w:rPr>
      </w:pPr>
      <w:r w:rsidRPr="002F1769">
        <w:rPr>
          <w:sz w:val="26"/>
          <w:szCs w:val="26"/>
        </w:rPr>
        <w:t>The Young Population Structure in the West Bank Increases Demand for Water and Sanitation Services</w:t>
      </w:r>
    </w:p>
    <w:p w14:paraId="108454D0" w14:textId="77777777" w:rsidR="00F871CE" w:rsidRPr="002F1769" w:rsidRDefault="00F871CE" w:rsidP="00F871CE">
      <w:pPr>
        <w:pStyle w:val="NormalWeb"/>
        <w:jc w:val="both"/>
        <w:rPr>
          <w:rFonts w:asciiTheme="majorBidi" w:hAnsiTheme="majorBidi" w:cstheme="majorBidi"/>
          <w:sz w:val="26"/>
          <w:szCs w:val="26"/>
        </w:rPr>
      </w:pPr>
      <w:r w:rsidRPr="002F1769">
        <w:rPr>
          <w:rFonts w:asciiTheme="majorBidi" w:hAnsiTheme="majorBidi" w:cstheme="majorBidi"/>
          <w:sz w:val="26"/>
          <w:szCs w:val="26"/>
        </w:rPr>
        <w:t>An analysis of the age composition of the population reveals that the society in the West Bank is characterized by being a relatively young community. This age structure means that the demand for water services is not only linked to population size, but also to the nature of needs associated with health, education, and household care. The high proportion of children increases the need for safe water in homes, schools, and health facilities, and also raises the community's vulnerability to water and sanitation-related diseases. This makes the regularity and quality of water services a fundamental matter for public health and social development.</w:t>
      </w:r>
    </w:p>
    <w:tbl>
      <w:tblPr>
        <w:tblStyle w:val="PlainTable1"/>
        <w:tblW w:w="0" w:type="auto"/>
        <w:tblInd w:w="2504" w:type="dxa"/>
        <w:tblLook w:val="04A0" w:firstRow="1" w:lastRow="0" w:firstColumn="1" w:lastColumn="0" w:noHBand="0" w:noVBand="1"/>
      </w:tblPr>
      <w:tblGrid>
        <w:gridCol w:w="1205"/>
        <w:gridCol w:w="996"/>
        <w:gridCol w:w="996"/>
        <w:gridCol w:w="1356"/>
      </w:tblGrid>
      <w:tr w:rsidR="00460BAF" w:rsidRPr="00460BAF" w14:paraId="234F67DB" w14:textId="77777777" w:rsidTr="002F1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hideMark/>
          </w:tcPr>
          <w:p w14:paraId="248DB56D" w14:textId="77777777" w:rsidR="00460BAF" w:rsidRPr="00460BAF" w:rsidRDefault="00460BAF" w:rsidP="00460BAF">
            <w:pPr>
              <w:bidi w:val="0"/>
              <w:jc w:val="center"/>
              <w:rPr>
                <w:rFonts w:asciiTheme="majorBidi" w:hAnsiTheme="majorBidi" w:cstheme="majorBidi"/>
                <w:sz w:val="18"/>
                <w:szCs w:val="18"/>
                <w:lang w:eastAsia="en-US"/>
              </w:rPr>
            </w:pPr>
            <w:r w:rsidRPr="00460BAF">
              <w:rPr>
                <w:rFonts w:asciiTheme="majorBidi" w:hAnsiTheme="majorBidi" w:cstheme="majorBidi"/>
                <w:sz w:val="18"/>
                <w:szCs w:val="18"/>
                <w:lang w:eastAsia="en-US"/>
              </w:rPr>
              <w:t>Social Group</w:t>
            </w:r>
          </w:p>
        </w:tc>
        <w:tc>
          <w:tcPr>
            <w:tcW w:w="996" w:type="dxa"/>
            <w:hideMark/>
          </w:tcPr>
          <w:p w14:paraId="6B75EE56" w14:textId="77777777" w:rsidR="00460BAF" w:rsidRPr="00460BAF" w:rsidRDefault="00460BAF" w:rsidP="00460BAF">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Estimated %</w:t>
            </w:r>
          </w:p>
        </w:tc>
        <w:tc>
          <w:tcPr>
            <w:tcW w:w="996" w:type="dxa"/>
            <w:hideMark/>
          </w:tcPr>
          <w:p w14:paraId="26454DFB" w14:textId="77777777" w:rsidR="00460BAF" w:rsidRPr="00460BAF" w:rsidRDefault="00460BAF" w:rsidP="00460BAF">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Estimated Number (End of 2025)</w:t>
            </w:r>
          </w:p>
        </w:tc>
        <w:tc>
          <w:tcPr>
            <w:tcW w:w="1356" w:type="dxa"/>
            <w:hideMark/>
          </w:tcPr>
          <w:p w14:paraId="4BCD7006" w14:textId="77777777" w:rsidR="00460BAF" w:rsidRPr="00460BAF" w:rsidRDefault="00460BAF" w:rsidP="00460BAF">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Water Significance</w:t>
            </w:r>
          </w:p>
        </w:tc>
      </w:tr>
      <w:tr w:rsidR="00460BAF" w:rsidRPr="00460BAF" w14:paraId="7908B8B3" w14:textId="77777777" w:rsidTr="002F1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hideMark/>
          </w:tcPr>
          <w:p w14:paraId="384FEF96" w14:textId="77777777" w:rsidR="00460BAF" w:rsidRPr="00460BAF" w:rsidRDefault="00460BAF" w:rsidP="00460BAF">
            <w:pPr>
              <w:bidi w:val="0"/>
              <w:rPr>
                <w:rFonts w:asciiTheme="majorBidi" w:hAnsiTheme="majorBidi" w:cstheme="majorBidi"/>
                <w:sz w:val="18"/>
                <w:szCs w:val="18"/>
                <w:lang w:eastAsia="en-US"/>
              </w:rPr>
            </w:pPr>
            <w:r w:rsidRPr="00460BAF">
              <w:rPr>
                <w:rFonts w:asciiTheme="majorBidi" w:hAnsiTheme="majorBidi" w:cstheme="majorBidi"/>
                <w:sz w:val="18"/>
                <w:szCs w:val="18"/>
                <w:lang w:eastAsia="en-US"/>
              </w:rPr>
              <w:t>Children (under 15)</w:t>
            </w:r>
          </w:p>
        </w:tc>
        <w:tc>
          <w:tcPr>
            <w:tcW w:w="996" w:type="dxa"/>
            <w:hideMark/>
          </w:tcPr>
          <w:p w14:paraId="6DA71BB7"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34.5%</w:t>
            </w:r>
          </w:p>
        </w:tc>
        <w:tc>
          <w:tcPr>
            <w:tcW w:w="996" w:type="dxa"/>
            <w:hideMark/>
          </w:tcPr>
          <w:p w14:paraId="3EDF2D99"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1,183,370</w:t>
            </w:r>
          </w:p>
        </w:tc>
        <w:tc>
          <w:tcPr>
            <w:tcW w:w="1356" w:type="dxa"/>
            <w:hideMark/>
          </w:tcPr>
          <w:p w14:paraId="12E512A3"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High vulnerability to water-borne diseases; need for water in schools</w:t>
            </w:r>
          </w:p>
        </w:tc>
      </w:tr>
      <w:tr w:rsidR="00460BAF" w:rsidRPr="00460BAF" w14:paraId="23092694" w14:textId="77777777" w:rsidTr="002F1769">
        <w:tc>
          <w:tcPr>
            <w:cnfStyle w:val="001000000000" w:firstRow="0" w:lastRow="0" w:firstColumn="1" w:lastColumn="0" w:oddVBand="0" w:evenVBand="0" w:oddHBand="0" w:evenHBand="0" w:firstRowFirstColumn="0" w:firstRowLastColumn="0" w:lastRowFirstColumn="0" w:lastRowLastColumn="0"/>
            <w:tcW w:w="1205" w:type="dxa"/>
            <w:hideMark/>
          </w:tcPr>
          <w:p w14:paraId="5EA2A1CA" w14:textId="77777777" w:rsidR="00460BAF" w:rsidRPr="00460BAF" w:rsidRDefault="00460BAF" w:rsidP="00460BAF">
            <w:pPr>
              <w:bidi w:val="0"/>
              <w:rPr>
                <w:rFonts w:asciiTheme="majorBidi" w:hAnsiTheme="majorBidi" w:cstheme="majorBidi"/>
                <w:sz w:val="18"/>
                <w:szCs w:val="18"/>
                <w:lang w:eastAsia="en-US"/>
              </w:rPr>
            </w:pPr>
            <w:r w:rsidRPr="00460BAF">
              <w:rPr>
                <w:rFonts w:asciiTheme="majorBidi" w:hAnsiTheme="majorBidi" w:cstheme="majorBidi"/>
                <w:sz w:val="18"/>
                <w:szCs w:val="18"/>
                <w:lang w:eastAsia="en-US"/>
              </w:rPr>
              <w:t>Women of reproductive age</w:t>
            </w:r>
          </w:p>
        </w:tc>
        <w:tc>
          <w:tcPr>
            <w:tcW w:w="996" w:type="dxa"/>
            <w:hideMark/>
          </w:tcPr>
          <w:p w14:paraId="2025987A"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24%</w:t>
            </w:r>
          </w:p>
        </w:tc>
        <w:tc>
          <w:tcPr>
            <w:tcW w:w="996" w:type="dxa"/>
            <w:hideMark/>
          </w:tcPr>
          <w:p w14:paraId="5D574ED8"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823,215</w:t>
            </w:r>
          </w:p>
        </w:tc>
        <w:tc>
          <w:tcPr>
            <w:tcW w:w="1356" w:type="dxa"/>
            <w:hideMark/>
          </w:tcPr>
          <w:p w14:paraId="79789C17"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Special hygiene and sanitation needs</w:t>
            </w:r>
          </w:p>
        </w:tc>
      </w:tr>
      <w:tr w:rsidR="00460BAF" w:rsidRPr="00460BAF" w14:paraId="636FE91E" w14:textId="77777777" w:rsidTr="002F1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hideMark/>
          </w:tcPr>
          <w:p w14:paraId="3119B7EF" w14:textId="77777777" w:rsidR="00460BAF" w:rsidRPr="00460BAF" w:rsidRDefault="00460BAF" w:rsidP="00460BAF">
            <w:pPr>
              <w:bidi w:val="0"/>
              <w:rPr>
                <w:rFonts w:asciiTheme="majorBidi" w:hAnsiTheme="majorBidi" w:cstheme="majorBidi"/>
                <w:sz w:val="18"/>
                <w:szCs w:val="18"/>
                <w:lang w:eastAsia="en-US"/>
              </w:rPr>
            </w:pPr>
            <w:r w:rsidRPr="00460BAF">
              <w:rPr>
                <w:rFonts w:asciiTheme="majorBidi" w:hAnsiTheme="majorBidi" w:cstheme="majorBidi"/>
                <w:sz w:val="18"/>
                <w:szCs w:val="18"/>
                <w:lang w:eastAsia="en-US"/>
              </w:rPr>
              <w:t>People with disabilities</w:t>
            </w:r>
          </w:p>
        </w:tc>
        <w:tc>
          <w:tcPr>
            <w:tcW w:w="996" w:type="dxa"/>
            <w:hideMark/>
          </w:tcPr>
          <w:p w14:paraId="42B22032"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5.8%*</w:t>
            </w:r>
          </w:p>
        </w:tc>
        <w:tc>
          <w:tcPr>
            <w:tcW w:w="996" w:type="dxa"/>
            <w:hideMark/>
          </w:tcPr>
          <w:p w14:paraId="4689E5DF"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198,943</w:t>
            </w:r>
          </w:p>
        </w:tc>
        <w:tc>
          <w:tcPr>
            <w:tcW w:w="1356" w:type="dxa"/>
            <w:hideMark/>
          </w:tcPr>
          <w:p w14:paraId="33446F55"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Difficulty accessing alternative water sources (tankers)</w:t>
            </w:r>
          </w:p>
        </w:tc>
      </w:tr>
      <w:tr w:rsidR="00460BAF" w:rsidRPr="00460BAF" w14:paraId="6B785D18" w14:textId="77777777" w:rsidTr="002F1769">
        <w:tc>
          <w:tcPr>
            <w:cnfStyle w:val="001000000000" w:firstRow="0" w:lastRow="0" w:firstColumn="1" w:lastColumn="0" w:oddVBand="0" w:evenVBand="0" w:oddHBand="0" w:evenHBand="0" w:firstRowFirstColumn="0" w:firstRowLastColumn="0" w:lastRowFirstColumn="0" w:lastRowLastColumn="0"/>
            <w:tcW w:w="1205" w:type="dxa"/>
            <w:hideMark/>
          </w:tcPr>
          <w:p w14:paraId="574F0A8D" w14:textId="77777777" w:rsidR="00460BAF" w:rsidRPr="00460BAF" w:rsidRDefault="00460BAF" w:rsidP="00460BAF">
            <w:pPr>
              <w:bidi w:val="0"/>
              <w:rPr>
                <w:rFonts w:asciiTheme="majorBidi" w:hAnsiTheme="majorBidi" w:cstheme="majorBidi"/>
                <w:sz w:val="18"/>
                <w:szCs w:val="18"/>
                <w:lang w:eastAsia="en-US"/>
              </w:rPr>
            </w:pPr>
            <w:r w:rsidRPr="00460BAF">
              <w:rPr>
                <w:rFonts w:asciiTheme="majorBidi" w:hAnsiTheme="majorBidi" w:cstheme="majorBidi"/>
                <w:sz w:val="18"/>
                <w:szCs w:val="18"/>
                <w:lang w:eastAsia="en-US"/>
              </w:rPr>
              <w:t>Female farmers &amp; rural women</w:t>
            </w:r>
          </w:p>
        </w:tc>
        <w:tc>
          <w:tcPr>
            <w:tcW w:w="996" w:type="dxa"/>
            <w:hideMark/>
          </w:tcPr>
          <w:p w14:paraId="0E549738"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13%*</w:t>
            </w:r>
          </w:p>
        </w:tc>
        <w:tc>
          <w:tcPr>
            <w:tcW w:w="996" w:type="dxa"/>
            <w:hideMark/>
          </w:tcPr>
          <w:p w14:paraId="5E3A0A92"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445,908</w:t>
            </w:r>
          </w:p>
        </w:tc>
        <w:tc>
          <w:tcPr>
            <w:tcW w:w="1356" w:type="dxa"/>
            <w:hideMark/>
          </w:tcPr>
          <w:p w14:paraId="73B46AF6" w14:textId="77777777" w:rsidR="00460BAF" w:rsidRPr="00460BAF" w:rsidRDefault="00460BAF" w:rsidP="00460BAF">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Direct link between water availability, food security, and economic empowerment</w:t>
            </w:r>
          </w:p>
        </w:tc>
      </w:tr>
      <w:tr w:rsidR="00460BAF" w:rsidRPr="00460BAF" w14:paraId="04970633" w14:textId="77777777" w:rsidTr="002F1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hideMark/>
          </w:tcPr>
          <w:p w14:paraId="03985A22" w14:textId="77777777" w:rsidR="00460BAF" w:rsidRPr="00460BAF" w:rsidRDefault="00460BAF" w:rsidP="00460BAF">
            <w:pPr>
              <w:bidi w:val="0"/>
              <w:rPr>
                <w:rFonts w:asciiTheme="majorBidi" w:hAnsiTheme="majorBidi" w:cstheme="majorBidi"/>
                <w:sz w:val="18"/>
                <w:szCs w:val="18"/>
                <w:lang w:eastAsia="en-US"/>
              </w:rPr>
            </w:pPr>
            <w:r w:rsidRPr="00460BAF">
              <w:rPr>
                <w:rFonts w:asciiTheme="majorBidi" w:hAnsiTheme="majorBidi" w:cstheme="majorBidi"/>
                <w:sz w:val="18"/>
                <w:szCs w:val="18"/>
                <w:lang w:eastAsia="en-US"/>
              </w:rPr>
              <w:t>Elderly (65+)</w:t>
            </w:r>
          </w:p>
        </w:tc>
        <w:tc>
          <w:tcPr>
            <w:tcW w:w="996" w:type="dxa"/>
            <w:hideMark/>
          </w:tcPr>
          <w:p w14:paraId="06C679EF"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3.7%</w:t>
            </w:r>
          </w:p>
        </w:tc>
        <w:tc>
          <w:tcPr>
            <w:tcW w:w="996" w:type="dxa"/>
            <w:hideMark/>
          </w:tcPr>
          <w:p w14:paraId="0740866B"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126,912</w:t>
            </w:r>
          </w:p>
        </w:tc>
        <w:tc>
          <w:tcPr>
            <w:tcW w:w="1356" w:type="dxa"/>
            <w:hideMark/>
          </w:tcPr>
          <w:p w14:paraId="51715A03" w14:textId="77777777" w:rsidR="00460BAF" w:rsidRPr="00460BAF" w:rsidRDefault="00460BAF" w:rsidP="00460BA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eastAsia="en-US"/>
              </w:rPr>
            </w:pPr>
            <w:r w:rsidRPr="00460BAF">
              <w:rPr>
                <w:rFonts w:asciiTheme="majorBidi" w:hAnsiTheme="majorBidi" w:cstheme="majorBidi"/>
                <w:sz w:val="18"/>
                <w:szCs w:val="18"/>
                <w:lang w:eastAsia="en-US"/>
              </w:rPr>
              <w:t>Home-based healthcare dependent on water availability</w:t>
            </w:r>
          </w:p>
        </w:tc>
      </w:tr>
    </w:tbl>
    <w:p w14:paraId="25C9AA27" w14:textId="5205E714" w:rsidR="000F5EB1" w:rsidRDefault="000F5EB1" w:rsidP="000F5EB1">
      <w:pPr>
        <w:bidi w:val="0"/>
        <w:jc w:val="both"/>
        <w:rPr>
          <w:rFonts w:asciiTheme="majorBidi" w:hAnsiTheme="majorBidi" w:cstheme="majorBidi"/>
          <w:sz w:val="22"/>
          <w:szCs w:val="22"/>
        </w:rPr>
      </w:pPr>
    </w:p>
    <w:p w14:paraId="1E6746D6" w14:textId="7B154366" w:rsidR="002F1769" w:rsidRDefault="002F1769" w:rsidP="00460BAF">
      <w:pPr>
        <w:pStyle w:val="Heading3"/>
        <w:rPr>
          <w:sz w:val="26"/>
          <w:szCs w:val="26"/>
        </w:rPr>
      </w:pPr>
    </w:p>
    <w:p w14:paraId="5A4A112C" w14:textId="79C7A114" w:rsidR="00460BAF" w:rsidRDefault="00460BAF" w:rsidP="00460BAF">
      <w:pPr>
        <w:pStyle w:val="Heading3"/>
        <w:rPr>
          <w:sz w:val="26"/>
          <w:szCs w:val="26"/>
        </w:rPr>
      </w:pPr>
      <w:r w:rsidRPr="002F1769">
        <w:rPr>
          <w:sz w:val="26"/>
          <w:szCs w:val="26"/>
        </w:rPr>
        <w:t>Displacement in the Northern West Bank and the Escalating Burdens on Women</w:t>
      </w:r>
    </w:p>
    <w:p w14:paraId="7A7B745F" w14:textId="77777777" w:rsidR="002F1769" w:rsidRPr="002F1769" w:rsidRDefault="002F1769" w:rsidP="002F1769"/>
    <w:p w14:paraId="6681A0EB" w14:textId="556CE126" w:rsidR="00460BAF" w:rsidRDefault="00460BAF" w:rsidP="00E309E0">
      <w:pPr>
        <w:bidi w:val="0"/>
        <w:jc w:val="both"/>
        <w:rPr>
          <w:rFonts w:asciiTheme="majorBidi" w:hAnsiTheme="majorBidi" w:cstheme="majorBidi"/>
          <w:sz w:val="26"/>
          <w:szCs w:val="26"/>
        </w:rPr>
      </w:pPr>
      <w:r w:rsidRPr="002F1769">
        <w:rPr>
          <w:rFonts w:asciiTheme="majorBidi" w:hAnsiTheme="majorBidi" w:cstheme="majorBidi"/>
          <w:sz w:val="26"/>
          <w:szCs w:val="26"/>
        </w:rPr>
        <w:t xml:space="preserve">Estimates indicate that by September 2025, at least 31,919 Palestinian refugees had been displaced from the camps of Jenin, Tulkarm, and Nur Shams as a result of </w:t>
      </w:r>
      <w:r w:rsidR="00E309E0" w:rsidRPr="002F1769">
        <w:rPr>
          <w:rFonts w:asciiTheme="majorBidi" w:hAnsiTheme="majorBidi" w:cstheme="majorBidi"/>
          <w:sz w:val="26"/>
          <w:szCs w:val="26"/>
        </w:rPr>
        <w:t xml:space="preserve">the </w:t>
      </w:r>
      <w:r w:rsidR="00497D78" w:rsidRPr="002F1769">
        <w:rPr>
          <w:rFonts w:asciiTheme="majorBidi" w:hAnsiTheme="majorBidi" w:cstheme="majorBidi"/>
          <w:sz w:val="26"/>
          <w:szCs w:val="26"/>
        </w:rPr>
        <w:t xml:space="preserve">Israeli </w:t>
      </w:r>
      <w:r w:rsidRPr="002F1769">
        <w:rPr>
          <w:rFonts w:asciiTheme="majorBidi" w:hAnsiTheme="majorBidi" w:cstheme="majorBidi"/>
          <w:sz w:val="26"/>
          <w:szCs w:val="26"/>
        </w:rPr>
        <w:t xml:space="preserve">military operations and infrastructure damage. International reports clarify that the effects of forced displacement are not distributed equally between men and women, as women often bear the responsibility of managing household water needs. With water and sanitation networks destroyed or disrupted, many women are forced to search for alternative water sources under difficult and unsafe conditions. Furthermore, overcrowding in temporary shelters limits the </w:t>
      </w:r>
      <w:r w:rsidRPr="002F1769">
        <w:rPr>
          <w:rFonts w:asciiTheme="majorBidi" w:hAnsiTheme="majorBidi" w:cstheme="majorBidi"/>
          <w:sz w:val="26"/>
          <w:szCs w:val="26"/>
        </w:rPr>
        <w:lastRenderedPageBreak/>
        <w:t>availability of adequate sanitation facilities, increasing health risks and affecting the dignity and privacy of residents, particularly women and girls.</w:t>
      </w:r>
    </w:p>
    <w:p w14:paraId="4D064BB7" w14:textId="77777777" w:rsidR="002F1769" w:rsidRPr="002F1769" w:rsidRDefault="002F1769" w:rsidP="002F1769">
      <w:pPr>
        <w:bidi w:val="0"/>
        <w:jc w:val="both"/>
        <w:rPr>
          <w:rFonts w:asciiTheme="majorBidi" w:hAnsiTheme="majorBidi" w:cstheme="majorBidi"/>
          <w:sz w:val="26"/>
          <w:szCs w:val="26"/>
        </w:rPr>
      </w:pPr>
      <w:bookmarkStart w:id="0" w:name="_GoBack"/>
      <w:bookmarkEnd w:id="0"/>
    </w:p>
    <w:p w14:paraId="6DC0F71D" w14:textId="77777777" w:rsidR="00460BAF" w:rsidRPr="002F1769" w:rsidRDefault="00460BAF" w:rsidP="00460BAF">
      <w:pPr>
        <w:bidi w:val="0"/>
        <w:jc w:val="both"/>
        <w:rPr>
          <w:rFonts w:asciiTheme="majorBidi" w:hAnsiTheme="majorBidi" w:cstheme="majorBidi"/>
          <w:sz w:val="26"/>
          <w:szCs w:val="26"/>
        </w:rPr>
      </w:pPr>
    </w:p>
    <w:p w14:paraId="449169D1" w14:textId="2658C6CC" w:rsidR="000F5EB1" w:rsidRPr="002F1769" w:rsidRDefault="000F5EB1" w:rsidP="000F5EB1">
      <w:pPr>
        <w:pStyle w:val="Heading3"/>
        <w:rPr>
          <w:sz w:val="26"/>
          <w:szCs w:val="26"/>
        </w:rPr>
      </w:pPr>
      <w:r w:rsidRPr="002F1769">
        <w:rPr>
          <w:sz w:val="26"/>
          <w:szCs w:val="26"/>
        </w:rPr>
        <w:t xml:space="preserve">Severe Decline in Water Availability </w:t>
      </w:r>
      <w:r w:rsidR="00EA6E33" w:rsidRPr="002F1769">
        <w:rPr>
          <w:sz w:val="26"/>
          <w:szCs w:val="26"/>
        </w:rPr>
        <w:t>below</w:t>
      </w:r>
      <w:r w:rsidRPr="002F1769">
        <w:rPr>
          <w:sz w:val="26"/>
          <w:szCs w:val="26"/>
        </w:rPr>
        <w:t xml:space="preserve"> the Humanitarian Minimum in </w:t>
      </w:r>
      <w:r w:rsidR="00144965" w:rsidRPr="002F1769">
        <w:rPr>
          <w:sz w:val="26"/>
          <w:szCs w:val="26"/>
        </w:rPr>
        <w:t>Gaza Strip</w:t>
      </w:r>
    </w:p>
    <w:p w14:paraId="0B068766" w14:textId="47FFF067" w:rsidR="00D14318" w:rsidRPr="002F1769" w:rsidRDefault="00D14318" w:rsidP="00AB3385">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In </w:t>
      </w:r>
      <w:r w:rsidR="00144965" w:rsidRPr="002F1769">
        <w:rPr>
          <w:rFonts w:asciiTheme="majorBidi" w:hAnsiTheme="majorBidi" w:cstheme="majorBidi"/>
          <w:sz w:val="26"/>
          <w:szCs w:val="26"/>
        </w:rPr>
        <w:t>Gaza Strip</w:t>
      </w:r>
      <w:r w:rsidRPr="002F1769">
        <w:rPr>
          <w:rFonts w:asciiTheme="majorBidi" w:hAnsiTheme="majorBidi" w:cstheme="majorBidi"/>
          <w:sz w:val="26"/>
          <w:szCs w:val="26"/>
        </w:rPr>
        <w:t>, the water reality takes on a sharper and more complex dimension. Estimates indicate that the average water supply in some areas of Gaza dropped to 3–5 liters per person per day during periods of conflict, a level far below the emergency humanitarian minimum</w:t>
      </w:r>
      <w:r w:rsidR="00AB3385" w:rsidRPr="002F1769">
        <w:rPr>
          <w:rFonts w:asciiTheme="majorBidi" w:hAnsiTheme="majorBidi" w:cstheme="majorBidi"/>
          <w:sz w:val="26"/>
          <w:szCs w:val="26"/>
        </w:rPr>
        <w:t>,</w:t>
      </w:r>
      <w:r w:rsidRPr="002F1769">
        <w:rPr>
          <w:rFonts w:asciiTheme="majorBidi" w:hAnsiTheme="majorBidi" w:cstheme="majorBidi"/>
          <w:sz w:val="26"/>
          <w:szCs w:val="26"/>
        </w:rPr>
        <w:t xml:space="preserve"> 15 liters per person per day</w:t>
      </w:r>
      <w:r w:rsidR="00AB3385" w:rsidRPr="002F1769">
        <w:rPr>
          <w:rFonts w:asciiTheme="majorBidi" w:hAnsiTheme="majorBidi" w:cstheme="majorBidi"/>
          <w:sz w:val="26"/>
          <w:szCs w:val="26"/>
        </w:rPr>
        <w:t>,</w:t>
      </w:r>
      <w:r w:rsidRPr="002F1769">
        <w:rPr>
          <w:rFonts w:asciiTheme="majorBidi" w:hAnsiTheme="majorBidi" w:cstheme="majorBidi"/>
          <w:sz w:val="26"/>
          <w:szCs w:val="26"/>
        </w:rPr>
        <w:t xml:space="preserve"> according to </w:t>
      </w:r>
      <w:r w:rsidR="00AB3385" w:rsidRPr="002F1769">
        <w:rPr>
          <w:rFonts w:asciiTheme="majorBidi" w:hAnsiTheme="majorBidi" w:cstheme="majorBidi"/>
          <w:sz w:val="26"/>
          <w:szCs w:val="26"/>
        </w:rPr>
        <w:t xml:space="preserve">the </w:t>
      </w:r>
      <w:r w:rsidRPr="002F1769">
        <w:rPr>
          <w:rFonts w:asciiTheme="majorBidi" w:hAnsiTheme="majorBidi" w:cstheme="majorBidi"/>
          <w:sz w:val="26"/>
          <w:szCs w:val="26"/>
        </w:rPr>
        <w:t xml:space="preserve">international humanitarian standards. As water supply quantities deteriorated to survival-threatening levels and sanitation networks were damaged, the gender dimension </w:t>
      </w:r>
      <w:r w:rsidR="00AB3385" w:rsidRPr="002F1769">
        <w:rPr>
          <w:rFonts w:asciiTheme="majorBidi" w:hAnsiTheme="majorBidi" w:cstheme="majorBidi"/>
          <w:sz w:val="26"/>
          <w:szCs w:val="26"/>
        </w:rPr>
        <w:t xml:space="preserve">became </w:t>
      </w:r>
      <w:r w:rsidRPr="002F1769">
        <w:rPr>
          <w:rFonts w:asciiTheme="majorBidi" w:hAnsiTheme="majorBidi" w:cstheme="majorBidi"/>
          <w:sz w:val="26"/>
          <w:szCs w:val="26"/>
        </w:rPr>
        <w:t>increasingly apparent. Following sustained governmental interventions in Gaza, the per capita share rose to an average of 21 liters per person per day, yet it remains low due to the exceptionally difficult circumstances, including border crossing closures and fuel shortages.</w:t>
      </w:r>
    </w:p>
    <w:p w14:paraId="44C17410" w14:textId="31E6BB34" w:rsidR="000F5EB1" w:rsidRPr="002F1769" w:rsidRDefault="00D14318" w:rsidP="00AB3385">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This acute water shortage restricts women's ability to maintain personal hygiene, affects reproductive health, undermines privacy in shelter centers, and increases the risks of exposure to violence while searching for water or using unsafe facilities. This reality has affected all segments of society in varying degrees. Water scarcity, irregular supply, rising costs, and deteriorating sanitation services are all factors that intersect with social structures and gender roles, </w:t>
      </w:r>
      <w:r w:rsidR="00AB3385" w:rsidRPr="002F1769">
        <w:rPr>
          <w:rFonts w:asciiTheme="majorBidi" w:hAnsiTheme="majorBidi" w:cstheme="majorBidi"/>
          <w:sz w:val="26"/>
          <w:szCs w:val="26"/>
        </w:rPr>
        <w:t xml:space="preserve">doubling </w:t>
      </w:r>
      <w:r w:rsidRPr="002F1769">
        <w:rPr>
          <w:rFonts w:asciiTheme="majorBidi" w:hAnsiTheme="majorBidi" w:cstheme="majorBidi"/>
          <w:sz w:val="26"/>
          <w:szCs w:val="26"/>
        </w:rPr>
        <w:t>the impact of the water crisis on women and girls.</w:t>
      </w:r>
    </w:p>
    <w:p w14:paraId="064CE770" w14:textId="53507E30" w:rsidR="000F5EB1" w:rsidRPr="002F1769" w:rsidRDefault="000F5EB1" w:rsidP="000F5EB1">
      <w:pPr>
        <w:bidi w:val="0"/>
        <w:jc w:val="both"/>
        <w:rPr>
          <w:rFonts w:asciiTheme="majorBidi" w:hAnsiTheme="majorBidi" w:cstheme="majorBidi"/>
          <w:sz w:val="26"/>
          <w:szCs w:val="26"/>
        </w:rPr>
      </w:pPr>
    </w:p>
    <w:p w14:paraId="79A98822" w14:textId="6D2C674E" w:rsidR="00D306FB" w:rsidRDefault="00D306FB" w:rsidP="00D306FB">
      <w:pPr>
        <w:pStyle w:val="Heading3"/>
        <w:rPr>
          <w:sz w:val="26"/>
          <w:szCs w:val="26"/>
        </w:rPr>
      </w:pPr>
      <w:r w:rsidRPr="002F1769">
        <w:rPr>
          <w:sz w:val="26"/>
          <w:szCs w:val="26"/>
        </w:rPr>
        <w:t xml:space="preserve">Population Distribution and Water Quantities — Widespread Displacement in </w:t>
      </w:r>
      <w:r w:rsidR="00144965" w:rsidRPr="002F1769">
        <w:rPr>
          <w:sz w:val="26"/>
          <w:szCs w:val="26"/>
        </w:rPr>
        <w:t>Gaza Strip</w:t>
      </w:r>
      <w:r w:rsidRPr="002F1769">
        <w:rPr>
          <w:sz w:val="26"/>
          <w:szCs w:val="26"/>
        </w:rPr>
        <w:t xml:space="preserve"> Exacerbates Water Supply Challenges</w:t>
      </w:r>
    </w:p>
    <w:p w14:paraId="5B8412D8" w14:textId="77777777" w:rsidR="002F1769" w:rsidRPr="002F1769" w:rsidRDefault="002F1769" w:rsidP="002F1769"/>
    <w:p w14:paraId="148FA838" w14:textId="74D3DDE1" w:rsidR="00D306FB" w:rsidRDefault="00D306FB" w:rsidP="00AB3385">
      <w:pPr>
        <w:pStyle w:val="Heading3"/>
        <w:jc w:val="both"/>
        <w:rPr>
          <w:rFonts w:asciiTheme="majorBidi" w:hAnsiTheme="majorBidi" w:cstheme="majorBidi"/>
          <w:b w:val="0"/>
          <w:bCs w:val="0"/>
          <w:sz w:val="26"/>
          <w:szCs w:val="26"/>
          <w:lang w:eastAsia="en-US"/>
        </w:rPr>
      </w:pPr>
      <w:r w:rsidRPr="002F1769">
        <w:rPr>
          <w:rFonts w:asciiTheme="majorBidi" w:hAnsiTheme="majorBidi" w:cstheme="majorBidi"/>
          <w:b w:val="0"/>
          <w:bCs w:val="0"/>
          <w:sz w:val="26"/>
          <w:szCs w:val="26"/>
          <w:lang w:eastAsia="en-US"/>
        </w:rPr>
        <w:t xml:space="preserve">The demographic distribution in </w:t>
      </w:r>
      <w:r w:rsidR="00144965" w:rsidRPr="002F1769">
        <w:rPr>
          <w:rFonts w:asciiTheme="majorBidi" w:hAnsiTheme="majorBidi" w:cstheme="majorBidi"/>
          <w:b w:val="0"/>
          <w:bCs w:val="0"/>
          <w:sz w:val="26"/>
          <w:szCs w:val="26"/>
          <w:lang w:eastAsia="en-US"/>
        </w:rPr>
        <w:t>Gaza Strip</w:t>
      </w:r>
      <w:r w:rsidRPr="002F1769">
        <w:rPr>
          <w:rFonts w:asciiTheme="majorBidi" w:hAnsiTheme="majorBidi" w:cstheme="majorBidi"/>
          <w:b w:val="0"/>
          <w:bCs w:val="0"/>
          <w:sz w:val="26"/>
          <w:szCs w:val="26"/>
          <w:lang w:eastAsia="en-US"/>
        </w:rPr>
        <w:t xml:space="preserve"> has undergone radical transformations since the outbreak of the </w:t>
      </w:r>
      <w:r w:rsidR="00497D78" w:rsidRPr="002F1769">
        <w:rPr>
          <w:rFonts w:asciiTheme="majorBidi" w:hAnsiTheme="majorBidi" w:cstheme="majorBidi"/>
          <w:b w:val="0"/>
          <w:bCs w:val="0"/>
          <w:sz w:val="26"/>
          <w:szCs w:val="26"/>
          <w:lang w:eastAsia="en-US"/>
        </w:rPr>
        <w:t>Israeli aggression</w:t>
      </w:r>
      <w:r w:rsidRPr="002F1769">
        <w:rPr>
          <w:rFonts w:asciiTheme="majorBidi" w:hAnsiTheme="majorBidi" w:cstheme="majorBidi"/>
          <w:b w:val="0"/>
          <w:bCs w:val="0"/>
          <w:sz w:val="26"/>
          <w:szCs w:val="26"/>
          <w:lang w:eastAsia="en-US"/>
        </w:rPr>
        <w:t xml:space="preserve">, having previously been characterized by a degree of relative stability and balanced population distribution across different governorates. Evacuation orders and large-scale military operations led to the near-complete displacement of </w:t>
      </w:r>
      <w:r w:rsidR="00497D78" w:rsidRPr="002F1769">
        <w:rPr>
          <w:rFonts w:asciiTheme="majorBidi" w:hAnsiTheme="majorBidi" w:cstheme="majorBidi"/>
          <w:b w:val="0"/>
          <w:bCs w:val="0"/>
          <w:sz w:val="26"/>
          <w:szCs w:val="26"/>
          <w:lang w:eastAsia="en-US"/>
        </w:rPr>
        <w:t>Gaza Strip’s</w:t>
      </w:r>
      <w:r w:rsidRPr="002F1769">
        <w:rPr>
          <w:rFonts w:asciiTheme="majorBidi" w:hAnsiTheme="majorBidi" w:cstheme="majorBidi"/>
          <w:b w:val="0"/>
          <w:bCs w:val="0"/>
          <w:sz w:val="26"/>
          <w:szCs w:val="26"/>
          <w:lang w:eastAsia="en-US"/>
        </w:rPr>
        <w:t xml:space="preserve"> population of approximately 2.1 million people, of whom women make up nearly half. As a result, population density became concentrated in an unprecedented manner in the southern areas, particularly in Rafah, before subsequently shifting to the central region and parts of Khan Yunis. These transformations </w:t>
      </w:r>
      <w:r w:rsidR="006F6072" w:rsidRPr="002F1769">
        <w:rPr>
          <w:rFonts w:asciiTheme="majorBidi" w:hAnsiTheme="majorBidi" w:cstheme="majorBidi"/>
          <w:b w:val="0"/>
          <w:bCs w:val="0"/>
          <w:sz w:val="26"/>
          <w:szCs w:val="26"/>
          <w:lang w:eastAsia="en-US"/>
        </w:rPr>
        <w:t>led to</w:t>
      </w:r>
      <w:r w:rsidRPr="002F1769">
        <w:rPr>
          <w:rFonts w:asciiTheme="majorBidi" w:hAnsiTheme="majorBidi" w:cstheme="majorBidi"/>
          <w:b w:val="0"/>
          <w:bCs w:val="0"/>
          <w:sz w:val="26"/>
          <w:szCs w:val="26"/>
          <w:lang w:eastAsia="en-US"/>
        </w:rPr>
        <w:t xml:space="preserve"> emergency and overcrowded settlement patterns, such as shelter centers, temporary</w:t>
      </w:r>
      <w:r w:rsidRPr="002F1769">
        <w:rPr>
          <w:sz w:val="26"/>
          <w:szCs w:val="26"/>
        </w:rPr>
        <w:t xml:space="preserve"> </w:t>
      </w:r>
      <w:r w:rsidRPr="002F1769">
        <w:rPr>
          <w:rFonts w:asciiTheme="majorBidi" w:hAnsiTheme="majorBidi" w:cstheme="majorBidi"/>
          <w:b w:val="0"/>
          <w:bCs w:val="0"/>
          <w:sz w:val="26"/>
          <w:szCs w:val="26"/>
          <w:lang w:eastAsia="en-US"/>
        </w:rPr>
        <w:t>camps, and damaged housing, causing severe pressure on</w:t>
      </w:r>
      <w:r w:rsidRPr="002F1769">
        <w:rPr>
          <w:sz w:val="26"/>
          <w:szCs w:val="26"/>
        </w:rPr>
        <w:t xml:space="preserve"> </w:t>
      </w:r>
      <w:r w:rsidRPr="002F1769">
        <w:rPr>
          <w:rFonts w:asciiTheme="majorBidi" w:hAnsiTheme="majorBidi" w:cstheme="majorBidi"/>
          <w:b w:val="0"/>
          <w:bCs w:val="0"/>
          <w:sz w:val="26"/>
          <w:szCs w:val="26"/>
          <w:lang w:eastAsia="en-US"/>
        </w:rPr>
        <w:t>essential services, most notably water and sanitation services, amid the continued population instability linked to security developments, with signs of relative stabilization in some areas following the ceasefire in October 2025.</w:t>
      </w:r>
    </w:p>
    <w:p w14:paraId="7EF3F2C7" w14:textId="6FB5A7D0" w:rsidR="002F1769" w:rsidRDefault="002F1769" w:rsidP="002F1769">
      <w:pPr>
        <w:rPr>
          <w:lang w:eastAsia="en-US"/>
        </w:rPr>
      </w:pPr>
    </w:p>
    <w:p w14:paraId="26F3C994" w14:textId="718905B5" w:rsidR="002F1769" w:rsidRDefault="002F1769" w:rsidP="002F1769">
      <w:pPr>
        <w:rPr>
          <w:lang w:eastAsia="en-US"/>
        </w:rPr>
      </w:pPr>
    </w:p>
    <w:p w14:paraId="30ACF3E1" w14:textId="7614D3C7" w:rsidR="002F1769" w:rsidRDefault="002F1769" w:rsidP="002F1769">
      <w:pPr>
        <w:rPr>
          <w:lang w:eastAsia="en-US"/>
        </w:rPr>
      </w:pPr>
    </w:p>
    <w:p w14:paraId="180D7FB8" w14:textId="58E96439" w:rsidR="002F1769" w:rsidRDefault="002F1769" w:rsidP="002F1769">
      <w:pPr>
        <w:rPr>
          <w:lang w:eastAsia="en-US"/>
        </w:rPr>
      </w:pPr>
    </w:p>
    <w:p w14:paraId="0CB6C942" w14:textId="5B53A7B1" w:rsidR="002F1769" w:rsidRDefault="002F1769" w:rsidP="002F1769">
      <w:pPr>
        <w:rPr>
          <w:lang w:eastAsia="en-US"/>
        </w:rPr>
      </w:pPr>
    </w:p>
    <w:p w14:paraId="33550C6A" w14:textId="77777777" w:rsidR="002F1769" w:rsidRPr="002F1769" w:rsidRDefault="002F1769" w:rsidP="002F1769">
      <w:pPr>
        <w:rPr>
          <w:lang w:eastAsia="en-US"/>
        </w:rPr>
      </w:pPr>
    </w:p>
    <w:p w14:paraId="0EBD73C6" w14:textId="77777777" w:rsidR="00D306FB" w:rsidRPr="00D306FB" w:rsidRDefault="00D306FB" w:rsidP="00D306FB"/>
    <w:tbl>
      <w:tblPr>
        <w:tblpPr w:leftFromText="180" w:rightFromText="180" w:horzAnchor="page" w:tblpX="3049" w:tblpY="-492"/>
        <w:tblW w:w="4602"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987"/>
        <w:gridCol w:w="900"/>
        <w:gridCol w:w="900"/>
        <w:gridCol w:w="810"/>
        <w:gridCol w:w="1005"/>
      </w:tblGrid>
      <w:tr w:rsidR="00767229" w:rsidRPr="000F5EB1" w14:paraId="36C111BF" w14:textId="77777777" w:rsidTr="002F1769">
        <w:trPr>
          <w:tblHeader/>
          <w:tblCellSpacing w:w="15" w:type="dxa"/>
        </w:trPr>
        <w:tc>
          <w:tcPr>
            <w:tcW w:w="942" w:type="dxa"/>
            <w:vMerge w:val="restart"/>
            <w:shd w:val="clear" w:color="auto" w:fill="D9D9D9" w:themeFill="background1" w:themeFillShade="D9"/>
            <w:vAlign w:val="center"/>
            <w:hideMark/>
          </w:tcPr>
          <w:p w14:paraId="68BE552D" w14:textId="77777777" w:rsidR="00767229" w:rsidRPr="000F5EB1" w:rsidRDefault="00767229" w:rsidP="002F1769">
            <w:pPr>
              <w:bidi w:val="0"/>
              <w:jc w:val="both"/>
              <w:rPr>
                <w:rFonts w:asciiTheme="majorBidi" w:hAnsiTheme="majorBidi" w:cstheme="majorBidi"/>
                <w:sz w:val="18"/>
                <w:szCs w:val="18"/>
              </w:rPr>
            </w:pPr>
            <w:r w:rsidRPr="000F5EB1">
              <w:rPr>
                <w:rFonts w:asciiTheme="majorBidi" w:hAnsiTheme="majorBidi" w:cstheme="majorBidi"/>
                <w:sz w:val="18"/>
                <w:szCs w:val="18"/>
              </w:rPr>
              <w:lastRenderedPageBreak/>
              <w:t>Governorate</w:t>
            </w:r>
          </w:p>
        </w:tc>
        <w:tc>
          <w:tcPr>
            <w:tcW w:w="870" w:type="dxa"/>
            <w:vMerge w:val="restart"/>
            <w:shd w:val="clear" w:color="auto" w:fill="D9D9D9" w:themeFill="background1" w:themeFillShade="D9"/>
            <w:vAlign w:val="center"/>
            <w:hideMark/>
          </w:tcPr>
          <w:p w14:paraId="68D688FF" w14:textId="77777777" w:rsidR="00767229" w:rsidRPr="000F5EB1" w:rsidRDefault="00767229" w:rsidP="002F1769">
            <w:pPr>
              <w:bidi w:val="0"/>
              <w:jc w:val="both"/>
              <w:rPr>
                <w:rFonts w:asciiTheme="majorBidi" w:hAnsiTheme="majorBidi" w:cstheme="majorBidi"/>
                <w:sz w:val="18"/>
                <w:szCs w:val="18"/>
              </w:rPr>
            </w:pPr>
            <w:r w:rsidRPr="000F5EB1">
              <w:rPr>
                <w:rFonts w:asciiTheme="majorBidi" w:hAnsiTheme="majorBidi" w:cstheme="majorBidi"/>
                <w:sz w:val="18"/>
                <w:szCs w:val="18"/>
              </w:rPr>
              <w:t>Population</w:t>
            </w:r>
          </w:p>
        </w:tc>
        <w:tc>
          <w:tcPr>
            <w:tcW w:w="2670" w:type="dxa"/>
            <w:gridSpan w:val="3"/>
            <w:shd w:val="clear" w:color="auto" w:fill="D9D9D9" w:themeFill="background1" w:themeFillShade="D9"/>
            <w:vAlign w:val="center"/>
            <w:hideMark/>
          </w:tcPr>
          <w:p w14:paraId="4B813452" w14:textId="3494838C" w:rsidR="00767229" w:rsidRPr="000F5EB1" w:rsidRDefault="00767229" w:rsidP="002F1769">
            <w:pPr>
              <w:jc w:val="both"/>
              <w:rPr>
                <w:rFonts w:asciiTheme="majorBidi" w:hAnsiTheme="majorBidi" w:cstheme="majorBidi"/>
                <w:sz w:val="18"/>
                <w:szCs w:val="18"/>
              </w:rPr>
            </w:pPr>
            <w:r w:rsidRPr="000F5EB1">
              <w:rPr>
                <w:rFonts w:asciiTheme="majorBidi" w:hAnsiTheme="majorBidi" w:cstheme="majorBidi"/>
                <w:sz w:val="18"/>
                <w:szCs w:val="18"/>
              </w:rPr>
              <w:t>Average period between October 2025 and February 2026 (after ceasefire)</w:t>
            </w:r>
          </w:p>
        </w:tc>
      </w:tr>
      <w:tr w:rsidR="00A741ED" w:rsidRPr="000F5EB1" w14:paraId="0575EBD3" w14:textId="77777777" w:rsidTr="002F1769">
        <w:trPr>
          <w:tblCellSpacing w:w="15" w:type="dxa"/>
        </w:trPr>
        <w:tc>
          <w:tcPr>
            <w:tcW w:w="942" w:type="dxa"/>
            <w:vMerge/>
            <w:shd w:val="clear" w:color="auto" w:fill="D9D9D9" w:themeFill="background1" w:themeFillShade="D9"/>
            <w:vAlign w:val="center"/>
            <w:hideMark/>
          </w:tcPr>
          <w:p w14:paraId="27D28BB4" w14:textId="77777777" w:rsidR="00767229" w:rsidRPr="000F5EB1" w:rsidRDefault="00767229" w:rsidP="002F1769">
            <w:pPr>
              <w:jc w:val="both"/>
              <w:rPr>
                <w:rFonts w:asciiTheme="majorBidi" w:hAnsiTheme="majorBidi" w:cstheme="majorBidi"/>
                <w:sz w:val="18"/>
                <w:szCs w:val="18"/>
              </w:rPr>
            </w:pPr>
          </w:p>
        </w:tc>
        <w:tc>
          <w:tcPr>
            <w:tcW w:w="870" w:type="dxa"/>
            <w:vMerge/>
            <w:shd w:val="clear" w:color="auto" w:fill="D9D9D9" w:themeFill="background1" w:themeFillShade="D9"/>
            <w:vAlign w:val="center"/>
            <w:hideMark/>
          </w:tcPr>
          <w:p w14:paraId="53463E86" w14:textId="77777777" w:rsidR="00767229" w:rsidRPr="000F5EB1" w:rsidRDefault="00767229" w:rsidP="002F1769">
            <w:pPr>
              <w:jc w:val="both"/>
              <w:rPr>
                <w:rFonts w:asciiTheme="majorBidi" w:hAnsiTheme="majorBidi" w:cstheme="majorBidi"/>
                <w:sz w:val="18"/>
                <w:szCs w:val="18"/>
              </w:rPr>
            </w:pPr>
          </w:p>
        </w:tc>
        <w:tc>
          <w:tcPr>
            <w:tcW w:w="870" w:type="dxa"/>
            <w:shd w:val="clear" w:color="auto" w:fill="D9D9D9" w:themeFill="background1" w:themeFillShade="D9"/>
            <w:vAlign w:val="center"/>
            <w:hideMark/>
          </w:tcPr>
          <w:p w14:paraId="48D9751E" w14:textId="77777777" w:rsidR="00767229" w:rsidRPr="000F5EB1" w:rsidRDefault="00767229" w:rsidP="002F1769">
            <w:pPr>
              <w:bidi w:val="0"/>
              <w:jc w:val="both"/>
              <w:rPr>
                <w:rFonts w:asciiTheme="majorBidi" w:hAnsiTheme="majorBidi" w:cstheme="majorBidi"/>
                <w:sz w:val="18"/>
                <w:szCs w:val="18"/>
              </w:rPr>
            </w:pPr>
            <w:r w:rsidRPr="000F5EB1">
              <w:rPr>
                <w:rFonts w:asciiTheme="majorBidi" w:hAnsiTheme="majorBidi" w:cstheme="majorBidi"/>
                <w:sz w:val="18"/>
                <w:szCs w:val="18"/>
              </w:rPr>
              <w:t>Quantities of water produced from various sources (m³/day)</w:t>
            </w:r>
          </w:p>
        </w:tc>
        <w:tc>
          <w:tcPr>
            <w:tcW w:w="780" w:type="dxa"/>
            <w:shd w:val="clear" w:color="auto" w:fill="D9D9D9" w:themeFill="background1" w:themeFillShade="D9"/>
            <w:vAlign w:val="center"/>
            <w:hideMark/>
          </w:tcPr>
          <w:p w14:paraId="596EE2F4" w14:textId="77777777" w:rsidR="00767229" w:rsidRPr="000F5EB1" w:rsidRDefault="00767229" w:rsidP="002F1769">
            <w:pPr>
              <w:bidi w:val="0"/>
              <w:jc w:val="both"/>
              <w:rPr>
                <w:rFonts w:asciiTheme="majorBidi" w:hAnsiTheme="majorBidi" w:cstheme="majorBidi"/>
                <w:sz w:val="18"/>
                <w:szCs w:val="18"/>
              </w:rPr>
            </w:pPr>
            <w:r w:rsidRPr="000F5EB1">
              <w:rPr>
                <w:rFonts w:asciiTheme="majorBidi" w:hAnsiTheme="majorBidi" w:cstheme="majorBidi"/>
                <w:sz w:val="18"/>
                <w:szCs w:val="18"/>
              </w:rPr>
              <w:t>Quantities of water reaching the population (m³/day)</w:t>
            </w:r>
          </w:p>
        </w:tc>
        <w:tc>
          <w:tcPr>
            <w:tcW w:w="960" w:type="dxa"/>
            <w:shd w:val="clear" w:color="auto" w:fill="D9D9D9" w:themeFill="background1" w:themeFillShade="D9"/>
            <w:vAlign w:val="center"/>
            <w:hideMark/>
          </w:tcPr>
          <w:p w14:paraId="0E05896E" w14:textId="77777777" w:rsidR="00767229" w:rsidRPr="000F5EB1" w:rsidRDefault="00767229" w:rsidP="002F1769">
            <w:pPr>
              <w:bidi w:val="0"/>
              <w:jc w:val="both"/>
              <w:rPr>
                <w:rFonts w:asciiTheme="majorBidi" w:hAnsiTheme="majorBidi" w:cstheme="majorBidi"/>
                <w:sz w:val="18"/>
                <w:szCs w:val="18"/>
              </w:rPr>
            </w:pPr>
            <w:r w:rsidRPr="000F5EB1">
              <w:rPr>
                <w:rFonts w:asciiTheme="majorBidi" w:hAnsiTheme="majorBidi" w:cstheme="majorBidi"/>
                <w:sz w:val="18"/>
                <w:szCs w:val="18"/>
              </w:rPr>
              <w:t>Average per capita consumption (liters/person/day)</w:t>
            </w:r>
          </w:p>
        </w:tc>
      </w:tr>
      <w:tr w:rsidR="00767229" w:rsidRPr="000F5EB1" w14:paraId="7ED0956B" w14:textId="77777777" w:rsidTr="002F1769">
        <w:trPr>
          <w:tblCellSpacing w:w="15" w:type="dxa"/>
        </w:trPr>
        <w:tc>
          <w:tcPr>
            <w:tcW w:w="942" w:type="dxa"/>
            <w:shd w:val="clear" w:color="auto" w:fill="FFFFFF" w:themeFill="background1"/>
            <w:vAlign w:val="center"/>
            <w:hideMark/>
          </w:tcPr>
          <w:p w14:paraId="17E4AD3C"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North Gaza</w:t>
            </w:r>
          </w:p>
        </w:tc>
        <w:tc>
          <w:tcPr>
            <w:tcW w:w="870" w:type="dxa"/>
            <w:shd w:val="clear" w:color="auto" w:fill="FFFFFF" w:themeFill="background1"/>
            <w:vAlign w:val="center"/>
            <w:hideMark/>
          </w:tcPr>
          <w:p w14:paraId="3AD69763"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93,933</w:t>
            </w:r>
          </w:p>
        </w:tc>
        <w:tc>
          <w:tcPr>
            <w:tcW w:w="870" w:type="dxa"/>
            <w:shd w:val="clear" w:color="auto" w:fill="FFFFFF" w:themeFill="background1"/>
            <w:vAlign w:val="center"/>
            <w:hideMark/>
          </w:tcPr>
          <w:p w14:paraId="557A7A78"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3,040</w:t>
            </w:r>
          </w:p>
        </w:tc>
        <w:tc>
          <w:tcPr>
            <w:tcW w:w="780" w:type="dxa"/>
            <w:shd w:val="clear" w:color="auto" w:fill="FFFFFF" w:themeFill="background1"/>
            <w:vAlign w:val="center"/>
            <w:hideMark/>
          </w:tcPr>
          <w:p w14:paraId="56B92EB3"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992</w:t>
            </w:r>
          </w:p>
        </w:tc>
        <w:tc>
          <w:tcPr>
            <w:tcW w:w="960" w:type="dxa"/>
            <w:shd w:val="clear" w:color="auto" w:fill="FFFFFF" w:themeFill="background1"/>
            <w:vAlign w:val="center"/>
            <w:hideMark/>
          </w:tcPr>
          <w:p w14:paraId="19417274"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10.6</w:t>
            </w:r>
          </w:p>
        </w:tc>
      </w:tr>
      <w:tr w:rsidR="00767229" w:rsidRPr="000F5EB1" w14:paraId="1A2D22FE" w14:textId="77777777" w:rsidTr="002F1769">
        <w:trPr>
          <w:tblCellSpacing w:w="15" w:type="dxa"/>
        </w:trPr>
        <w:tc>
          <w:tcPr>
            <w:tcW w:w="942" w:type="dxa"/>
            <w:shd w:val="clear" w:color="auto" w:fill="FFFFFF" w:themeFill="background1"/>
            <w:vAlign w:val="center"/>
            <w:hideMark/>
          </w:tcPr>
          <w:p w14:paraId="23011C70"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Gaza</w:t>
            </w:r>
          </w:p>
        </w:tc>
        <w:tc>
          <w:tcPr>
            <w:tcW w:w="870" w:type="dxa"/>
            <w:shd w:val="clear" w:color="auto" w:fill="FFFFFF" w:themeFill="background1"/>
            <w:vAlign w:val="center"/>
            <w:hideMark/>
          </w:tcPr>
          <w:p w14:paraId="7CACC42F"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673,824</w:t>
            </w:r>
          </w:p>
        </w:tc>
        <w:tc>
          <w:tcPr>
            <w:tcW w:w="870" w:type="dxa"/>
            <w:shd w:val="clear" w:color="auto" w:fill="FFFFFF" w:themeFill="background1"/>
            <w:vAlign w:val="center"/>
            <w:hideMark/>
          </w:tcPr>
          <w:p w14:paraId="0AEF3491"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25,760.5</w:t>
            </w:r>
          </w:p>
        </w:tc>
        <w:tc>
          <w:tcPr>
            <w:tcW w:w="780" w:type="dxa"/>
            <w:shd w:val="clear" w:color="auto" w:fill="FFFFFF" w:themeFill="background1"/>
            <w:vAlign w:val="center"/>
            <w:hideMark/>
          </w:tcPr>
          <w:p w14:paraId="15C04AF6"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10,120</w:t>
            </w:r>
          </w:p>
        </w:tc>
        <w:tc>
          <w:tcPr>
            <w:tcW w:w="960" w:type="dxa"/>
            <w:shd w:val="clear" w:color="auto" w:fill="FFFFFF" w:themeFill="background1"/>
            <w:vAlign w:val="center"/>
            <w:hideMark/>
          </w:tcPr>
          <w:p w14:paraId="0D088042"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15.0</w:t>
            </w:r>
          </w:p>
        </w:tc>
      </w:tr>
      <w:tr w:rsidR="00767229" w:rsidRPr="000F5EB1" w14:paraId="07082A5D" w14:textId="77777777" w:rsidTr="002F1769">
        <w:trPr>
          <w:tblCellSpacing w:w="15" w:type="dxa"/>
        </w:trPr>
        <w:tc>
          <w:tcPr>
            <w:tcW w:w="942" w:type="dxa"/>
            <w:shd w:val="clear" w:color="auto" w:fill="FFFFFF" w:themeFill="background1"/>
            <w:vAlign w:val="center"/>
            <w:hideMark/>
          </w:tcPr>
          <w:p w14:paraId="50A43AE5"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Central / Deir al-Balah</w:t>
            </w:r>
          </w:p>
        </w:tc>
        <w:tc>
          <w:tcPr>
            <w:tcW w:w="870" w:type="dxa"/>
            <w:shd w:val="clear" w:color="auto" w:fill="FFFFFF" w:themeFill="background1"/>
            <w:vAlign w:val="center"/>
            <w:hideMark/>
          </w:tcPr>
          <w:p w14:paraId="47744E1D"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609,355</w:t>
            </w:r>
          </w:p>
        </w:tc>
        <w:tc>
          <w:tcPr>
            <w:tcW w:w="870" w:type="dxa"/>
            <w:shd w:val="clear" w:color="auto" w:fill="FFFFFF" w:themeFill="background1"/>
            <w:vAlign w:val="center"/>
            <w:hideMark/>
          </w:tcPr>
          <w:p w14:paraId="53E59017"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45,639.7</w:t>
            </w:r>
          </w:p>
        </w:tc>
        <w:tc>
          <w:tcPr>
            <w:tcW w:w="780" w:type="dxa"/>
            <w:shd w:val="clear" w:color="auto" w:fill="FFFFFF" w:themeFill="background1"/>
            <w:vAlign w:val="center"/>
            <w:hideMark/>
          </w:tcPr>
          <w:p w14:paraId="28D5AF3A"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18,934.9</w:t>
            </w:r>
          </w:p>
        </w:tc>
        <w:tc>
          <w:tcPr>
            <w:tcW w:w="960" w:type="dxa"/>
            <w:shd w:val="clear" w:color="auto" w:fill="FFFFFF" w:themeFill="background1"/>
            <w:vAlign w:val="center"/>
            <w:hideMark/>
          </w:tcPr>
          <w:p w14:paraId="28B01AFD"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31.1</w:t>
            </w:r>
          </w:p>
        </w:tc>
      </w:tr>
      <w:tr w:rsidR="00767229" w:rsidRPr="000F5EB1" w14:paraId="5FBA3084" w14:textId="77777777" w:rsidTr="002F1769">
        <w:trPr>
          <w:tblCellSpacing w:w="15" w:type="dxa"/>
        </w:trPr>
        <w:tc>
          <w:tcPr>
            <w:tcW w:w="942" w:type="dxa"/>
            <w:shd w:val="clear" w:color="auto" w:fill="FFFFFF" w:themeFill="background1"/>
            <w:vAlign w:val="center"/>
            <w:hideMark/>
          </w:tcPr>
          <w:p w14:paraId="5F4DEC14"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Khan Younis and Northwest Rafah</w:t>
            </w:r>
          </w:p>
        </w:tc>
        <w:tc>
          <w:tcPr>
            <w:tcW w:w="870" w:type="dxa"/>
            <w:shd w:val="clear" w:color="auto" w:fill="FFFFFF" w:themeFill="background1"/>
            <w:vAlign w:val="center"/>
            <w:hideMark/>
          </w:tcPr>
          <w:p w14:paraId="4B66A13E"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740,503</w:t>
            </w:r>
          </w:p>
        </w:tc>
        <w:tc>
          <w:tcPr>
            <w:tcW w:w="870" w:type="dxa"/>
            <w:shd w:val="clear" w:color="auto" w:fill="FFFFFF" w:themeFill="background1"/>
            <w:vAlign w:val="center"/>
            <w:hideMark/>
          </w:tcPr>
          <w:p w14:paraId="3B44A988"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37,257.2</w:t>
            </w:r>
          </w:p>
        </w:tc>
        <w:tc>
          <w:tcPr>
            <w:tcW w:w="780" w:type="dxa"/>
            <w:shd w:val="clear" w:color="auto" w:fill="FFFFFF" w:themeFill="background1"/>
            <w:vAlign w:val="center"/>
            <w:hideMark/>
          </w:tcPr>
          <w:p w14:paraId="5428905C"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14,897.1</w:t>
            </w:r>
          </w:p>
        </w:tc>
        <w:tc>
          <w:tcPr>
            <w:tcW w:w="960" w:type="dxa"/>
            <w:shd w:val="clear" w:color="auto" w:fill="FFFFFF" w:themeFill="background1"/>
            <w:vAlign w:val="center"/>
            <w:hideMark/>
          </w:tcPr>
          <w:p w14:paraId="3336FDFA" w14:textId="77777777" w:rsidR="000F5EB1" w:rsidRPr="000F5EB1" w:rsidRDefault="000F5EB1" w:rsidP="002F1769">
            <w:pPr>
              <w:bidi w:val="0"/>
              <w:jc w:val="both"/>
              <w:rPr>
                <w:rFonts w:asciiTheme="majorBidi" w:hAnsiTheme="majorBidi" w:cstheme="majorBidi"/>
                <w:sz w:val="18"/>
                <w:szCs w:val="18"/>
              </w:rPr>
            </w:pPr>
            <w:r w:rsidRPr="000F5EB1">
              <w:rPr>
                <w:rFonts w:asciiTheme="majorBidi" w:hAnsiTheme="majorBidi" w:cstheme="majorBidi"/>
                <w:sz w:val="18"/>
                <w:szCs w:val="18"/>
              </w:rPr>
              <w:t>20.1</w:t>
            </w:r>
          </w:p>
        </w:tc>
      </w:tr>
      <w:tr w:rsidR="00767229" w:rsidRPr="000F5EB1" w14:paraId="4CC566E8" w14:textId="77777777" w:rsidTr="002F1769">
        <w:trPr>
          <w:tblCellSpacing w:w="15" w:type="dxa"/>
        </w:trPr>
        <w:tc>
          <w:tcPr>
            <w:tcW w:w="942" w:type="dxa"/>
            <w:shd w:val="clear" w:color="auto" w:fill="FFFFFF" w:themeFill="background1"/>
            <w:vAlign w:val="center"/>
            <w:hideMark/>
          </w:tcPr>
          <w:p w14:paraId="04E429D9" w14:textId="77777777" w:rsidR="000F5EB1" w:rsidRPr="000F5EB1" w:rsidRDefault="000F5EB1" w:rsidP="002F1769">
            <w:pPr>
              <w:bidi w:val="0"/>
              <w:jc w:val="both"/>
              <w:rPr>
                <w:rFonts w:asciiTheme="majorBidi" w:hAnsiTheme="majorBidi" w:cstheme="majorBidi"/>
                <w:sz w:val="18"/>
                <w:szCs w:val="18"/>
              </w:rPr>
            </w:pPr>
            <w:r w:rsidRPr="000F5EB1">
              <w:rPr>
                <w:rStyle w:val="Strong"/>
                <w:rFonts w:asciiTheme="majorBidi" w:hAnsiTheme="majorBidi" w:cstheme="majorBidi"/>
                <w:b w:val="0"/>
                <w:bCs w:val="0"/>
                <w:sz w:val="18"/>
                <w:szCs w:val="18"/>
              </w:rPr>
              <w:t>Total</w:t>
            </w:r>
          </w:p>
        </w:tc>
        <w:tc>
          <w:tcPr>
            <w:tcW w:w="870" w:type="dxa"/>
            <w:shd w:val="clear" w:color="auto" w:fill="FFFFFF" w:themeFill="background1"/>
            <w:vAlign w:val="center"/>
            <w:hideMark/>
          </w:tcPr>
          <w:p w14:paraId="402620E8" w14:textId="77777777" w:rsidR="000F5EB1" w:rsidRPr="000F5EB1" w:rsidRDefault="000F5EB1" w:rsidP="002F1769">
            <w:pPr>
              <w:bidi w:val="0"/>
              <w:jc w:val="both"/>
              <w:rPr>
                <w:rFonts w:asciiTheme="majorBidi" w:hAnsiTheme="majorBidi" w:cstheme="majorBidi"/>
                <w:sz w:val="18"/>
                <w:szCs w:val="18"/>
              </w:rPr>
            </w:pPr>
            <w:r w:rsidRPr="000F5EB1">
              <w:rPr>
                <w:rStyle w:val="Strong"/>
                <w:rFonts w:asciiTheme="majorBidi" w:hAnsiTheme="majorBidi" w:cstheme="majorBidi"/>
                <w:b w:val="0"/>
                <w:bCs w:val="0"/>
                <w:sz w:val="18"/>
                <w:szCs w:val="18"/>
              </w:rPr>
              <w:t>2,117,615</w:t>
            </w:r>
          </w:p>
        </w:tc>
        <w:tc>
          <w:tcPr>
            <w:tcW w:w="870" w:type="dxa"/>
            <w:shd w:val="clear" w:color="auto" w:fill="FFFFFF" w:themeFill="background1"/>
            <w:vAlign w:val="center"/>
            <w:hideMark/>
          </w:tcPr>
          <w:p w14:paraId="11C92B2B" w14:textId="77777777" w:rsidR="000F5EB1" w:rsidRPr="000F5EB1" w:rsidRDefault="000F5EB1" w:rsidP="002F1769">
            <w:pPr>
              <w:bidi w:val="0"/>
              <w:jc w:val="both"/>
              <w:rPr>
                <w:rFonts w:asciiTheme="majorBidi" w:hAnsiTheme="majorBidi" w:cstheme="majorBidi"/>
                <w:sz w:val="18"/>
                <w:szCs w:val="18"/>
              </w:rPr>
            </w:pPr>
            <w:r w:rsidRPr="000F5EB1">
              <w:rPr>
                <w:rStyle w:val="Strong"/>
                <w:rFonts w:asciiTheme="majorBidi" w:hAnsiTheme="majorBidi" w:cstheme="majorBidi"/>
                <w:b w:val="0"/>
                <w:bCs w:val="0"/>
                <w:sz w:val="18"/>
                <w:szCs w:val="18"/>
              </w:rPr>
              <w:t>111,697</w:t>
            </w:r>
          </w:p>
        </w:tc>
        <w:tc>
          <w:tcPr>
            <w:tcW w:w="780" w:type="dxa"/>
            <w:shd w:val="clear" w:color="auto" w:fill="FFFFFF" w:themeFill="background1"/>
            <w:vAlign w:val="center"/>
            <w:hideMark/>
          </w:tcPr>
          <w:p w14:paraId="6D89BDA7" w14:textId="77777777" w:rsidR="000F5EB1" w:rsidRPr="000F5EB1" w:rsidRDefault="000F5EB1" w:rsidP="002F1769">
            <w:pPr>
              <w:bidi w:val="0"/>
              <w:jc w:val="both"/>
              <w:rPr>
                <w:rFonts w:asciiTheme="majorBidi" w:hAnsiTheme="majorBidi" w:cstheme="majorBidi"/>
                <w:sz w:val="18"/>
                <w:szCs w:val="18"/>
              </w:rPr>
            </w:pPr>
            <w:r w:rsidRPr="000F5EB1">
              <w:rPr>
                <w:rStyle w:val="Strong"/>
                <w:rFonts w:asciiTheme="majorBidi" w:hAnsiTheme="majorBidi" w:cstheme="majorBidi"/>
                <w:b w:val="0"/>
                <w:bCs w:val="0"/>
                <w:sz w:val="18"/>
                <w:szCs w:val="18"/>
              </w:rPr>
              <w:t>44,944</w:t>
            </w:r>
          </w:p>
        </w:tc>
        <w:tc>
          <w:tcPr>
            <w:tcW w:w="960" w:type="dxa"/>
            <w:shd w:val="clear" w:color="auto" w:fill="FFFFFF" w:themeFill="background1"/>
            <w:vAlign w:val="center"/>
            <w:hideMark/>
          </w:tcPr>
          <w:p w14:paraId="583D8FE0" w14:textId="77777777" w:rsidR="000F5EB1" w:rsidRPr="000F5EB1" w:rsidRDefault="000F5EB1" w:rsidP="002F1769">
            <w:pPr>
              <w:bidi w:val="0"/>
              <w:jc w:val="both"/>
              <w:rPr>
                <w:rFonts w:asciiTheme="majorBidi" w:hAnsiTheme="majorBidi" w:cstheme="majorBidi"/>
                <w:sz w:val="18"/>
                <w:szCs w:val="18"/>
              </w:rPr>
            </w:pPr>
            <w:r w:rsidRPr="000F5EB1">
              <w:rPr>
                <w:rStyle w:val="Strong"/>
                <w:rFonts w:asciiTheme="majorBidi" w:hAnsiTheme="majorBidi" w:cstheme="majorBidi"/>
                <w:b w:val="0"/>
                <w:bCs w:val="0"/>
                <w:sz w:val="18"/>
                <w:szCs w:val="18"/>
              </w:rPr>
              <w:t>21.2</w:t>
            </w:r>
          </w:p>
        </w:tc>
      </w:tr>
    </w:tbl>
    <w:p w14:paraId="4C09A6A6" w14:textId="5112A4FE" w:rsidR="000F5EB1" w:rsidRDefault="000F5EB1" w:rsidP="000F5EB1">
      <w:pPr>
        <w:bidi w:val="0"/>
        <w:jc w:val="both"/>
        <w:rPr>
          <w:rFonts w:asciiTheme="majorBidi" w:hAnsiTheme="majorBidi" w:cstheme="majorBidi"/>
          <w:sz w:val="22"/>
          <w:szCs w:val="22"/>
          <w:rtl/>
        </w:rPr>
      </w:pPr>
    </w:p>
    <w:p w14:paraId="0533EC14" w14:textId="77777777" w:rsidR="002F1769" w:rsidRDefault="002F1769">
      <w:pPr>
        <w:bidi w:val="0"/>
        <w:jc w:val="both"/>
        <w:rPr>
          <w:rFonts w:asciiTheme="majorBidi" w:hAnsiTheme="majorBidi" w:cstheme="majorBidi"/>
          <w:sz w:val="26"/>
          <w:szCs w:val="26"/>
        </w:rPr>
      </w:pPr>
    </w:p>
    <w:p w14:paraId="658F95D3" w14:textId="77777777" w:rsidR="002F1769" w:rsidRDefault="002F1769" w:rsidP="002F1769">
      <w:pPr>
        <w:bidi w:val="0"/>
        <w:jc w:val="both"/>
        <w:rPr>
          <w:rFonts w:asciiTheme="majorBidi" w:hAnsiTheme="majorBidi" w:cstheme="majorBidi"/>
          <w:sz w:val="26"/>
          <w:szCs w:val="26"/>
        </w:rPr>
      </w:pPr>
    </w:p>
    <w:p w14:paraId="76751D6D" w14:textId="77777777" w:rsidR="002F1769" w:rsidRDefault="002F1769" w:rsidP="002F1769">
      <w:pPr>
        <w:bidi w:val="0"/>
        <w:jc w:val="both"/>
        <w:rPr>
          <w:rFonts w:asciiTheme="majorBidi" w:hAnsiTheme="majorBidi" w:cstheme="majorBidi"/>
          <w:sz w:val="26"/>
          <w:szCs w:val="26"/>
        </w:rPr>
      </w:pPr>
    </w:p>
    <w:p w14:paraId="3A421B71" w14:textId="77777777" w:rsidR="002F1769" w:rsidRDefault="002F1769" w:rsidP="002F1769">
      <w:pPr>
        <w:bidi w:val="0"/>
        <w:jc w:val="both"/>
        <w:rPr>
          <w:rFonts w:asciiTheme="majorBidi" w:hAnsiTheme="majorBidi" w:cstheme="majorBidi"/>
          <w:sz w:val="26"/>
          <w:szCs w:val="26"/>
        </w:rPr>
      </w:pPr>
    </w:p>
    <w:p w14:paraId="380EED61" w14:textId="77777777" w:rsidR="002F1769" w:rsidRDefault="002F1769" w:rsidP="002F1769">
      <w:pPr>
        <w:bidi w:val="0"/>
        <w:jc w:val="both"/>
        <w:rPr>
          <w:rFonts w:asciiTheme="majorBidi" w:hAnsiTheme="majorBidi" w:cstheme="majorBidi"/>
          <w:sz w:val="26"/>
          <w:szCs w:val="26"/>
        </w:rPr>
      </w:pPr>
    </w:p>
    <w:p w14:paraId="06A6A400" w14:textId="77777777" w:rsidR="002F1769" w:rsidRDefault="002F1769" w:rsidP="002F1769">
      <w:pPr>
        <w:bidi w:val="0"/>
        <w:jc w:val="both"/>
        <w:rPr>
          <w:rFonts w:asciiTheme="majorBidi" w:hAnsiTheme="majorBidi" w:cstheme="majorBidi"/>
          <w:sz w:val="26"/>
          <w:szCs w:val="26"/>
        </w:rPr>
      </w:pPr>
    </w:p>
    <w:p w14:paraId="17181F84" w14:textId="77777777" w:rsidR="002F1769" w:rsidRDefault="002F1769" w:rsidP="002F1769">
      <w:pPr>
        <w:bidi w:val="0"/>
        <w:jc w:val="both"/>
        <w:rPr>
          <w:rFonts w:asciiTheme="majorBidi" w:hAnsiTheme="majorBidi" w:cstheme="majorBidi"/>
          <w:sz w:val="26"/>
          <w:szCs w:val="26"/>
        </w:rPr>
      </w:pPr>
    </w:p>
    <w:p w14:paraId="3CEAA902" w14:textId="77777777" w:rsidR="002F1769" w:rsidRDefault="002F1769" w:rsidP="002F1769">
      <w:pPr>
        <w:bidi w:val="0"/>
        <w:jc w:val="both"/>
        <w:rPr>
          <w:rFonts w:asciiTheme="majorBidi" w:hAnsiTheme="majorBidi" w:cstheme="majorBidi"/>
          <w:sz w:val="26"/>
          <w:szCs w:val="26"/>
        </w:rPr>
      </w:pPr>
    </w:p>
    <w:p w14:paraId="000166ED" w14:textId="77777777" w:rsidR="002F1769" w:rsidRDefault="002F1769" w:rsidP="002F1769">
      <w:pPr>
        <w:bidi w:val="0"/>
        <w:jc w:val="both"/>
        <w:rPr>
          <w:rFonts w:asciiTheme="majorBidi" w:hAnsiTheme="majorBidi" w:cstheme="majorBidi"/>
          <w:sz w:val="26"/>
          <w:szCs w:val="26"/>
        </w:rPr>
      </w:pPr>
    </w:p>
    <w:p w14:paraId="70506B30" w14:textId="77777777" w:rsidR="002F1769" w:rsidRDefault="002F1769" w:rsidP="002F1769">
      <w:pPr>
        <w:bidi w:val="0"/>
        <w:jc w:val="both"/>
        <w:rPr>
          <w:rFonts w:asciiTheme="majorBidi" w:hAnsiTheme="majorBidi" w:cstheme="majorBidi"/>
          <w:sz w:val="26"/>
          <w:szCs w:val="26"/>
        </w:rPr>
      </w:pPr>
    </w:p>
    <w:p w14:paraId="658C941D" w14:textId="77777777" w:rsidR="002F1769" w:rsidRDefault="002F1769" w:rsidP="002F1769">
      <w:pPr>
        <w:bidi w:val="0"/>
        <w:jc w:val="both"/>
        <w:rPr>
          <w:rFonts w:asciiTheme="majorBidi" w:hAnsiTheme="majorBidi" w:cstheme="majorBidi"/>
          <w:sz w:val="26"/>
          <w:szCs w:val="26"/>
        </w:rPr>
      </w:pPr>
    </w:p>
    <w:p w14:paraId="13326FF4" w14:textId="77777777" w:rsidR="002F1769" w:rsidRDefault="002F1769" w:rsidP="002F1769">
      <w:pPr>
        <w:bidi w:val="0"/>
        <w:jc w:val="both"/>
        <w:rPr>
          <w:rFonts w:asciiTheme="majorBidi" w:hAnsiTheme="majorBidi" w:cstheme="majorBidi"/>
          <w:sz w:val="26"/>
          <w:szCs w:val="26"/>
        </w:rPr>
      </w:pPr>
    </w:p>
    <w:p w14:paraId="30C367AF" w14:textId="77777777" w:rsidR="002F1769" w:rsidRDefault="002F1769" w:rsidP="002F1769">
      <w:pPr>
        <w:bidi w:val="0"/>
        <w:jc w:val="both"/>
        <w:rPr>
          <w:rFonts w:asciiTheme="majorBidi" w:hAnsiTheme="majorBidi" w:cstheme="majorBidi"/>
          <w:sz w:val="26"/>
          <w:szCs w:val="26"/>
        </w:rPr>
      </w:pPr>
    </w:p>
    <w:p w14:paraId="144FC3DD" w14:textId="77777777" w:rsidR="002F1769" w:rsidRDefault="002F1769" w:rsidP="002F1769">
      <w:pPr>
        <w:bidi w:val="0"/>
        <w:jc w:val="both"/>
        <w:rPr>
          <w:rFonts w:asciiTheme="majorBidi" w:hAnsiTheme="majorBidi" w:cstheme="majorBidi"/>
          <w:sz w:val="26"/>
          <w:szCs w:val="26"/>
        </w:rPr>
      </w:pPr>
    </w:p>
    <w:p w14:paraId="32C69FE7" w14:textId="77777777" w:rsidR="002F1769" w:rsidRDefault="002F1769" w:rsidP="002F1769">
      <w:pPr>
        <w:bidi w:val="0"/>
        <w:jc w:val="both"/>
        <w:rPr>
          <w:rFonts w:asciiTheme="majorBidi" w:hAnsiTheme="majorBidi" w:cstheme="majorBidi"/>
          <w:sz w:val="26"/>
          <w:szCs w:val="26"/>
        </w:rPr>
      </w:pPr>
    </w:p>
    <w:p w14:paraId="2BD416FC" w14:textId="6B18D595" w:rsidR="00FB56E4" w:rsidRPr="002F1769" w:rsidRDefault="00FB56E4" w:rsidP="002F1769">
      <w:pPr>
        <w:bidi w:val="0"/>
        <w:jc w:val="both"/>
        <w:rPr>
          <w:rFonts w:asciiTheme="majorBidi" w:hAnsiTheme="majorBidi" w:cstheme="majorBidi"/>
          <w:sz w:val="26"/>
          <w:szCs w:val="26"/>
          <w:rtl/>
        </w:rPr>
      </w:pPr>
      <w:r w:rsidRPr="002F1769">
        <w:rPr>
          <w:rFonts w:asciiTheme="majorBidi" w:hAnsiTheme="majorBidi" w:cstheme="majorBidi"/>
          <w:sz w:val="26"/>
          <w:szCs w:val="26"/>
        </w:rPr>
        <w:t xml:space="preserve">The Joint Water Sector Assessment for Gaza </w:t>
      </w:r>
      <w:r w:rsidR="0002098C" w:rsidRPr="002F1769">
        <w:rPr>
          <w:rFonts w:asciiTheme="majorBidi" w:hAnsiTheme="majorBidi" w:cstheme="majorBidi"/>
          <w:sz w:val="26"/>
          <w:szCs w:val="26"/>
        </w:rPr>
        <w:t xml:space="preserve">2025 </w:t>
      </w:r>
      <w:r w:rsidRPr="002F1769">
        <w:rPr>
          <w:rFonts w:asciiTheme="majorBidi" w:hAnsiTheme="majorBidi" w:cstheme="majorBidi"/>
          <w:sz w:val="26"/>
          <w:szCs w:val="26"/>
        </w:rPr>
        <w:t>revealed that 15% of households rely on children as primary water collectors, and that 77% of households depend on water trucking as their main source of water. This reflects clear gender burdens, as women and girls bear the primary responsibility for managing household water.</w:t>
      </w:r>
    </w:p>
    <w:p w14:paraId="7EEEC060" w14:textId="77777777" w:rsidR="001E51BE" w:rsidRPr="002F1769" w:rsidRDefault="001E51BE" w:rsidP="001E51BE">
      <w:pPr>
        <w:bidi w:val="0"/>
        <w:jc w:val="both"/>
        <w:rPr>
          <w:rFonts w:asciiTheme="majorBidi" w:hAnsiTheme="majorBidi" w:cstheme="majorBidi"/>
          <w:sz w:val="26"/>
          <w:szCs w:val="26"/>
          <w:rtl/>
        </w:rPr>
      </w:pPr>
    </w:p>
    <w:p w14:paraId="09A02748" w14:textId="77777777" w:rsidR="001E51BE" w:rsidRPr="002F1769" w:rsidRDefault="001E51BE" w:rsidP="001E51BE">
      <w:pPr>
        <w:pStyle w:val="Heading3"/>
        <w:rPr>
          <w:sz w:val="26"/>
          <w:szCs w:val="26"/>
        </w:rPr>
      </w:pPr>
      <w:r w:rsidRPr="002F1769">
        <w:rPr>
          <w:sz w:val="26"/>
          <w:szCs w:val="26"/>
        </w:rPr>
        <w:t>The Near-Complete Collapse of Sanitation Services in Gaza Constitutes a Severe Daily Struggle</w:t>
      </w:r>
    </w:p>
    <w:p w14:paraId="600FAB1A" w14:textId="2A617748" w:rsidR="001E51BE" w:rsidRPr="002F1769" w:rsidRDefault="001E51BE" w:rsidP="00D562B8">
      <w:pPr>
        <w:bidi w:val="0"/>
        <w:jc w:val="both"/>
        <w:rPr>
          <w:rFonts w:asciiTheme="majorBidi" w:hAnsiTheme="majorBidi" w:cstheme="majorBidi"/>
          <w:sz w:val="26"/>
          <w:szCs w:val="26"/>
        </w:rPr>
      </w:pPr>
      <w:r w:rsidRPr="002F1769">
        <w:rPr>
          <w:rFonts w:asciiTheme="majorBidi" w:hAnsiTheme="majorBidi" w:cstheme="majorBidi"/>
          <w:sz w:val="26"/>
          <w:szCs w:val="26"/>
        </w:rPr>
        <w:t xml:space="preserve">Estimates indicate that more than 85% of water and sanitation facilities in </w:t>
      </w:r>
      <w:r w:rsidR="00144965" w:rsidRPr="002F1769">
        <w:rPr>
          <w:rFonts w:asciiTheme="majorBidi" w:hAnsiTheme="majorBidi" w:cstheme="majorBidi"/>
          <w:sz w:val="26"/>
          <w:szCs w:val="26"/>
        </w:rPr>
        <w:t>Gaza Strip</w:t>
      </w:r>
      <w:r w:rsidRPr="002F1769">
        <w:rPr>
          <w:rFonts w:asciiTheme="majorBidi" w:hAnsiTheme="majorBidi" w:cstheme="majorBidi"/>
          <w:sz w:val="26"/>
          <w:szCs w:val="26"/>
        </w:rPr>
        <w:t xml:space="preserve"> have suffered total or partial destruction since the beginning of the </w:t>
      </w:r>
      <w:r w:rsidR="0002098C" w:rsidRPr="002F1769">
        <w:rPr>
          <w:rFonts w:asciiTheme="majorBidi" w:hAnsiTheme="majorBidi" w:cstheme="majorBidi"/>
          <w:sz w:val="26"/>
          <w:szCs w:val="26"/>
        </w:rPr>
        <w:t>Israeli aggression</w:t>
      </w:r>
      <w:r w:rsidRPr="002F1769">
        <w:rPr>
          <w:rFonts w:asciiTheme="majorBidi" w:hAnsiTheme="majorBidi" w:cstheme="majorBidi"/>
          <w:sz w:val="26"/>
          <w:szCs w:val="26"/>
        </w:rPr>
        <w:t xml:space="preserve">, leading to a near-complete collapse of the wastewater management system. This has resulted in the spread of wastewater in residential areas, rising environmental contamination risks, and an increase in waterborne diseases. Sectoral assessments also reveal the absence of any </w:t>
      </w:r>
      <w:r w:rsidR="0002098C" w:rsidRPr="002F1769">
        <w:rPr>
          <w:rFonts w:asciiTheme="majorBidi" w:hAnsiTheme="majorBidi" w:cstheme="majorBidi"/>
          <w:sz w:val="26"/>
          <w:szCs w:val="26"/>
        </w:rPr>
        <w:t xml:space="preserve">actual </w:t>
      </w:r>
      <w:r w:rsidRPr="002F1769">
        <w:rPr>
          <w:rFonts w:asciiTheme="majorBidi" w:hAnsiTheme="majorBidi" w:cstheme="majorBidi"/>
          <w:sz w:val="26"/>
          <w:szCs w:val="26"/>
        </w:rPr>
        <w:t xml:space="preserve">access to safely managed sanitation services, with approximately 57% of the population exposed to wastewater or human waste within 10 meters of their homes. This situation has been reflected in a notable rise in illnesses, including a multiplication of acute watery diarrhea cases and an increase in skin diseases and parasitic infections, particularly given that children under the age of 15 make up approximately 39% of Gaza's population. This further increases the health and social burdens on </w:t>
      </w:r>
      <w:r w:rsidR="00D562B8" w:rsidRPr="002F1769">
        <w:rPr>
          <w:rFonts w:asciiTheme="majorBidi" w:hAnsiTheme="majorBidi" w:cstheme="majorBidi"/>
          <w:sz w:val="26"/>
          <w:szCs w:val="26"/>
        </w:rPr>
        <w:t>households</w:t>
      </w:r>
      <w:r w:rsidRPr="002F1769">
        <w:rPr>
          <w:rFonts w:asciiTheme="majorBidi" w:hAnsiTheme="majorBidi" w:cstheme="majorBidi"/>
          <w:sz w:val="26"/>
          <w:szCs w:val="26"/>
        </w:rPr>
        <w:t xml:space="preserve">, especially mothers. The collapse of public water networks is also driving many </w:t>
      </w:r>
      <w:r w:rsidR="00D562B8" w:rsidRPr="002F1769">
        <w:rPr>
          <w:rFonts w:asciiTheme="majorBidi" w:hAnsiTheme="majorBidi" w:cstheme="majorBidi"/>
          <w:sz w:val="26"/>
          <w:szCs w:val="26"/>
        </w:rPr>
        <w:t xml:space="preserve">households </w:t>
      </w:r>
      <w:r w:rsidRPr="002F1769">
        <w:rPr>
          <w:rFonts w:asciiTheme="majorBidi" w:hAnsiTheme="majorBidi" w:cstheme="majorBidi"/>
          <w:sz w:val="26"/>
          <w:szCs w:val="26"/>
        </w:rPr>
        <w:t xml:space="preserve">to rely on purchasing water from tankers, which exacerbates the economic burdens on displaced </w:t>
      </w:r>
      <w:r w:rsidR="00D562B8" w:rsidRPr="002F1769">
        <w:rPr>
          <w:rFonts w:asciiTheme="majorBidi" w:hAnsiTheme="majorBidi" w:cstheme="majorBidi"/>
          <w:sz w:val="26"/>
          <w:szCs w:val="26"/>
        </w:rPr>
        <w:t>households</w:t>
      </w:r>
      <w:r w:rsidRPr="002F1769">
        <w:rPr>
          <w:rFonts w:asciiTheme="majorBidi" w:hAnsiTheme="majorBidi" w:cstheme="majorBidi"/>
          <w:sz w:val="26"/>
          <w:szCs w:val="26"/>
        </w:rPr>
        <w:t xml:space="preserve">, particularly those headed by women. Adding to this suffering, humanitarian reports indicate that approximately 700,000 women and girls in </w:t>
      </w:r>
      <w:r w:rsidR="00144965" w:rsidRPr="002F1769">
        <w:rPr>
          <w:rFonts w:asciiTheme="majorBidi" w:hAnsiTheme="majorBidi" w:cstheme="majorBidi"/>
          <w:sz w:val="26"/>
          <w:szCs w:val="26"/>
        </w:rPr>
        <w:t>Gaza Strip</w:t>
      </w:r>
      <w:r w:rsidRPr="002F1769">
        <w:rPr>
          <w:rFonts w:asciiTheme="majorBidi" w:hAnsiTheme="majorBidi" w:cstheme="majorBidi"/>
          <w:sz w:val="26"/>
          <w:szCs w:val="26"/>
        </w:rPr>
        <w:t xml:space="preserve"> face significant difficulties in managing menstrual hygiene due to water shortages and lack of hygiene supplies.</w:t>
      </w:r>
    </w:p>
    <w:p w14:paraId="5423FC41" w14:textId="77777777" w:rsidR="001E51BE" w:rsidRPr="002F1769" w:rsidRDefault="001E51BE" w:rsidP="001E51BE">
      <w:pPr>
        <w:bidi w:val="0"/>
        <w:jc w:val="both"/>
        <w:rPr>
          <w:rFonts w:asciiTheme="majorBidi" w:hAnsiTheme="majorBidi" w:cstheme="majorBidi"/>
          <w:sz w:val="26"/>
          <w:szCs w:val="26"/>
        </w:rPr>
      </w:pPr>
    </w:p>
    <w:p w14:paraId="474C89F8" w14:textId="77777777" w:rsidR="00FB56E4" w:rsidRPr="002F1769" w:rsidRDefault="00FB56E4" w:rsidP="00FB56E4">
      <w:pPr>
        <w:bidi w:val="0"/>
        <w:jc w:val="both"/>
        <w:rPr>
          <w:rFonts w:asciiTheme="majorBidi" w:hAnsiTheme="majorBidi" w:cstheme="majorBidi"/>
          <w:sz w:val="26"/>
          <w:szCs w:val="26"/>
        </w:rPr>
      </w:pPr>
    </w:p>
    <w:p w14:paraId="294B1C60" w14:textId="77777777" w:rsidR="000F5EB1" w:rsidRPr="002F1769" w:rsidRDefault="000F5EB1" w:rsidP="000F5EB1">
      <w:pPr>
        <w:pStyle w:val="Heading3"/>
        <w:rPr>
          <w:sz w:val="26"/>
          <w:szCs w:val="26"/>
        </w:rPr>
      </w:pPr>
      <w:r w:rsidRPr="002F1769">
        <w:rPr>
          <w:sz w:val="26"/>
          <w:szCs w:val="26"/>
        </w:rPr>
        <w:t>The Role of Palestinian Women in Water Sector Institutions: Between Lack of Representation and Crisis Management</w:t>
      </w:r>
    </w:p>
    <w:p w14:paraId="418C6232" w14:textId="77777777" w:rsidR="000F5EB1" w:rsidRPr="002F1769" w:rsidRDefault="000F5EB1" w:rsidP="000F5EB1">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While </w:t>
      </w:r>
      <w:r w:rsidRPr="002F1769">
        <w:rPr>
          <w:rStyle w:val="Strong"/>
          <w:rFonts w:asciiTheme="majorBidi" w:hAnsiTheme="majorBidi" w:cstheme="majorBidi"/>
          <w:b w:val="0"/>
          <w:bCs w:val="0"/>
          <w:sz w:val="26"/>
          <w:szCs w:val="26"/>
        </w:rPr>
        <w:t>Palestinian women constitute 49% of the total population</w:t>
      </w:r>
      <w:r w:rsidRPr="002F1769">
        <w:rPr>
          <w:rFonts w:asciiTheme="majorBidi" w:hAnsiTheme="majorBidi" w:cstheme="majorBidi"/>
          <w:sz w:val="26"/>
          <w:szCs w:val="26"/>
        </w:rPr>
        <w:t xml:space="preserve"> and provide vital community services in managing the household water crisis, their representation in </w:t>
      </w:r>
      <w:r w:rsidRPr="002F1769">
        <w:rPr>
          <w:rStyle w:val="Strong"/>
          <w:rFonts w:asciiTheme="majorBidi" w:hAnsiTheme="majorBidi" w:cstheme="majorBidi"/>
          <w:b w:val="0"/>
          <w:bCs w:val="0"/>
          <w:sz w:val="26"/>
          <w:szCs w:val="26"/>
        </w:rPr>
        <w:t>official water sector institutions remains extremely limited</w:t>
      </w:r>
      <w:r w:rsidRPr="002F1769">
        <w:rPr>
          <w:rFonts w:asciiTheme="majorBidi" w:hAnsiTheme="majorBidi" w:cstheme="majorBidi"/>
          <w:sz w:val="26"/>
          <w:szCs w:val="26"/>
        </w:rPr>
        <w:t xml:space="preserve">, reflecting deep structural gaps. Data from a </w:t>
      </w:r>
      <w:r w:rsidRPr="002F1769">
        <w:rPr>
          <w:rStyle w:val="Strong"/>
          <w:rFonts w:asciiTheme="majorBidi" w:hAnsiTheme="majorBidi" w:cstheme="majorBidi"/>
          <w:b w:val="0"/>
          <w:bCs w:val="0"/>
          <w:sz w:val="26"/>
          <w:szCs w:val="26"/>
        </w:rPr>
        <w:t xml:space="preserve">World </w:t>
      </w:r>
      <w:r w:rsidRPr="002F1769">
        <w:rPr>
          <w:rStyle w:val="Strong"/>
          <w:rFonts w:asciiTheme="majorBidi" w:hAnsiTheme="majorBidi" w:cstheme="majorBidi"/>
          <w:b w:val="0"/>
          <w:bCs w:val="0"/>
          <w:sz w:val="26"/>
          <w:szCs w:val="26"/>
        </w:rPr>
        <w:lastRenderedPageBreak/>
        <w:t>Bank survey covering 64 water institutions in 28 entities operating in the water sector</w:t>
      </w:r>
      <w:r w:rsidRPr="002F1769">
        <w:rPr>
          <w:rFonts w:asciiTheme="majorBidi" w:hAnsiTheme="majorBidi" w:cstheme="majorBidi"/>
          <w:sz w:val="26"/>
          <w:szCs w:val="26"/>
        </w:rPr>
        <w:t xml:space="preserve"> indicate that the average representation of women in the workforce of these institutions </w:t>
      </w:r>
      <w:r w:rsidRPr="002F1769">
        <w:rPr>
          <w:rStyle w:val="Strong"/>
          <w:rFonts w:asciiTheme="majorBidi" w:hAnsiTheme="majorBidi" w:cstheme="majorBidi"/>
          <w:b w:val="0"/>
          <w:bCs w:val="0"/>
          <w:sz w:val="26"/>
          <w:szCs w:val="26"/>
        </w:rPr>
        <w:t>does not exceed 18%</w:t>
      </w:r>
      <w:r w:rsidRPr="002F1769">
        <w:rPr>
          <w:rFonts w:asciiTheme="majorBidi" w:hAnsiTheme="majorBidi" w:cstheme="majorBidi"/>
          <w:sz w:val="26"/>
          <w:szCs w:val="26"/>
        </w:rPr>
        <w:t xml:space="preserve">, compared to approximately </w:t>
      </w:r>
      <w:r w:rsidRPr="002F1769">
        <w:rPr>
          <w:rStyle w:val="Strong"/>
          <w:rFonts w:asciiTheme="majorBidi" w:hAnsiTheme="majorBidi" w:cstheme="majorBidi"/>
          <w:b w:val="0"/>
          <w:bCs w:val="0"/>
          <w:sz w:val="26"/>
          <w:szCs w:val="26"/>
        </w:rPr>
        <w:t>40% globally</w:t>
      </w:r>
      <w:r w:rsidRPr="002F1769">
        <w:rPr>
          <w:rFonts w:asciiTheme="majorBidi" w:hAnsiTheme="majorBidi" w:cstheme="majorBidi"/>
          <w:sz w:val="26"/>
          <w:szCs w:val="26"/>
        </w:rPr>
        <w:t>.</w:t>
      </w:r>
    </w:p>
    <w:p w14:paraId="419FF167" w14:textId="7829CCB6" w:rsidR="000F5EB1" w:rsidRPr="002F1769" w:rsidRDefault="000F5EB1" w:rsidP="00D562B8">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This percentage reflects a more complex reality. In the </w:t>
      </w:r>
      <w:r w:rsidRPr="002F1769">
        <w:rPr>
          <w:rStyle w:val="Strong"/>
          <w:rFonts w:asciiTheme="majorBidi" w:hAnsiTheme="majorBidi" w:cstheme="majorBidi"/>
          <w:b w:val="0"/>
          <w:bCs w:val="0"/>
          <w:sz w:val="26"/>
          <w:szCs w:val="26"/>
        </w:rPr>
        <w:t>West Bank</w:t>
      </w:r>
      <w:r w:rsidRPr="002F1769">
        <w:rPr>
          <w:rFonts w:asciiTheme="majorBidi" w:hAnsiTheme="majorBidi" w:cstheme="majorBidi"/>
          <w:sz w:val="26"/>
          <w:szCs w:val="26"/>
        </w:rPr>
        <w:t xml:space="preserve">, women working in the Palestinian Water Authority and municipalities face </w:t>
      </w:r>
      <w:r w:rsidRPr="002F1769">
        <w:rPr>
          <w:rStyle w:val="Strong"/>
          <w:rFonts w:asciiTheme="majorBidi" w:hAnsiTheme="majorBidi" w:cstheme="majorBidi"/>
          <w:b w:val="0"/>
          <w:bCs w:val="0"/>
          <w:sz w:val="26"/>
          <w:szCs w:val="26"/>
        </w:rPr>
        <w:t>multiple barriers</w:t>
      </w:r>
      <w:r w:rsidRPr="002F1769">
        <w:rPr>
          <w:rFonts w:asciiTheme="majorBidi" w:hAnsiTheme="majorBidi" w:cstheme="majorBidi"/>
          <w:sz w:val="26"/>
          <w:szCs w:val="26"/>
        </w:rPr>
        <w:t xml:space="preserve">, including </w:t>
      </w:r>
      <w:r w:rsidR="00D562B8" w:rsidRPr="002F1769">
        <w:rPr>
          <w:rFonts w:asciiTheme="majorBidi" w:hAnsiTheme="majorBidi" w:cstheme="majorBidi"/>
          <w:sz w:val="26"/>
          <w:szCs w:val="26"/>
        </w:rPr>
        <w:t xml:space="preserve">being concentrated </w:t>
      </w:r>
      <w:r w:rsidRPr="002F1769">
        <w:rPr>
          <w:rFonts w:asciiTheme="majorBidi" w:hAnsiTheme="majorBidi" w:cstheme="majorBidi"/>
          <w:sz w:val="26"/>
          <w:szCs w:val="26"/>
        </w:rPr>
        <w:t xml:space="preserve">in administrative and financial roles (traditionally considered “female” positions) rather than technical or field roles (such as operations and maintenance departments, where men constitute the overwhelming majority). This is largely due to prevailing social norms that view </w:t>
      </w:r>
      <w:r w:rsidR="00D45161" w:rsidRPr="002F1769">
        <w:rPr>
          <w:rFonts w:asciiTheme="majorBidi" w:hAnsiTheme="majorBidi" w:cstheme="majorBidi"/>
          <w:sz w:val="26"/>
          <w:szCs w:val="26"/>
        </w:rPr>
        <w:t>fieldwork</w:t>
      </w:r>
      <w:r w:rsidRPr="002F1769">
        <w:rPr>
          <w:rFonts w:asciiTheme="majorBidi" w:hAnsiTheme="majorBidi" w:cstheme="majorBidi"/>
          <w:sz w:val="26"/>
          <w:szCs w:val="26"/>
        </w:rPr>
        <w:t xml:space="preserve"> in water services as </w:t>
      </w:r>
      <w:r w:rsidRPr="002F1769">
        <w:rPr>
          <w:rStyle w:val="Strong"/>
          <w:rFonts w:asciiTheme="majorBidi" w:hAnsiTheme="majorBidi" w:cstheme="majorBidi"/>
          <w:b w:val="0"/>
          <w:bCs w:val="0"/>
          <w:sz w:val="26"/>
          <w:szCs w:val="26"/>
        </w:rPr>
        <w:t>unsuitable for women</w:t>
      </w:r>
      <w:r w:rsidRPr="002F1769">
        <w:rPr>
          <w:rFonts w:asciiTheme="majorBidi" w:hAnsiTheme="majorBidi" w:cstheme="majorBidi"/>
          <w:sz w:val="26"/>
          <w:szCs w:val="26"/>
        </w:rPr>
        <w:t>.</w:t>
      </w:r>
    </w:p>
    <w:p w14:paraId="1524A80D" w14:textId="60CA138D" w:rsidR="00A2279B" w:rsidRDefault="000F5EB1" w:rsidP="00A40D58">
      <w:pPr>
        <w:pStyle w:val="NormalWeb"/>
        <w:jc w:val="both"/>
        <w:rPr>
          <w:rFonts w:asciiTheme="majorBidi" w:hAnsiTheme="majorBidi" w:cstheme="majorBidi"/>
          <w:sz w:val="26"/>
          <w:szCs w:val="26"/>
        </w:rPr>
      </w:pPr>
      <w:r w:rsidRPr="002F1769">
        <w:rPr>
          <w:rFonts w:asciiTheme="majorBidi" w:hAnsiTheme="majorBidi" w:cstheme="majorBidi"/>
          <w:sz w:val="26"/>
          <w:szCs w:val="26"/>
        </w:rPr>
        <w:t xml:space="preserve">This absence does not only deprive women of </w:t>
      </w:r>
      <w:r w:rsidRPr="002F1769">
        <w:rPr>
          <w:rStyle w:val="Strong"/>
          <w:rFonts w:asciiTheme="majorBidi" w:hAnsiTheme="majorBidi" w:cstheme="majorBidi"/>
          <w:b w:val="0"/>
          <w:bCs w:val="0"/>
          <w:sz w:val="26"/>
          <w:szCs w:val="26"/>
        </w:rPr>
        <w:t>decent and sustainable employment opportunities</w:t>
      </w:r>
      <w:r w:rsidRPr="002F1769">
        <w:rPr>
          <w:rFonts w:asciiTheme="majorBidi" w:hAnsiTheme="majorBidi" w:cstheme="majorBidi"/>
          <w:sz w:val="26"/>
          <w:szCs w:val="26"/>
        </w:rPr>
        <w:t xml:space="preserve">, but also deprives water institutions of </w:t>
      </w:r>
      <w:r w:rsidRPr="002F1769">
        <w:rPr>
          <w:rStyle w:val="Strong"/>
          <w:rFonts w:asciiTheme="majorBidi" w:hAnsiTheme="majorBidi" w:cstheme="majorBidi"/>
          <w:b w:val="0"/>
          <w:bCs w:val="0"/>
          <w:sz w:val="26"/>
          <w:szCs w:val="26"/>
        </w:rPr>
        <w:t>half of their innovative capacity and their ability to understand the needs of half of society</w:t>
      </w:r>
      <w:r w:rsidR="00D45161" w:rsidRPr="002F1769">
        <w:rPr>
          <w:rStyle w:val="Strong"/>
          <w:rFonts w:asciiTheme="majorBidi" w:hAnsiTheme="majorBidi" w:cstheme="majorBidi"/>
          <w:b w:val="0"/>
          <w:bCs w:val="0"/>
          <w:sz w:val="26"/>
          <w:szCs w:val="26"/>
        </w:rPr>
        <w:t xml:space="preserve"> (women) </w:t>
      </w:r>
      <w:r w:rsidRPr="002F1769">
        <w:rPr>
          <w:rStyle w:val="Strong"/>
          <w:rFonts w:asciiTheme="majorBidi" w:hAnsiTheme="majorBidi" w:cstheme="majorBidi"/>
          <w:b w:val="0"/>
          <w:bCs w:val="0"/>
          <w:sz w:val="26"/>
          <w:szCs w:val="26"/>
        </w:rPr>
        <w:t>who are the primary users of water within households</w:t>
      </w:r>
      <w:r w:rsidRPr="002F1769">
        <w:rPr>
          <w:rFonts w:asciiTheme="majorBidi" w:hAnsiTheme="majorBidi" w:cstheme="majorBidi"/>
          <w:sz w:val="26"/>
          <w:szCs w:val="26"/>
        </w:rPr>
        <w:t>.</w:t>
      </w:r>
    </w:p>
    <w:p w14:paraId="435CE848" w14:textId="77777777" w:rsidR="002F1769" w:rsidRPr="002F1769" w:rsidRDefault="002F1769" w:rsidP="00A40D58">
      <w:pPr>
        <w:pStyle w:val="NormalWeb"/>
        <w:jc w:val="both"/>
        <w:rPr>
          <w:rFonts w:asciiTheme="majorBidi" w:hAnsiTheme="majorBidi" w:cstheme="majorBidi"/>
          <w:sz w:val="26"/>
          <w:szCs w:val="26"/>
        </w:rPr>
      </w:pPr>
    </w:p>
    <w:p w14:paraId="5ADB93F1" w14:textId="77777777" w:rsidR="002F1769" w:rsidRDefault="00DB75FC" w:rsidP="000115F6">
      <w:pPr>
        <w:bidi w:val="0"/>
        <w:jc w:val="both"/>
        <w:rPr>
          <w:rFonts w:asciiTheme="majorBidi" w:hAnsiTheme="majorBidi" w:cstheme="majorBidi"/>
          <w:b/>
          <w:bCs/>
        </w:rPr>
      </w:pPr>
      <w:r w:rsidRPr="002F1769">
        <w:rPr>
          <w:rFonts w:asciiTheme="majorBidi" w:hAnsiTheme="majorBidi" w:cstheme="majorBidi"/>
          <w:b/>
          <w:bCs/>
        </w:rPr>
        <w:t>Note:</w:t>
      </w:r>
      <w:r w:rsidR="00805C10" w:rsidRPr="002F1769">
        <w:rPr>
          <w:rFonts w:asciiTheme="majorBidi" w:hAnsiTheme="majorBidi" w:cstheme="majorBidi"/>
          <w:b/>
          <w:bCs/>
        </w:rPr>
        <w:t xml:space="preserve"> </w:t>
      </w:r>
    </w:p>
    <w:p w14:paraId="3F58D906" w14:textId="318F206C" w:rsidR="00805C10" w:rsidRPr="002F1769" w:rsidRDefault="00805C10" w:rsidP="002F1769">
      <w:pPr>
        <w:bidi w:val="0"/>
        <w:jc w:val="both"/>
        <w:rPr>
          <w:rFonts w:asciiTheme="majorBidi" w:hAnsiTheme="majorBidi" w:cstheme="majorBidi"/>
          <w:b/>
          <w:bCs/>
        </w:rPr>
      </w:pPr>
      <w:r w:rsidRPr="002F1769">
        <w:rPr>
          <w:rFonts w:asciiTheme="majorBidi" w:hAnsiTheme="majorBidi" w:cstheme="majorBidi"/>
          <w:b/>
          <w:bCs/>
        </w:rPr>
        <w:t xml:space="preserve">Data </w:t>
      </w:r>
      <w:r w:rsidR="0072389E" w:rsidRPr="002F1769">
        <w:rPr>
          <w:rFonts w:asciiTheme="majorBidi" w:hAnsiTheme="majorBidi" w:cstheme="majorBidi"/>
          <w:b/>
          <w:bCs/>
        </w:rPr>
        <w:t>mentioned</w:t>
      </w:r>
      <w:r w:rsidR="00291394" w:rsidRPr="002F1769">
        <w:rPr>
          <w:rFonts w:asciiTheme="majorBidi" w:hAnsiTheme="majorBidi" w:cstheme="majorBidi"/>
          <w:b/>
          <w:bCs/>
        </w:rPr>
        <w:t xml:space="preserve"> in </w:t>
      </w:r>
      <w:r w:rsidR="00727E54" w:rsidRPr="002F1769">
        <w:rPr>
          <w:rFonts w:asciiTheme="majorBidi" w:hAnsiTheme="majorBidi" w:cstheme="majorBidi"/>
          <w:b/>
          <w:bCs/>
        </w:rPr>
        <w:t xml:space="preserve">this </w:t>
      </w:r>
      <w:r w:rsidR="00291394" w:rsidRPr="002F1769">
        <w:rPr>
          <w:rFonts w:asciiTheme="majorBidi" w:hAnsiTheme="majorBidi" w:cstheme="majorBidi"/>
          <w:b/>
          <w:bCs/>
        </w:rPr>
        <w:t xml:space="preserve">press release </w:t>
      </w:r>
      <w:r w:rsidR="007D4675" w:rsidRPr="002F1769">
        <w:rPr>
          <w:rFonts w:asciiTheme="majorBidi" w:hAnsiTheme="majorBidi" w:cstheme="majorBidi"/>
          <w:b/>
          <w:bCs/>
        </w:rPr>
        <w:t xml:space="preserve">exclude those parts of </w:t>
      </w:r>
      <w:r w:rsidR="0061028A" w:rsidRPr="002F1769">
        <w:rPr>
          <w:rFonts w:asciiTheme="majorBidi" w:hAnsiTheme="majorBidi" w:cstheme="majorBidi"/>
          <w:b/>
          <w:bCs/>
        </w:rPr>
        <w:t>Jerusalem, which</w:t>
      </w:r>
      <w:r w:rsidR="007D4675" w:rsidRPr="002F1769">
        <w:rPr>
          <w:rFonts w:asciiTheme="majorBidi" w:hAnsiTheme="majorBidi" w:cstheme="majorBidi"/>
          <w:b/>
          <w:bCs/>
        </w:rPr>
        <w:t xml:space="preserve"> were annexed by </w:t>
      </w:r>
      <w:r w:rsidR="00CD2B9F" w:rsidRPr="002F1769">
        <w:rPr>
          <w:rFonts w:asciiTheme="majorBidi" w:hAnsiTheme="majorBidi" w:cstheme="majorBidi"/>
          <w:b/>
          <w:bCs/>
        </w:rPr>
        <w:t xml:space="preserve">the </w:t>
      </w:r>
      <w:r w:rsidR="007D4675" w:rsidRPr="002F1769">
        <w:rPr>
          <w:rFonts w:asciiTheme="majorBidi" w:hAnsiTheme="majorBidi" w:cstheme="majorBidi"/>
          <w:b/>
          <w:bCs/>
        </w:rPr>
        <w:t xml:space="preserve">Israeli </w:t>
      </w:r>
      <w:r w:rsidR="00E23BA1" w:rsidRPr="002F1769">
        <w:rPr>
          <w:rFonts w:asciiTheme="majorBidi" w:hAnsiTheme="majorBidi" w:cstheme="majorBidi"/>
          <w:b/>
          <w:bCs/>
        </w:rPr>
        <w:t xml:space="preserve">occupation </w:t>
      </w:r>
      <w:r w:rsidR="007D4675" w:rsidRPr="002F1769">
        <w:rPr>
          <w:rFonts w:asciiTheme="majorBidi" w:hAnsiTheme="majorBidi" w:cstheme="majorBidi"/>
          <w:b/>
          <w:bCs/>
        </w:rPr>
        <w:t>in 1967.</w:t>
      </w:r>
    </w:p>
    <w:p w14:paraId="710533CF" w14:textId="77777777" w:rsidR="00F35A32" w:rsidRPr="00D6381B" w:rsidRDefault="00F35A32" w:rsidP="00F35A32">
      <w:pPr>
        <w:bidi w:val="0"/>
        <w:jc w:val="both"/>
        <w:rPr>
          <w:rFonts w:asciiTheme="majorBidi" w:hAnsiTheme="majorBidi" w:cstheme="majorBidi"/>
          <w:b/>
          <w:bCs/>
          <w:sz w:val="22"/>
          <w:szCs w:val="22"/>
        </w:rPr>
      </w:pPr>
    </w:p>
    <w:tbl>
      <w:tblPr>
        <w:tblStyle w:val="TableGrid"/>
        <w:tblW w:w="6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4"/>
      </w:tblGrid>
      <w:tr w:rsidR="002F1769" w:rsidRPr="00D6381B" w14:paraId="3F99EEA3" w14:textId="76FA2C95" w:rsidTr="002F1769">
        <w:trPr>
          <w:trHeight w:val="3261"/>
        </w:trPr>
        <w:tc>
          <w:tcPr>
            <w:tcW w:w="6034" w:type="dxa"/>
            <w:vMerge w:val="restart"/>
          </w:tcPr>
          <w:p w14:paraId="768D34D4" w14:textId="419ADFA6" w:rsidR="002F1769" w:rsidRPr="00D6381B" w:rsidRDefault="002F1769" w:rsidP="00E35D79">
            <w:pPr>
              <w:bidi w:val="0"/>
              <w:jc w:val="both"/>
              <w:rPr>
                <w:rFonts w:asciiTheme="majorBidi" w:hAnsiTheme="majorBidi" w:cstheme="majorBidi"/>
                <w:b/>
                <w:bCs/>
                <w:sz w:val="22"/>
                <w:szCs w:val="22"/>
              </w:rPr>
            </w:pPr>
          </w:p>
        </w:tc>
      </w:tr>
      <w:tr w:rsidR="002F1769" w:rsidRPr="00D6381B" w14:paraId="047772DA" w14:textId="055D1AB8" w:rsidTr="002F1769">
        <w:trPr>
          <w:trHeight w:val="2192"/>
        </w:trPr>
        <w:tc>
          <w:tcPr>
            <w:tcW w:w="6034" w:type="dxa"/>
            <w:vMerge/>
          </w:tcPr>
          <w:p w14:paraId="5FD6C08F" w14:textId="77777777" w:rsidR="002F1769" w:rsidRPr="00D6381B" w:rsidRDefault="002F1769" w:rsidP="00E35D79">
            <w:pPr>
              <w:bidi w:val="0"/>
              <w:jc w:val="both"/>
              <w:rPr>
                <w:rFonts w:asciiTheme="majorBidi" w:hAnsiTheme="majorBidi" w:cstheme="majorBidi"/>
                <w:b/>
                <w:bCs/>
                <w:sz w:val="22"/>
                <w:szCs w:val="22"/>
              </w:rPr>
            </w:pPr>
          </w:p>
        </w:tc>
      </w:tr>
    </w:tbl>
    <w:p w14:paraId="0E390A04" w14:textId="77777777" w:rsidR="008A6767" w:rsidRPr="00D6381B" w:rsidRDefault="008A6767" w:rsidP="00A40D58">
      <w:pPr>
        <w:autoSpaceDE w:val="0"/>
        <w:autoSpaceDN w:val="0"/>
        <w:bidi w:val="0"/>
        <w:adjustRightInd w:val="0"/>
        <w:rPr>
          <w:rFonts w:asciiTheme="majorBidi" w:hAnsiTheme="majorBidi" w:cstheme="majorBidi"/>
          <w:sz w:val="22"/>
          <w:szCs w:val="22"/>
          <w:rtl/>
        </w:rPr>
      </w:pPr>
    </w:p>
    <w:sectPr w:rsidR="008A6767" w:rsidRPr="00D6381B" w:rsidSect="002F1769">
      <w:headerReference w:type="default" r:id="rId8"/>
      <w:footerReference w:type="default" r:id="rId9"/>
      <w:type w:val="continuous"/>
      <w:pgSz w:w="11906" w:h="16838" w:code="9"/>
      <w:pgMar w:top="1418" w:right="1133" w:bottom="1418" w:left="1170" w:header="709" w:footer="709" w:gutter="0"/>
      <w:cols w:space="47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1A61" w14:textId="77777777" w:rsidR="00E60632" w:rsidRDefault="00E60632">
      <w:r>
        <w:separator/>
      </w:r>
    </w:p>
  </w:endnote>
  <w:endnote w:type="continuationSeparator" w:id="0">
    <w:p w14:paraId="6F952170" w14:textId="77777777" w:rsidR="00E60632" w:rsidRDefault="00E6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7767012"/>
      <w:docPartObj>
        <w:docPartGallery w:val="Page Numbers (Bottom of Page)"/>
        <w:docPartUnique/>
      </w:docPartObj>
    </w:sdtPr>
    <w:sdtEndPr>
      <w:rPr>
        <w:noProof/>
      </w:rPr>
    </w:sdtEndPr>
    <w:sdtContent>
      <w:p w14:paraId="43D3433F" w14:textId="1A319BFB" w:rsidR="002F1769" w:rsidRDefault="002F1769">
        <w:pPr>
          <w:pStyle w:val="Footer"/>
          <w:jc w:val="center"/>
        </w:pPr>
        <w:r>
          <w:fldChar w:fldCharType="begin"/>
        </w:r>
        <w:r>
          <w:instrText xml:space="preserve"> PAGE   \* MERGEFORMAT </w:instrText>
        </w:r>
        <w:r>
          <w:fldChar w:fldCharType="separate"/>
        </w:r>
        <w:r>
          <w:rPr>
            <w:noProof/>
            <w:rtl/>
          </w:rPr>
          <w:t>6</w:t>
        </w:r>
        <w:r>
          <w:rPr>
            <w:noProof/>
          </w:rPr>
          <w:fldChar w:fldCharType="end"/>
        </w:r>
      </w:p>
    </w:sdtContent>
  </w:sdt>
  <w:p w14:paraId="38316C31" w14:textId="77777777" w:rsidR="002F1769" w:rsidRDefault="002F17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AB1B" w14:textId="77777777" w:rsidR="00E60632" w:rsidRDefault="00E60632">
      <w:r>
        <w:separator/>
      </w:r>
    </w:p>
  </w:footnote>
  <w:footnote w:type="continuationSeparator" w:id="0">
    <w:p w14:paraId="4D61ACC2" w14:textId="77777777" w:rsidR="00E60632" w:rsidRDefault="00E606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E1C2" w14:textId="77777777" w:rsidR="002F3CAF" w:rsidRDefault="002F3CAF">
    <w:pPr>
      <w:pStyle w:val="Header"/>
    </w:pPr>
  </w:p>
  <w:p w14:paraId="6924DB96" w14:textId="77777777" w:rsidR="00A40D58" w:rsidRDefault="00A40D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3B70FE7"/>
    <w:multiLevelType w:val="hybridMultilevel"/>
    <w:tmpl w:val="03AC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1"/>
    <w:rsid w:val="00002968"/>
    <w:rsid w:val="00004FC0"/>
    <w:rsid w:val="000115F6"/>
    <w:rsid w:val="000150E2"/>
    <w:rsid w:val="0001583B"/>
    <w:rsid w:val="00020026"/>
    <w:rsid w:val="0002098C"/>
    <w:rsid w:val="00030FB5"/>
    <w:rsid w:val="00032A47"/>
    <w:rsid w:val="000367A9"/>
    <w:rsid w:val="00036E67"/>
    <w:rsid w:val="00042DAB"/>
    <w:rsid w:val="00042E4E"/>
    <w:rsid w:val="00053F0F"/>
    <w:rsid w:val="000574B2"/>
    <w:rsid w:val="00057FD8"/>
    <w:rsid w:val="000624E2"/>
    <w:rsid w:val="00062F11"/>
    <w:rsid w:val="00065C1F"/>
    <w:rsid w:val="00065E2F"/>
    <w:rsid w:val="000812FC"/>
    <w:rsid w:val="00095BFD"/>
    <w:rsid w:val="0009792A"/>
    <w:rsid w:val="000A2F70"/>
    <w:rsid w:val="000A581F"/>
    <w:rsid w:val="000A68B0"/>
    <w:rsid w:val="000A6973"/>
    <w:rsid w:val="000B47C2"/>
    <w:rsid w:val="000B552A"/>
    <w:rsid w:val="000B5C54"/>
    <w:rsid w:val="000D0751"/>
    <w:rsid w:val="000D0E3D"/>
    <w:rsid w:val="000D2960"/>
    <w:rsid w:val="000D4B50"/>
    <w:rsid w:val="000D5C06"/>
    <w:rsid w:val="000D6341"/>
    <w:rsid w:val="000E1CED"/>
    <w:rsid w:val="000E307E"/>
    <w:rsid w:val="000E3113"/>
    <w:rsid w:val="000E4084"/>
    <w:rsid w:val="000E76B5"/>
    <w:rsid w:val="000F3AC8"/>
    <w:rsid w:val="000F43B7"/>
    <w:rsid w:val="000F5EB1"/>
    <w:rsid w:val="000F6FD5"/>
    <w:rsid w:val="000F742B"/>
    <w:rsid w:val="001023CE"/>
    <w:rsid w:val="00104D89"/>
    <w:rsid w:val="001050B5"/>
    <w:rsid w:val="0011181B"/>
    <w:rsid w:val="00112158"/>
    <w:rsid w:val="00113C5C"/>
    <w:rsid w:val="00115A84"/>
    <w:rsid w:val="00115CE9"/>
    <w:rsid w:val="00117135"/>
    <w:rsid w:val="00123AC3"/>
    <w:rsid w:val="0012653F"/>
    <w:rsid w:val="001269F0"/>
    <w:rsid w:val="00130D76"/>
    <w:rsid w:val="001312AA"/>
    <w:rsid w:val="00131377"/>
    <w:rsid w:val="00134E3D"/>
    <w:rsid w:val="00144965"/>
    <w:rsid w:val="00145DBC"/>
    <w:rsid w:val="00150457"/>
    <w:rsid w:val="00150ABA"/>
    <w:rsid w:val="0015126B"/>
    <w:rsid w:val="0016186C"/>
    <w:rsid w:val="00162256"/>
    <w:rsid w:val="00164DCA"/>
    <w:rsid w:val="00165B29"/>
    <w:rsid w:val="00166344"/>
    <w:rsid w:val="00166692"/>
    <w:rsid w:val="00166FDF"/>
    <w:rsid w:val="001745FD"/>
    <w:rsid w:val="001754CD"/>
    <w:rsid w:val="00177F10"/>
    <w:rsid w:val="001815CF"/>
    <w:rsid w:val="00182C46"/>
    <w:rsid w:val="00184902"/>
    <w:rsid w:val="001856AA"/>
    <w:rsid w:val="0018757A"/>
    <w:rsid w:val="001909A9"/>
    <w:rsid w:val="00191BFF"/>
    <w:rsid w:val="00197732"/>
    <w:rsid w:val="001A0D0C"/>
    <w:rsid w:val="001A12AB"/>
    <w:rsid w:val="001A16F7"/>
    <w:rsid w:val="001A1ECB"/>
    <w:rsid w:val="001A2959"/>
    <w:rsid w:val="001B0C8D"/>
    <w:rsid w:val="001B0FE6"/>
    <w:rsid w:val="001B12BE"/>
    <w:rsid w:val="001B26C1"/>
    <w:rsid w:val="001B286A"/>
    <w:rsid w:val="001B2AD4"/>
    <w:rsid w:val="001B3733"/>
    <w:rsid w:val="001B684A"/>
    <w:rsid w:val="001C43C9"/>
    <w:rsid w:val="001C451F"/>
    <w:rsid w:val="001C4ACE"/>
    <w:rsid w:val="001D20D0"/>
    <w:rsid w:val="001D2DCA"/>
    <w:rsid w:val="001D7683"/>
    <w:rsid w:val="001E28B5"/>
    <w:rsid w:val="001E4A9B"/>
    <w:rsid w:val="001E51BE"/>
    <w:rsid w:val="001E6E8C"/>
    <w:rsid w:val="001E7C82"/>
    <w:rsid w:val="001F1296"/>
    <w:rsid w:val="001F25F8"/>
    <w:rsid w:val="002049D7"/>
    <w:rsid w:val="00205B1E"/>
    <w:rsid w:val="00205EB7"/>
    <w:rsid w:val="00206A80"/>
    <w:rsid w:val="002076C3"/>
    <w:rsid w:val="0021221E"/>
    <w:rsid w:val="0021673A"/>
    <w:rsid w:val="00217857"/>
    <w:rsid w:val="002316A2"/>
    <w:rsid w:val="00232172"/>
    <w:rsid w:val="002348E6"/>
    <w:rsid w:val="00242580"/>
    <w:rsid w:val="002435A3"/>
    <w:rsid w:val="00243CC3"/>
    <w:rsid w:val="00246341"/>
    <w:rsid w:val="00247649"/>
    <w:rsid w:val="00247744"/>
    <w:rsid w:val="00251985"/>
    <w:rsid w:val="002530A4"/>
    <w:rsid w:val="00254525"/>
    <w:rsid w:val="00255BEA"/>
    <w:rsid w:val="002660BE"/>
    <w:rsid w:val="002666CA"/>
    <w:rsid w:val="00271E44"/>
    <w:rsid w:val="00271F65"/>
    <w:rsid w:val="002724A0"/>
    <w:rsid w:val="00272A24"/>
    <w:rsid w:val="00274808"/>
    <w:rsid w:val="00275E8E"/>
    <w:rsid w:val="0027762C"/>
    <w:rsid w:val="002822E4"/>
    <w:rsid w:val="002856DA"/>
    <w:rsid w:val="0029020F"/>
    <w:rsid w:val="00291394"/>
    <w:rsid w:val="00291763"/>
    <w:rsid w:val="00295DFA"/>
    <w:rsid w:val="00296E24"/>
    <w:rsid w:val="0029774F"/>
    <w:rsid w:val="002A2F23"/>
    <w:rsid w:val="002A4D57"/>
    <w:rsid w:val="002B09E2"/>
    <w:rsid w:val="002B283F"/>
    <w:rsid w:val="002B2BF8"/>
    <w:rsid w:val="002B39BE"/>
    <w:rsid w:val="002B4586"/>
    <w:rsid w:val="002C032D"/>
    <w:rsid w:val="002C0F82"/>
    <w:rsid w:val="002C704E"/>
    <w:rsid w:val="002D083D"/>
    <w:rsid w:val="002D0DA3"/>
    <w:rsid w:val="002D1775"/>
    <w:rsid w:val="002D1A50"/>
    <w:rsid w:val="002D288C"/>
    <w:rsid w:val="002D33E0"/>
    <w:rsid w:val="002D7305"/>
    <w:rsid w:val="002E2372"/>
    <w:rsid w:val="002E2928"/>
    <w:rsid w:val="002E3D11"/>
    <w:rsid w:val="002E4C46"/>
    <w:rsid w:val="002E4F8E"/>
    <w:rsid w:val="002E579B"/>
    <w:rsid w:val="002F001B"/>
    <w:rsid w:val="002F0F74"/>
    <w:rsid w:val="002F12B3"/>
    <w:rsid w:val="002F1769"/>
    <w:rsid w:val="002F18F7"/>
    <w:rsid w:val="002F1C58"/>
    <w:rsid w:val="002F3CAF"/>
    <w:rsid w:val="00301FFA"/>
    <w:rsid w:val="00302F8F"/>
    <w:rsid w:val="00312602"/>
    <w:rsid w:val="00313E5D"/>
    <w:rsid w:val="00314CBE"/>
    <w:rsid w:val="00323FD9"/>
    <w:rsid w:val="00324091"/>
    <w:rsid w:val="00325301"/>
    <w:rsid w:val="00327270"/>
    <w:rsid w:val="0033077C"/>
    <w:rsid w:val="003317BE"/>
    <w:rsid w:val="0033241A"/>
    <w:rsid w:val="003335A6"/>
    <w:rsid w:val="00334EB3"/>
    <w:rsid w:val="00337CC7"/>
    <w:rsid w:val="00342E67"/>
    <w:rsid w:val="003465A7"/>
    <w:rsid w:val="003506FC"/>
    <w:rsid w:val="00354341"/>
    <w:rsid w:val="00354AAC"/>
    <w:rsid w:val="00357CC1"/>
    <w:rsid w:val="0036680F"/>
    <w:rsid w:val="00370D7D"/>
    <w:rsid w:val="00372814"/>
    <w:rsid w:val="00373B7C"/>
    <w:rsid w:val="00380626"/>
    <w:rsid w:val="003809F1"/>
    <w:rsid w:val="00380ABB"/>
    <w:rsid w:val="00382442"/>
    <w:rsid w:val="00385209"/>
    <w:rsid w:val="0039718B"/>
    <w:rsid w:val="003A40E2"/>
    <w:rsid w:val="003A555E"/>
    <w:rsid w:val="003B2A59"/>
    <w:rsid w:val="003C10A1"/>
    <w:rsid w:val="003D2B15"/>
    <w:rsid w:val="003D3F6E"/>
    <w:rsid w:val="003D632D"/>
    <w:rsid w:val="003E57EA"/>
    <w:rsid w:val="003F0D70"/>
    <w:rsid w:val="003F371A"/>
    <w:rsid w:val="003F6144"/>
    <w:rsid w:val="003F65C7"/>
    <w:rsid w:val="004000F0"/>
    <w:rsid w:val="00400978"/>
    <w:rsid w:val="0040360E"/>
    <w:rsid w:val="00404D6A"/>
    <w:rsid w:val="00405946"/>
    <w:rsid w:val="00411DD4"/>
    <w:rsid w:val="00412C7F"/>
    <w:rsid w:val="00412CD0"/>
    <w:rsid w:val="00417DC5"/>
    <w:rsid w:val="00420063"/>
    <w:rsid w:val="004218A5"/>
    <w:rsid w:val="00426732"/>
    <w:rsid w:val="00432EA8"/>
    <w:rsid w:val="00435D67"/>
    <w:rsid w:val="004379F3"/>
    <w:rsid w:val="00440796"/>
    <w:rsid w:val="0044092E"/>
    <w:rsid w:val="00441A1F"/>
    <w:rsid w:val="00447D4D"/>
    <w:rsid w:val="004515DF"/>
    <w:rsid w:val="0045216E"/>
    <w:rsid w:val="004527B1"/>
    <w:rsid w:val="00454287"/>
    <w:rsid w:val="00460BAF"/>
    <w:rsid w:val="00460C24"/>
    <w:rsid w:val="004700A4"/>
    <w:rsid w:val="00470AD2"/>
    <w:rsid w:val="00476AF3"/>
    <w:rsid w:val="004807B6"/>
    <w:rsid w:val="00482E05"/>
    <w:rsid w:val="004836EF"/>
    <w:rsid w:val="00483868"/>
    <w:rsid w:val="00486743"/>
    <w:rsid w:val="00490934"/>
    <w:rsid w:val="00491913"/>
    <w:rsid w:val="00493AC3"/>
    <w:rsid w:val="00494027"/>
    <w:rsid w:val="004951F8"/>
    <w:rsid w:val="004972DB"/>
    <w:rsid w:val="00497D78"/>
    <w:rsid w:val="004A0DDF"/>
    <w:rsid w:val="004A0F6B"/>
    <w:rsid w:val="004A4055"/>
    <w:rsid w:val="004A5553"/>
    <w:rsid w:val="004A7A5C"/>
    <w:rsid w:val="004C46F2"/>
    <w:rsid w:val="004C56DD"/>
    <w:rsid w:val="004E087A"/>
    <w:rsid w:val="004F244B"/>
    <w:rsid w:val="004F46A4"/>
    <w:rsid w:val="004F4B17"/>
    <w:rsid w:val="004F57D2"/>
    <w:rsid w:val="004F7D91"/>
    <w:rsid w:val="00505539"/>
    <w:rsid w:val="005056BD"/>
    <w:rsid w:val="005101D0"/>
    <w:rsid w:val="00510A5A"/>
    <w:rsid w:val="00513539"/>
    <w:rsid w:val="005174B3"/>
    <w:rsid w:val="00525481"/>
    <w:rsid w:val="00525EF7"/>
    <w:rsid w:val="00531208"/>
    <w:rsid w:val="00531831"/>
    <w:rsid w:val="00535970"/>
    <w:rsid w:val="00545FBB"/>
    <w:rsid w:val="00553BF7"/>
    <w:rsid w:val="00553E3E"/>
    <w:rsid w:val="005562EA"/>
    <w:rsid w:val="005623D3"/>
    <w:rsid w:val="005703EC"/>
    <w:rsid w:val="00570628"/>
    <w:rsid w:val="00572B59"/>
    <w:rsid w:val="00573C65"/>
    <w:rsid w:val="005746D3"/>
    <w:rsid w:val="00574927"/>
    <w:rsid w:val="00576729"/>
    <w:rsid w:val="005776B0"/>
    <w:rsid w:val="00580968"/>
    <w:rsid w:val="00586AFF"/>
    <w:rsid w:val="00592540"/>
    <w:rsid w:val="00593675"/>
    <w:rsid w:val="005956C9"/>
    <w:rsid w:val="005973E7"/>
    <w:rsid w:val="005A334A"/>
    <w:rsid w:val="005A665D"/>
    <w:rsid w:val="005A6BDF"/>
    <w:rsid w:val="005B1F83"/>
    <w:rsid w:val="005B5259"/>
    <w:rsid w:val="005B7E0F"/>
    <w:rsid w:val="005C0CA0"/>
    <w:rsid w:val="005C132A"/>
    <w:rsid w:val="005C357E"/>
    <w:rsid w:val="005C5C70"/>
    <w:rsid w:val="005D2D54"/>
    <w:rsid w:val="005D53A1"/>
    <w:rsid w:val="005E26A0"/>
    <w:rsid w:val="005E5402"/>
    <w:rsid w:val="005F2DBF"/>
    <w:rsid w:val="005F412D"/>
    <w:rsid w:val="005F4532"/>
    <w:rsid w:val="005F5A35"/>
    <w:rsid w:val="006035AC"/>
    <w:rsid w:val="006043F2"/>
    <w:rsid w:val="00606DAF"/>
    <w:rsid w:val="006072FB"/>
    <w:rsid w:val="0061028A"/>
    <w:rsid w:val="006115EC"/>
    <w:rsid w:val="00613D54"/>
    <w:rsid w:val="006151FC"/>
    <w:rsid w:val="006218C5"/>
    <w:rsid w:val="00624925"/>
    <w:rsid w:val="00624B66"/>
    <w:rsid w:val="00624B9F"/>
    <w:rsid w:val="00632CE3"/>
    <w:rsid w:val="00633BCF"/>
    <w:rsid w:val="00633FDE"/>
    <w:rsid w:val="006409F3"/>
    <w:rsid w:val="00642670"/>
    <w:rsid w:val="00642F4B"/>
    <w:rsid w:val="00643586"/>
    <w:rsid w:val="0064694C"/>
    <w:rsid w:val="00646CAB"/>
    <w:rsid w:val="006478E9"/>
    <w:rsid w:val="006514C6"/>
    <w:rsid w:val="0065526A"/>
    <w:rsid w:val="00663FB8"/>
    <w:rsid w:val="00671785"/>
    <w:rsid w:val="006753BD"/>
    <w:rsid w:val="00676666"/>
    <w:rsid w:val="006847E0"/>
    <w:rsid w:val="00685BB0"/>
    <w:rsid w:val="006960FC"/>
    <w:rsid w:val="006A5529"/>
    <w:rsid w:val="006A62D9"/>
    <w:rsid w:val="006B04DD"/>
    <w:rsid w:val="006B1D22"/>
    <w:rsid w:val="006B6FAB"/>
    <w:rsid w:val="006C116A"/>
    <w:rsid w:val="006C5A6D"/>
    <w:rsid w:val="006C6B30"/>
    <w:rsid w:val="006D5036"/>
    <w:rsid w:val="006D6114"/>
    <w:rsid w:val="006E196A"/>
    <w:rsid w:val="006F2C30"/>
    <w:rsid w:val="006F4894"/>
    <w:rsid w:val="006F4D57"/>
    <w:rsid w:val="006F6072"/>
    <w:rsid w:val="00702B4F"/>
    <w:rsid w:val="00704576"/>
    <w:rsid w:val="007052F2"/>
    <w:rsid w:val="00705351"/>
    <w:rsid w:val="00705C49"/>
    <w:rsid w:val="0070688B"/>
    <w:rsid w:val="00706AD8"/>
    <w:rsid w:val="00707E4F"/>
    <w:rsid w:val="00707F5E"/>
    <w:rsid w:val="00710C67"/>
    <w:rsid w:val="0071777F"/>
    <w:rsid w:val="00720E3F"/>
    <w:rsid w:val="0072389E"/>
    <w:rsid w:val="007243CB"/>
    <w:rsid w:val="007269D4"/>
    <w:rsid w:val="00727E54"/>
    <w:rsid w:val="007348B7"/>
    <w:rsid w:val="007358EC"/>
    <w:rsid w:val="0073613C"/>
    <w:rsid w:val="0073618B"/>
    <w:rsid w:val="00736334"/>
    <w:rsid w:val="00741AF8"/>
    <w:rsid w:val="007432AB"/>
    <w:rsid w:val="00753741"/>
    <w:rsid w:val="00754295"/>
    <w:rsid w:val="00754BCD"/>
    <w:rsid w:val="00761547"/>
    <w:rsid w:val="0076211C"/>
    <w:rsid w:val="0076318F"/>
    <w:rsid w:val="00767229"/>
    <w:rsid w:val="00771A44"/>
    <w:rsid w:val="007731A5"/>
    <w:rsid w:val="00775950"/>
    <w:rsid w:val="00780057"/>
    <w:rsid w:val="0078650A"/>
    <w:rsid w:val="00794A19"/>
    <w:rsid w:val="00795EF1"/>
    <w:rsid w:val="007A22CC"/>
    <w:rsid w:val="007A28CA"/>
    <w:rsid w:val="007A2AA7"/>
    <w:rsid w:val="007A38CD"/>
    <w:rsid w:val="007A50E8"/>
    <w:rsid w:val="007A565A"/>
    <w:rsid w:val="007A6DDA"/>
    <w:rsid w:val="007B06D1"/>
    <w:rsid w:val="007B67F8"/>
    <w:rsid w:val="007B73FF"/>
    <w:rsid w:val="007C3D56"/>
    <w:rsid w:val="007C64C3"/>
    <w:rsid w:val="007C663F"/>
    <w:rsid w:val="007C7251"/>
    <w:rsid w:val="007D08F9"/>
    <w:rsid w:val="007D37D3"/>
    <w:rsid w:val="007D3DE0"/>
    <w:rsid w:val="007D4675"/>
    <w:rsid w:val="007D77BF"/>
    <w:rsid w:val="007E2DE9"/>
    <w:rsid w:val="007E49D6"/>
    <w:rsid w:val="007E4F28"/>
    <w:rsid w:val="007E5BC6"/>
    <w:rsid w:val="007E7858"/>
    <w:rsid w:val="007F0436"/>
    <w:rsid w:val="007F3202"/>
    <w:rsid w:val="00801441"/>
    <w:rsid w:val="00801DE5"/>
    <w:rsid w:val="00804DCA"/>
    <w:rsid w:val="00805C10"/>
    <w:rsid w:val="008068A5"/>
    <w:rsid w:val="00807734"/>
    <w:rsid w:val="00810225"/>
    <w:rsid w:val="008108A6"/>
    <w:rsid w:val="00810DA7"/>
    <w:rsid w:val="00810FBA"/>
    <w:rsid w:val="00813272"/>
    <w:rsid w:val="008158B4"/>
    <w:rsid w:val="00815D4E"/>
    <w:rsid w:val="00823F43"/>
    <w:rsid w:val="00826743"/>
    <w:rsid w:val="0082702A"/>
    <w:rsid w:val="00830C6C"/>
    <w:rsid w:val="00831CD7"/>
    <w:rsid w:val="00831E51"/>
    <w:rsid w:val="008327B6"/>
    <w:rsid w:val="00835CDE"/>
    <w:rsid w:val="0083647D"/>
    <w:rsid w:val="00861803"/>
    <w:rsid w:val="00862633"/>
    <w:rsid w:val="0086311B"/>
    <w:rsid w:val="00867590"/>
    <w:rsid w:val="0087248F"/>
    <w:rsid w:val="008733D2"/>
    <w:rsid w:val="00876964"/>
    <w:rsid w:val="00876965"/>
    <w:rsid w:val="008776B2"/>
    <w:rsid w:val="00880B32"/>
    <w:rsid w:val="00880C5B"/>
    <w:rsid w:val="008870F0"/>
    <w:rsid w:val="00896A2B"/>
    <w:rsid w:val="008A1118"/>
    <w:rsid w:val="008A244F"/>
    <w:rsid w:val="008A3E2E"/>
    <w:rsid w:val="008A3FAE"/>
    <w:rsid w:val="008A6767"/>
    <w:rsid w:val="008B4BEF"/>
    <w:rsid w:val="008B70C7"/>
    <w:rsid w:val="008C0C67"/>
    <w:rsid w:val="008C4633"/>
    <w:rsid w:val="008C65AE"/>
    <w:rsid w:val="008D0013"/>
    <w:rsid w:val="008D05F1"/>
    <w:rsid w:val="008D501D"/>
    <w:rsid w:val="008E5E7E"/>
    <w:rsid w:val="008E7D8E"/>
    <w:rsid w:val="008F0800"/>
    <w:rsid w:val="008F3614"/>
    <w:rsid w:val="00900366"/>
    <w:rsid w:val="00901A28"/>
    <w:rsid w:val="00903A74"/>
    <w:rsid w:val="0090496A"/>
    <w:rsid w:val="0091600D"/>
    <w:rsid w:val="00916071"/>
    <w:rsid w:val="0092104D"/>
    <w:rsid w:val="00922FD0"/>
    <w:rsid w:val="009243FF"/>
    <w:rsid w:val="00924D64"/>
    <w:rsid w:val="009254E5"/>
    <w:rsid w:val="00926526"/>
    <w:rsid w:val="0092703F"/>
    <w:rsid w:val="0093107C"/>
    <w:rsid w:val="00934534"/>
    <w:rsid w:val="009369DA"/>
    <w:rsid w:val="00937F7F"/>
    <w:rsid w:val="009405AC"/>
    <w:rsid w:val="00944A59"/>
    <w:rsid w:val="00945CE7"/>
    <w:rsid w:val="00945F60"/>
    <w:rsid w:val="009538E6"/>
    <w:rsid w:val="0095391A"/>
    <w:rsid w:val="00956DE2"/>
    <w:rsid w:val="00962E8C"/>
    <w:rsid w:val="00964735"/>
    <w:rsid w:val="00970F94"/>
    <w:rsid w:val="00973ABF"/>
    <w:rsid w:val="00976661"/>
    <w:rsid w:val="009823D6"/>
    <w:rsid w:val="009824AC"/>
    <w:rsid w:val="00982538"/>
    <w:rsid w:val="00994BA2"/>
    <w:rsid w:val="00997216"/>
    <w:rsid w:val="009A022A"/>
    <w:rsid w:val="009A0A91"/>
    <w:rsid w:val="009A2876"/>
    <w:rsid w:val="009A5283"/>
    <w:rsid w:val="009A699B"/>
    <w:rsid w:val="009B09A7"/>
    <w:rsid w:val="009B6968"/>
    <w:rsid w:val="009C0398"/>
    <w:rsid w:val="009C0E22"/>
    <w:rsid w:val="009C595C"/>
    <w:rsid w:val="009D38F8"/>
    <w:rsid w:val="009D4E24"/>
    <w:rsid w:val="009D53F6"/>
    <w:rsid w:val="009D5F92"/>
    <w:rsid w:val="009D774F"/>
    <w:rsid w:val="009E09C7"/>
    <w:rsid w:val="009E4190"/>
    <w:rsid w:val="009E48F8"/>
    <w:rsid w:val="009E6F48"/>
    <w:rsid w:val="009F2BB5"/>
    <w:rsid w:val="009F4791"/>
    <w:rsid w:val="009F6248"/>
    <w:rsid w:val="009F6B84"/>
    <w:rsid w:val="009F74E4"/>
    <w:rsid w:val="00A02811"/>
    <w:rsid w:val="00A101F6"/>
    <w:rsid w:val="00A10614"/>
    <w:rsid w:val="00A130C7"/>
    <w:rsid w:val="00A14F10"/>
    <w:rsid w:val="00A154DF"/>
    <w:rsid w:val="00A21958"/>
    <w:rsid w:val="00A21D5C"/>
    <w:rsid w:val="00A2279B"/>
    <w:rsid w:val="00A22D53"/>
    <w:rsid w:val="00A24C5B"/>
    <w:rsid w:val="00A2509A"/>
    <w:rsid w:val="00A264BA"/>
    <w:rsid w:val="00A304FB"/>
    <w:rsid w:val="00A4021B"/>
    <w:rsid w:val="00A40D58"/>
    <w:rsid w:val="00A42501"/>
    <w:rsid w:val="00A44DC1"/>
    <w:rsid w:val="00A45A87"/>
    <w:rsid w:val="00A45FCD"/>
    <w:rsid w:val="00A47AD7"/>
    <w:rsid w:val="00A47EB7"/>
    <w:rsid w:val="00A50BAF"/>
    <w:rsid w:val="00A5190A"/>
    <w:rsid w:val="00A53698"/>
    <w:rsid w:val="00A70212"/>
    <w:rsid w:val="00A70306"/>
    <w:rsid w:val="00A71120"/>
    <w:rsid w:val="00A71802"/>
    <w:rsid w:val="00A72EC0"/>
    <w:rsid w:val="00A741ED"/>
    <w:rsid w:val="00A76E75"/>
    <w:rsid w:val="00A77790"/>
    <w:rsid w:val="00A84A82"/>
    <w:rsid w:val="00A87FBF"/>
    <w:rsid w:val="00A90338"/>
    <w:rsid w:val="00A936F6"/>
    <w:rsid w:val="00A94CBE"/>
    <w:rsid w:val="00A979AD"/>
    <w:rsid w:val="00AA1F94"/>
    <w:rsid w:val="00AA7EE1"/>
    <w:rsid w:val="00AB0659"/>
    <w:rsid w:val="00AB2C67"/>
    <w:rsid w:val="00AB3385"/>
    <w:rsid w:val="00AB64E0"/>
    <w:rsid w:val="00AC0309"/>
    <w:rsid w:val="00AC177F"/>
    <w:rsid w:val="00AD032C"/>
    <w:rsid w:val="00AD0722"/>
    <w:rsid w:val="00AD0C0E"/>
    <w:rsid w:val="00AD1404"/>
    <w:rsid w:val="00AD40C1"/>
    <w:rsid w:val="00AD64B2"/>
    <w:rsid w:val="00AE0B25"/>
    <w:rsid w:val="00AF00CE"/>
    <w:rsid w:val="00AF2369"/>
    <w:rsid w:val="00AF3B55"/>
    <w:rsid w:val="00AF7B8F"/>
    <w:rsid w:val="00B00296"/>
    <w:rsid w:val="00B00C59"/>
    <w:rsid w:val="00B03E63"/>
    <w:rsid w:val="00B118FB"/>
    <w:rsid w:val="00B17572"/>
    <w:rsid w:val="00B20558"/>
    <w:rsid w:val="00B214DA"/>
    <w:rsid w:val="00B224F6"/>
    <w:rsid w:val="00B2780D"/>
    <w:rsid w:val="00B31747"/>
    <w:rsid w:val="00B33D54"/>
    <w:rsid w:val="00B353B0"/>
    <w:rsid w:val="00B37BEF"/>
    <w:rsid w:val="00B46002"/>
    <w:rsid w:val="00B46187"/>
    <w:rsid w:val="00B46E5F"/>
    <w:rsid w:val="00B50B6D"/>
    <w:rsid w:val="00B518E4"/>
    <w:rsid w:val="00B56E71"/>
    <w:rsid w:val="00B576DA"/>
    <w:rsid w:val="00B63580"/>
    <w:rsid w:val="00B663A8"/>
    <w:rsid w:val="00B74C8A"/>
    <w:rsid w:val="00B765B5"/>
    <w:rsid w:val="00B828E4"/>
    <w:rsid w:val="00B83679"/>
    <w:rsid w:val="00B840E6"/>
    <w:rsid w:val="00B85EBE"/>
    <w:rsid w:val="00B86509"/>
    <w:rsid w:val="00B96E4B"/>
    <w:rsid w:val="00BA08B2"/>
    <w:rsid w:val="00BA6AB1"/>
    <w:rsid w:val="00BB3FCB"/>
    <w:rsid w:val="00BB43D5"/>
    <w:rsid w:val="00BB5F7C"/>
    <w:rsid w:val="00BC2530"/>
    <w:rsid w:val="00BC6F63"/>
    <w:rsid w:val="00BD4A16"/>
    <w:rsid w:val="00BD5EAB"/>
    <w:rsid w:val="00BD60C4"/>
    <w:rsid w:val="00BD694E"/>
    <w:rsid w:val="00BD7522"/>
    <w:rsid w:val="00BE0B79"/>
    <w:rsid w:val="00BE1C11"/>
    <w:rsid w:val="00BE26A8"/>
    <w:rsid w:val="00BE5B55"/>
    <w:rsid w:val="00BE7234"/>
    <w:rsid w:val="00BF0173"/>
    <w:rsid w:val="00BF4FAC"/>
    <w:rsid w:val="00BF7C88"/>
    <w:rsid w:val="00C005BC"/>
    <w:rsid w:val="00C006F3"/>
    <w:rsid w:val="00C00FD9"/>
    <w:rsid w:val="00C01987"/>
    <w:rsid w:val="00C13157"/>
    <w:rsid w:val="00C162BB"/>
    <w:rsid w:val="00C16CF8"/>
    <w:rsid w:val="00C174BD"/>
    <w:rsid w:val="00C22B84"/>
    <w:rsid w:val="00C24734"/>
    <w:rsid w:val="00C25EB8"/>
    <w:rsid w:val="00C26788"/>
    <w:rsid w:val="00C27340"/>
    <w:rsid w:val="00C3222D"/>
    <w:rsid w:val="00C358A0"/>
    <w:rsid w:val="00C406CE"/>
    <w:rsid w:val="00C43BAB"/>
    <w:rsid w:val="00C46BF4"/>
    <w:rsid w:val="00C46DD8"/>
    <w:rsid w:val="00C46FFA"/>
    <w:rsid w:val="00C551B2"/>
    <w:rsid w:val="00C5724D"/>
    <w:rsid w:val="00C618DA"/>
    <w:rsid w:val="00C641BA"/>
    <w:rsid w:val="00C65FFE"/>
    <w:rsid w:val="00C71783"/>
    <w:rsid w:val="00C71F7E"/>
    <w:rsid w:val="00C72E44"/>
    <w:rsid w:val="00C85E01"/>
    <w:rsid w:val="00C870B6"/>
    <w:rsid w:val="00C91F4D"/>
    <w:rsid w:val="00C93B4D"/>
    <w:rsid w:val="00C93BC6"/>
    <w:rsid w:val="00C941CA"/>
    <w:rsid w:val="00C94DD5"/>
    <w:rsid w:val="00C94F25"/>
    <w:rsid w:val="00C97F2E"/>
    <w:rsid w:val="00C97FB5"/>
    <w:rsid w:val="00CA0FFD"/>
    <w:rsid w:val="00CA1394"/>
    <w:rsid w:val="00CA1785"/>
    <w:rsid w:val="00CA36B2"/>
    <w:rsid w:val="00CA51D3"/>
    <w:rsid w:val="00CB54FD"/>
    <w:rsid w:val="00CC7E37"/>
    <w:rsid w:val="00CD09EF"/>
    <w:rsid w:val="00CD1446"/>
    <w:rsid w:val="00CD14C1"/>
    <w:rsid w:val="00CD2B9F"/>
    <w:rsid w:val="00CD7529"/>
    <w:rsid w:val="00CD776B"/>
    <w:rsid w:val="00CE14F1"/>
    <w:rsid w:val="00CE5C72"/>
    <w:rsid w:val="00CF21FF"/>
    <w:rsid w:val="00CF5C55"/>
    <w:rsid w:val="00D0216C"/>
    <w:rsid w:val="00D049B6"/>
    <w:rsid w:val="00D0600B"/>
    <w:rsid w:val="00D06C7A"/>
    <w:rsid w:val="00D0768C"/>
    <w:rsid w:val="00D10BA8"/>
    <w:rsid w:val="00D11C3F"/>
    <w:rsid w:val="00D13834"/>
    <w:rsid w:val="00D14318"/>
    <w:rsid w:val="00D22A64"/>
    <w:rsid w:val="00D23580"/>
    <w:rsid w:val="00D2358A"/>
    <w:rsid w:val="00D26937"/>
    <w:rsid w:val="00D306FB"/>
    <w:rsid w:val="00D31D03"/>
    <w:rsid w:val="00D35195"/>
    <w:rsid w:val="00D36A25"/>
    <w:rsid w:val="00D42FC5"/>
    <w:rsid w:val="00D4308A"/>
    <w:rsid w:val="00D45161"/>
    <w:rsid w:val="00D458AF"/>
    <w:rsid w:val="00D474B6"/>
    <w:rsid w:val="00D475BB"/>
    <w:rsid w:val="00D47B81"/>
    <w:rsid w:val="00D562B8"/>
    <w:rsid w:val="00D6381B"/>
    <w:rsid w:val="00D64CEC"/>
    <w:rsid w:val="00D6545A"/>
    <w:rsid w:val="00D7321D"/>
    <w:rsid w:val="00D7618D"/>
    <w:rsid w:val="00D77FF3"/>
    <w:rsid w:val="00D91CA5"/>
    <w:rsid w:val="00D92066"/>
    <w:rsid w:val="00D951CB"/>
    <w:rsid w:val="00D9622F"/>
    <w:rsid w:val="00DA332F"/>
    <w:rsid w:val="00DA53CC"/>
    <w:rsid w:val="00DB3947"/>
    <w:rsid w:val="00DB48DD"/>
    <w:rsid w:val="00DB5234"/>
    <w:rsid w:val="00DB75FC"/>
    <w:rsid w:val="00DC2256"/>
    <w:rsid w:val="00DC2821"/>
    <w:rsid w:val="00DC2C93"/>
    <w:rsid w:val="00DC4A0B"/>
    <w:rsid w:val="00DC5423"/>
    <w:rsid w:val="00DC54EA"/>
    <w:rsid w:val="00DC6E7E"/>
    <w:rsid w:val="00DD1A64"/>
    <w:rsid w:val="00DD2677"/>
    <w:rsid w:val="00DD6A39"/>
    <w:rsid w:val="00DE0E79"/>
    <w:rsid w:val="00DE6834"/>
    <w:rsid w:val="00DE6D24"/>
    <w:rsid w:val="00DF20BA"/>
    <w:rsid w:val="00DF26AB"/>
    <w:rsid w:val="00DF4983"/>
    <w:rsid w:val="00DF5897"/>
    <w:rsid w:val="00DF5D5C"/>
    <w:rsid w:val="00DF5E3C"/>
    <w:rsid w:val="00E01026"/>
    <w:rsid w:val="00E01309"/>
    <w:rsid w:val="00E020E7"/>
    <w:rsid w:val="00E03F7F"/>
    <w:rsid w:val="00E169DE"/>
    <w:rsid w:val="00E2176C"/>
    <w:rsid w:val="00E235C3"/>
    <w:rsid w:val="00E238DB"/>
    <w:rsid w:val="00E23BA1"/>
    <w:rsid w:val="00E25B48"/>
    <w:rsid w:val="00E26FAE"/>
    <w:rsid w:val="00E27204"/>
    <w:rsid w:val="00E309E0"/>
    <w:rsid w:val="00E30DE3"/>
    <w:rsid w:val="00E32FAC"/>
    <w:rsid w:val="00E35077"/>
    <w:rsid w:val="00E35D79"/>
    <w:rsid w:val="00E366BD"/>
    <w:rsid w:val="00E36A55"/>
    <w:rsid w:val="00E41954"/>
    <w:rsid w:val="00E4357C"/>
    <w:rsid w:val="00E44417"/>
    <w:rsid w:val="00E4484A"/>
    <w:rsid w:val="00E52123"/>
    <w:rsid w:val="00E55985"/>
    <w:rsid w:val="00E60632"/>
    <w:rsid w:val="00E65E20"/>
    <w:rsid w:val="00E81ED8"/>
    <w:rsid w:val="00E83623"/>
    <w:rsid w:val="00E84719"/>
    <w:rsid w:val="00E85D42"/>
    <w:rsid w:val="00E86065"/>
    <w:rsid w:val="00E86749"/>
    <w:rsid w:val="00E90133"/>
    <w:rsid w:val="00E91A31"/>
    <w:rsid w:val="00E93B39"/>
    <w:rsid w:val="00E960B9"/>
    <w:rsid w:val="00E965D0"/>
    <w:rsid w:val="00E9691F"/>
    <w:rsid w:val="00E96C46"/>
    <w:rsid w:val="00E979D8"/>
    <w:rsid w:val="00EA16C2"/>
    <w:rsid w:val="00EA2F6B"/>
    <w:rsid w:val="00EA6E33"/>
    <w:rsid w:val="00EB07A5"/>
    <w:rsid w:val="00EB0952"/>
    <w:rsid w:val="00EB33B1"/>
    <w:rsid w:val="00EC0267"/>
    <w:rsid w:val="00EC08EF"/>
    <w:rsid w:val="00EC63E5"/>
    <w:rsid w:val="00ED2E4C"/>
    <w:rsid w:val="00ED45F8"/>
    <w:rsid w:val="00ED4ED0"/>
    <w:rsid w:val="00ED5168"/>
    <w:rsid w:val="00ED59F4"/>
    <w:rsid w:val="00ED6E14"/>
    <w:rsid w:val="00ED7117"/>
    <w:rsid w:val="00ED719C"/>
    <w:rsid w:val="00EE0BA7"/>
    <w:rsid w:val="00EE2848"/>
    <w:rsid w:val="00EE3D3C"/>
    <w:rsid w:val="00EE6901"/>
    <w:rsid w:val="00EF4C09"/>
    <w:rsid w:val="00F06470"/>
    <w:rsid w:val="00F13185"/>
    <w:rsid w:val="00F160EE"/>
    <w:rsid w:val="00F1789B"/>
    <w:rsid w:val="00F23816"/>
    <w:rsid w:val="00F26CCD"/>
    <w:rsid w:val="00F32978"/>
    <w:rsid w:val="00F351FC"/>
    <w:rsid w:val="00F35A32"/>
    <w:rsid w:val="00F36331"/>
    <w:rsid w:val="00F405A5"/>
    <w:rsid w:val="00F45BA0"/>
    <w:rsid w:val="00F45BBB"/>
    <w:rsid w:val="00F50DB8"/>
    <w:rsid w:val="00F54745"/>
    <w:rsid w:val="00F55813"/>
    <w:rsid w:val="00F56545"/>
    <w:rsid w:val="00F57927"/>
    <w:rsid w:val="00F60379"/>
    <w:rsid w:val="00F625C2"/>
    <w:rsid w:val="00F710E6"/>
    <w:rsid w:val="00F80210"/>
    <w:rsid w:val="00F81E06"/>
    <w:rsid w:val="00F86882"/>
    <w:rsid w:val="00F86F2E"/>
    <w:rsid w:val="00F871CE"/>
    <w:rsid w:val="00F91213"/>
    <w:rsid w:val="00F96084"/>
    <w:rsid w:val="00F9677E"/>
    <w:rsid w:val="00F96E93"/>
    <w:rsid w:val="00F979CD"/>
    <w:rsid w:val="00FA130B"/>
    <w:rsid w:val="00FB1785"/>
    <w:rsid w:val="00FB1A5D"/>
    <w:rsid w:val="00FB1B63"/>
    <w:rsid w:val="00FB56E4"/>
    <w:rsid w:val="00FB796E"/>
    <w:rsid w:val="00FC51AA"/>
    <w:rsid w:val="00FC531D"/>
    <w:rsid w:val="00FC5F9E"/>
    <w:rsid w:val="00FD1BC5"/>
    <w:rsid w:val="00FD1E4B"/>
    <w:rsid w:val="00FD4BFA"/>
    <w:rsid w:val="00FD4C8B"/>
    <w:rsid w:val="00FD4E59"/>
    <w:rsid w:val="00FD562D"/>
    <w:rsid w:val="00FE4480"/>
    <w:rsid w:val="00FE58CC"/>
    <w:rsid w:val="00FF24F1"/>
    <w:rsid w:val="00FF3BD6"/>
    <w:rsid w:val="00FF6901"/>
    <w:rsid w:val="00FF75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2BD17"/>
  <w15:docId w15:val="{2D82E1A5-DFE5-426A-8D97-54B26C63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uiPriority w:val="99"/>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link w:val="FooterChar"/>
    <w:uiPriority w:val="99"/>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themeColor="hyperlink"/>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paragraph" w:styleId="Title">
    <w:name w:val="Title"/>
    <w:basedOn w:val="Normal"/>
    <w:link w:val="TitleChar"/>
    <w:uiPriority w:val="99"/>
    <w:qFormat/>
    <w:rsid w:val="0009792A"/>
    <w:pPr>
      <w:bidi w:val="0"/>
      <w:jc w:val="center"/>
    </w:pPr>
    <w:rPr>
      <w:rFonts w:cs="Traditional Arabic"/>
      <w:b/>
      <w:bCs/>
      <w:sz w:val="28"/>
      <w:szCs w:val="20"/>
      <w:lang w:eastAsia="en-US"/>
    </w:rPr>
  </w:style>
  <w:style w:type="character" w:customStyle="1" w:styleId="TitleChar">
    <w:name w:val="Title Char"/>
    <w:basedOn w:val="DefaultParagraphFont"/>
    <w:link w:val="Title"/>
    <w:uiPriority w:val="99"/>
    <w:rsid w:val="0009792A"/>
    <w:rPr>
      <w:rFonts w:cs="Traditional Arabic"/>
      <w:b/>
      <w:bCs/>
      <w:sz w:val="28"/>
    </w:rPr>
  </w:style>
  <w:style w:type="paragraph" w:styleId="HTMLPreformatted">
    <w:name w:val="HTML Preformatted"/>
    <w:basedOn w:val="Normal"/>
    <w:link w:val="HTMLPreformattedChar"/>
    <w:uiPriority w:val="99"/>
    <w:semiHidden/>
    <w:unhideWhenUsed/>
    <w:rsid w:val="0083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3647D"/>
    <w:rPr>
      <w:rFonts w:ascii="Courier New" w:hAnsi="Courier New" w:cs="Courier New"/>
    </w:rPr>
  </w:style>
  <w:style w:type="paragraph" w:customStyle="1" w:styleId="xl37">
    <w:name w:val="xl37"/>
    <w:basedOn w:val="Normal"/>
    <w:rsid w:val="00134E3D"/>
    <w:pPr>
      <w:pBdr>
        <w:bottom w:val="single" w:sz="4" w:space="0" w:color="auto"/>
      </w:pBdr>
      <w:bidi w:val="0"/>
      <w:spacing w:before="100" w:beforeAutospacing="1" w:after="100" w:afterAutospacing="1"/>
      <w:textAlignment w:val="center"/>
    </w:pPr>
    <w:rPr>
      <w:sz w:val="14"/>
      <w:szCs w:val="14"/>
      <w:lang w:eastAsia="en-US"/>
    </w:rPr>
  </w:style>
  <w:style w:type="paragraph" w:customStyle="1" w:styleId="xl41">
    <w:name w:val="xl41"/>
    <w:basedOn w:val="Normal"/>
    <w:rsid w:val="00134E3D"/>
    <w:pPr>
      <w:pBdr>
        <w:bottom w:val="double" w:sz="6" w:space="0" w:color="auto"/>
      </w:pBdr>
      <w:bidi w:val="0"/>
      <w:spacing w:before="100" w:beforeAutospacing="1" w:after="100" w:afterAutospacing="1"/>
      <w:jc w:val="center"/>
      <w:textAlignment w:val="center"/>
    </w:pPr>
    <w:rPr>
      <w:b/>
      <w:bCs/>
      <w:sz w:val="14"/>
      <w:szCs w:val="14"/>
      <w:lang w:eastAsia="en-US"/>
    </w:rPr>
  </w:style>
  <w:style w:type="character" w:styleId="Strong">
    <w:name w:val="Strong"/>
    <w:basedOn w:val="DefaultParagraphFont"/>
    <w:uiPriority w:val="22"/>
    <w:qFormat/>
    <w:rsid w:val="00CD09EF"/>
    <w:rPr>
      <w:b/>
      <w:bCs/>
    </w:rPr>
  </w:style>
  <w:style w:type="table" w:styleId="PlainTable1">
    <w:name w:val="Plain Table 1"/>
    <w:basedOn w:val="TableNormal"/>
    <w:uiPriority w:val="41"/>
    <w:rsid w:val="00F871CE"/>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2F176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682">
      <w:bodyDiv w:val="1"/>
      <w:marLeft w:val="0"/>
      <w:marRight w:val="0"/>
      <w:marTop w:val="0"/>
      <w:marBottom w:val="0"/>
      <w:divBdr>
        <w:top w:val="none" w:sz="0" w:space="0" w:color="auto"/>
        <w:left w:val="none" w:sz="0" w:space="0" w:color="auto"/>
        <w:bottom w:val="none" w:sz="0" w:space="0" w:color="auto"/>
        <w:right w:val="none" w:sz="0" w:space="0" w:color="auto"/>
      </w:divBdr>
    </w:div>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6633">
      <w:bodyDiv w:val="1"/>
      <w:marLeft w:val="0"/>
      <w:marRight w:val="0"/>
      <w:marTop w:val="0"/>
      <w:marBottom w:val="0"/>
      <w:divBdr>
        <w:top w:val="none" w:sz="0" w:space="0" w:color="auto"/>
        <w:left w:val="none" w:sz="0" w:space="0" w:color="auto"/>
        <w:bottom w:val="none" w:sz="0" w:space="0" w:color="auto"/>
        <w:right w:val="none" w:sz="0" w:space="0" w:color="auto"/>
      </w:divBdr>
    </w:div>
    <w:div w:id="216667270">
      <w:bodyDiv w:val="1"/>
      <w:marLeft w:val="0"/>
      <w:marRight w:val="0"/>
      <w:marTop w:val="0"/>
      <w:marBottom w:val="0"/>
      <w:divBdr>
        <w:top w:val="none" w:sz="0" w:space="0" w:color="auto"/>
        <w:left w:val="none" w:sz="0" w:space="0" w:color="auto"/>
        <w:bottom w:val="none" w:sz="0" w:space="0" w:color="auto"/>
        <w:right w:val="none" w:sz="0" w:space="0" w:color="auto"/>
      </w:divBdr>
    </w:div>
    <w:div w:id="433718819">
      <w:bodyDiv w:val="1"/>
      <w:marLeft w:val="0"/>
      <w:marRight w:val="0"/>
      <w:marTop w:val="0"/>
      <w:marBottom w:val="0"/>
      <w:divBdr>
        <w:top w:val="none" w:sz="0" w:space="0" w:color="auto"/>
        <w:left w:val="none" w:sz="0" w:space="0" w:color="auto"/>
        <w:bottom w:val="none" w:sz="0" w:space="0" w:color="auto"/>
        <w:right w:val="none" w:sz="0" w:space="0" w:color="auto"/>
      </w:divBdr>
      <w:divsChild>
        <w:div w:id="441605918">
          <w:marLeft w:val="0"/>
          <w:marRight w:val="0"/>
          <w:marTop w:val="0"/>
          <w:marBottom w:val="0"/>
          <w:divBdr>
            <w:top w:val="none" w:sz="0" w:space="0" w:color="auto"/>
            <w:left w:val="none" w:sz="0" w:space="0" w:color="auto"/>
            <w:bottom w:val="none" w:sz="0" w:space="0" w:color="auto"/>
            <w:right w:val="none" w:sz="0" w:space="0" w:color="auto"/>
          </w:divBdr>
          <w:divsChild>
            <w:div w:id="1046761652">
              <w:marLeft w:val="0"/>
              <w:marRight w:val="0"/>
              <w:marTop w:val="0"/>
              <w:marBottom w:val="0"/>
              <w:divBdr>
                <w:top w:val="none" w:sz="0" w:space="0" w:color="auto"/>
                <w:left w:val="none" w:sz="0" w:space="0" w:color="auto"/>
                <w:bottom w:val="none" w:sz="0" w:space="0" w:color="auto"/>
                <w:right w:val="none" w:sz="0" w:space="0" w:color="auto"/>
              </w:divBdr>
              <w:divsChild>
                <w:div w:id="234901054">
                  <w:marLeft w:val="0"/>
                  <w:marRight w:val="0"/>
                  <w:marTop w:val="0"/>
                  <w:marBottom w:val="0"/>
                  <w:divBdr>
                    <w:top w:val="none" w:sz="0" w:space="0" w:color="auto"/>
                    <w:left w:val="none" w:sz="0" w:space="0" w:color="auto"/>
                    <w:bottom w:val="none" w:sz="0" w:space="0" w:color="auto"/>
                    <w:right w:val="none" w:sz="0" w:space="0" w:color="auto"/>
                  </w:divBdr>
                  <w:divsChild>
                    <w:div w:id="1855848925">
                      <w:marLeft w:val="0"/>
                      <w:marRight w:val="0"/>
                      <w:marTop w:val="0"/>
                      <w:marBottom w:val="0"/>
                      <w:divBdr>
                        <w:top w:val="none" w:sz="0" w:space="0" w:color="auto"/>
                        <w:left w:val="none" w:sz="0" w:space="0" w:color="auto"/>
                        <w:bottom w:val="none" w:sz="0" w:space="0" w:color="auto"/>
                        <w:right w:val="none" w:sz="0" w:space="0" w:color="auto"/>
                      </w:divBdr>
                      <w:divsChild>
                        <w:div w:id="1336376899">
                          <w:marLeft w:val="0"/>
                          <w:marRight w:val="0"/>
                          <w:marTop w:val="0"/>
                          <w:marBottom w:val="0"/>
                          <w:divBdr>
                            <w:top w:val="none" w:sz="0" w:space="0" w:color="auto"/>
                            <w:left w:val="none" w:sz="0" w:space="0" w:color="auto"/>
                            <w:bottom w:val="none" w:sz="0" w:space="0" w:color="auto"/>
                            <w:right w:val="none" w:sz="0" w:space="0" w:color="auto"/>
                          </w:divBdr>
                          <w:divsChild>
                            <w:div w:id="1177890785">
                              <w:marLeft w:val="0"/>
                              <w:marRight w:val="0"/>
                              <w:marTop w:val="0"/>
                              <w:marBottom w:val="0"/>
                              <w:divBdr>
                                <w:top w:val="none" w:sz="0" w:space="0" w:color="auto"/>
                                <w:left w:val="none" w:sz="0" w:space="0" w:color="auto"/>
                                <w:bottom w:val="none" w:sz="0" w:space="0" w:color="auto"/>
                                <w:right w:val="none" w:sz="0" w:space="0" w:color="auto"/>
                              </w:divBdr>
                              <w:divsChild>
                                <w:div w:id="112556876">
                                  <w:marLeft w:val="0"/>
                                  <w:marRight w:val="0"/>
                                  <w:marTop w:val="0"/>
                                  <w:marBottom w:val="0"/>
                                  <w:divBdr>
                                    <w:top w:val="none" w:sz="0" w:space="0" w:color="auto"/>
                                    <w:left w:val="none" w:sz="0" w:space="0" w:color="auto"/>
                                    <w:bottom w:val="none" w:sz="0" w:space="0" w:color="auto"/>
                                    <w:right w:val="none" w:sz="0" w:space="0" w:color="auto"/>
                                  </w:divBdr>
                                  <w:divsChild>
                                    <w:div w:id="263803253">
                                      <w:marLeft w:val="0"/>
                                      <w:marRight w:val="0"/>
                                      <w:marTop w:val="0"/>
                                      <w:marBottom w:val="0"/>
                                      <w:divBdr>
                                        <w:top w:val="none" w:sz="0" w:space="0" w:color="auto"/>
                                        <w:left w:val="none" w:sz="0" w:space="0" w:color="auto"/>
                                        <w:bottom w:val="none" w:sz="0" w:space="0" w:color="auto"/>
                                        <w:right w:val="none" w:sz="0" w:space="0" w:color="auto"/>
                                      </w:divBdr>
                                      <w:divsChild>
                                        <w:div w:id="2725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587988">
      <w:bodyDiv w:val="1"/>
      <w:marLeft w:val="0"/>
      <w:marRight w:val="0"/>
      <w:marTop w:val="0"/>
      <w:marBottom w:val="0"/>
      <w:divBdr>
        <w:top w:val="none" w:sz="0" w:space="0" w:color="auto"/>
        <w:left w:val="none" w:sz="0" w:space="0" w:color="auto"/>
        <w:bottom w:val="none" w:sz="0" w:space="0" w:color="auto"/>
        <w:right w:val="none" w:sz="0" w:space="0" w:color="auto"/>
      </w:divBdr>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 w:id="1204948938">
      <w:bodyDiv w:val="1"/>
      <w:marLeft w:val="0"/>
      <w:marRight w:val="0"/>
      <w:marTop w:val="0"/>
      <w:marBottom w:val="0"/>
      <w:divBdr>
        <w:top w:val="none" w:sz="0" w:space="0" w:color="auto"/>
        <w:left w:val="none" w:sz="0" w:space="0" w:color="auto"/>
        <w:bottom w:val="none" w:sz="0" w:space="0" w:color="auto"/>
        <w:right w:val="none" w:sz="0" w:space="0" w:color="auto"/>
      </w:divBdr>
    </w:div>
    <w:div w:id="1385257503">
      <w:bodyDiv w:val="1"/>
      <w:marLeft w:val="0"/>
      <w:marRight w:val="0"/>
      <w:marTop w:val="0"/>
      <w:marBottom w:val="0"/>
      <w:divBdr>
        <w:top w:val="none" w:sz="0" w:space="0" w:color="auto"/>
        <w:left w:val="none" w:sz="0" w:space="0" w:color="auto"/>
        <w:bottom w:val="none" w:sz="0" w:space="0" w:color="auto"/>
        <w:right w:val="none" w:sz="0" w:space="0" w:color="auto"/>
      </w:divBdr>
    </w:div>
    <w:div w:id="1387024306">
      <w:bodyDiv w:val="1"/>
      <w:marLeft w:val="0"/>
      <w:marRight w:val="0"/>
      <w:marTop w:val="0"/>
      <w:marBottom w:val="0"/>
      <w:divBdr>
        <w:top w:val="none" w:sz="0" w:space="0" w:color="auto"/>
        <w:left w:val="none" w:sz="0" w:space="0" w:color="auto"/>
        <w:bottom w:val="none" w:sz="0" w:space="0" w:color="auto"/>
        <w:right w:val="none" w:sz="0" w:space="0" w:color="auto"/>
      </w:divBdr>
    </w:div>
    <w:div w:id="1576166047">
      <w:bodyDiv w:val="1"/>
      <w:marLeft w:val="0"/>
      <w:marRight w:val="0"/>
      <w:marTop w:val="0"/>
      <w:marBottom w:val="0"/>
      <w:divBdr>
        <w:top w:val="none" w:sz="0" w:space="0" w:color="auto"/>
        <w:left w:val="none" w:sz="0" w:space="0" w:color="auto"/>
        <w:bottom w:val="none" w:sz="0" w:space="0" w:color="auto"/>
        <w:right w:val="none" w:sz="0" w:space="0" w:color="auto"/>
      </w:divBdr>
    </w:div>
    <w:div w:id="1941328567">
      <w:bodyDiv w:val="1"/>
      <w:marLeft w:val="0"/>
      <w:marRight w:val="0"/>
      <w:marTop w:val="0"/>
      <w:marBottom w:val="0"/>
      <w:divBdr>
        <w:top w:val="none" w:sz="0" w:space="0" w:color="auto"/>
        <w:left w:val="none" w:sz="0" w:space="0" w:color="auto"/>
        <w:bottom w:val="none" w:sz="0" w:space="0" w:color="auto"/>
        <w:right w:val="none" w:sz="0" w:space="0" w:color="auto"/>
      </w:divBdr>
    </w:div>
    <w:div w:id="2003460189">
      <w:bodyDiv w:val="1"/>
      <w:marLeft w:val="0"/>
      <w:marRight w:val="0"/>
      <w:marTop w:val="0"/>
      <w:marBottom w:val="0"/>
      <w:divBdr>
        <w:top w:val="none" w:sz="0" w:space="0" w:color="auto"/>
        <w:left w:val="none" w:sz="0" w:space="0" w:color="auto"/>
        <w:bottom w:val="none" w:sz="0" w:space="0" w:color="auto"/>
        <w:right w:val="none" w:sz="0" w:space="0" w:color="auto"/>
      </w:divBdr>
    </w:div>
    <w:div w:id="2010786486">
      <w:bodyDiv w:val="1"/>
      <w:marLeft w:val="0"/>
      <w:marRight w:val="0"/>
      <w:marTop w:val="0"/>
      <w:marBottom w:val="0"/>
      <w:divBdr>
        <w:top w:val="none" w:sz="0" w:space="0" w:color="auto"/>
        <w:left w:val="none" w:sz="0" w:space="0" w:color="auto"/>
        <w:bottom w:val="none" w:sz="0" w:space="0" w:color="auto"/>
        <w:right w:val="none" w:sz="0" w:space="0" w:color="auto"/>
      </w:divBdr>
    </w:div>
    <w:div w:id="21372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D23D-D77E-4B60-88C2-51C29286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Palestinian Central Bureau of Statistics (PCBS)</vt:lpstr>
    </vt:vector>
  </TitlesOfParts>
  <Company>pcbs</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creator>arabi</dc:creator>
  <cp:lastModifiedBy>pcbs</cp:lastModifiedBy>
  <cp:revision>4</cp:revision>
  <cp:lastPrinted>2025-03-17T07:36:00Z</cp:lastPrinted>
  <dcterms:created xsi:type="dcterms:W3CDTF">2026-03-17T12:25:00Z</dcterms:created>
  <dcterms:modified xsi:type="dcterms:W3CDTF">2026-03-17T12:48:00Z</dcterms:modified>
</cp:coreProperties>
</file>