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0B" w:rsidRPr="005F7D7B" w:rsidRDefault="00926F06" w:rsidP="00C0400B">
      <w:pPr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5F7D7B">
        <w:rPr>
          <w:b w:val="0"/>
          <w:bCs/>
          <w:i w:val="0"/>
          <w:iCs/>
          <w:noProof/>
          <w:sz w:val="32"/>
          <w:szCs w:val="32"/>
          <w:rtl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742950</wp:posOffset>
            </wp:positionH>
            <wp:positionV relativeFrom="margin">
              <wp:posOffset>-1681480</wp:posOffset>
            </wp:positionV>
            <wp:extent cx="1271905" cy="974725"/>
            <wp:effectExtent l="19050" t="0" r="444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00B" w:rsidRPr="005F7D7B">
        <w:rPr>
          <w:rFonts w:ascii="Times New Roman" w:hAnsi="Times New Roman"/>
          <w:i w:val="0"/>
          <w:iCs/>
          <w:sz w:val="32"/>
          <w:szCs w:val="32"/>
        </w:rPr>
        <w:t>Palestinian Central Bureau of Statistics</w:t>
      </w:r>
      <w:r w:rsidR="0025294F">
        <w:rPr>
          <w:rFonts w:ascii="Times New Roman" w:hAnsi="Times New Roman"/>
          <w:i w:val="0"/>
          <w:iCs/>
          <w:sz w:val="32"/>
          <w:szCs w:val="32"/>
        </w:rPr>
        <w:t xml:space="preserve"> </w:t>
      </w:r>
      <w:r w:rsidR="00C0400B" w:rsidRPr="005F7D7B">
        <w:rPr>
          <w:rFonts w:ascii="Times New Roman" w:hAnsi="Times New Roman"/>
          <w:i w:val="0"/>
          <w:iCs/>
          <w:sz w:val="32"/>
          <w:szCs w:val="32"/>
        </w:rPr>
        <w:t>(PCBS) and the Palestine</w:t>
      </w:r>
    </w:p>
    <w:p w:rsidR="00C0400B" w:rsidRPr="005F7D7B" w:rsidRDefault="00C0400B" w:rsidP="00C0400B">
      <w:pPr>
        <w:jc w:val="center"/>
        <w:rPr>
          <w:rFonts w:ascii="Times New Roman" w:hAnsi="Times New Roman"/>
          <w:i w:val="0"/>
          <w:iCs/>
          <w:sz w:val="32"/>
          <w:szCs w:val="32"/>
          <w:rtl/>
        </w:rPr>
      </w:pPr>
      <w:r w:rsidRPr="005F7D7B">
        <w:rPr>
          <w:rFonts w:ascii="Times New Roman" w:hAnsi="Times New Roman"/>
          <w:i w:val="0"/>
          <w:iCs/>
          <w:sz w:val="32"/>
          <w:szCs w:val="32"/>
        </w:rPr>
        <w:t>Monetary Authority (PMA)</w:t>
      </w:r>
    </w:p>
    <w:p w:rsidR="00C0400B" w:rsidRPr="00C0400B" w:rsidRDefault="00C0400B" w:rsidP="00C0400B">
      <w:pPr>
        <w:jc w:val="center"/>
        <w:rPr>
          <w:rFonts w:ascii="Times New Roman" w:hAnsi="Times New Roman"/>
          <w:i w:val="0"/>
          <w:iCs/>
          <w:sz w:val="16"/>
          <w:szCs w:val="16"/>
          <w:rtl/>
        </w:rPr>
      </w:pPr>
    </w:p>
    <w:p w:rsidR="00835713" w:rsidRPr="005F7D7B" w:rsidRDefault="00835713" w:rsidP="005F7D7B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30"/>
          <w:szCs w:val="30"/>
        </w:rPr>
      </w:pPr>
      <w:r w:rsidRPr="005F7D7B">
        <w:rPr>
          <w:rFonts w:asciiTheme="majorBidi" w:hAnsiTheme="majorBidi" w:cstheme="majorBidi"/>
          <w:i w:val="0"/>
          <w:iCs/>
          <w:sz w:val="30"/>
          <w:szCs w:val="30"/>
        </w:rPr>
        <w:t xml:space="preserve">Deficit in Current Account is USD </w:t>
      </w:r>
      <w:r w:rsidR="00CF4A51" w:rsidRPr="005F7D7B">
        <w:rPr>
          <w:rFonts w:asciiTheme="majorBidi" w:hAnsiTheme="majorBidi" w:cstheme="majorBidi"/>
          <w:i w:val="0"/>
          <w:iCs/>
          <w:sz w:val="30"/>
          <w:szCs w:val="30"/>
        </w:rPr>
        <w:t>292</w:t>
      </w:r>
      <w:r w:rsidRPr="005F7D7B">
        <w:rPr>
          <w:rFonts w:asciiTheme="majorBidi" w:hAnsiTheme="majorBidi" w:cstheme="majorBidi"/>
          <w:i w:val="0"/>
          <w:iCs/>
          <w:sz w:val="30"/>
          <w:szCs w:val="30"/>
        </w:rPr>
        <w:t xml:space="preserve"> </w:t>
      </w:r>
      <w:proofErr w:type="gramStart"/>
      <w:r w:rsidRPr="005F7D7B">
        <w:rPr>
          <w:rFonts w:asciiTheme="majorBidi" w:hAnsiTheme="majorBidi" w:cstheme="majorBidi"/>
          <w:i w:val="0"/>
          <w:iCs/>
          <w:sz w:val="30"/>
          <w:szCs w:val="30"/>
        </w:rPr>
        <w:t>Million</w:t>
      </w:r>
      <w:proofErr w:type="gramEnd"/>
    </w:p>
    <w:p w:rsidR="00E50275" w:rsidRPr="001778D0" w:rsidRDefault="00A36A82" w:rsidP="005F7D7B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proofErr w:type="gramStart"/>
      <w:r w:rsidRPr="005F7D7B">
        <w:rPr>
          <w:rFonts w:asciiTheme="majorBidi" w:hAnsiTheme="majorBidi" w:cstheme="majorBidi"/>
          <w:i w:val="0"/>
          <w:iCs/>
          <w:sz w:val="30"/>
          <w:szCs w:val="30"/>
        </w:rPr>
        <w:t>of</w:t>
      </w:r>
      <w:proofErr w:type="gramEnd"/>
      <w:r w:rsidRPr="005F7D7B">
        <w:rPr>
          <w:rFonts w:asciiTheme="majorBidi" w:hAnsiTheme="majorBidi" w:cstheme="majorBidi"/>
          <w:i w:val="0"/>
          <w:iCs/>
          <w:sz w:val="30"/>
          <w:szCs w:val="30"/>
        </w:rPr>
        <w:t xml:space="preserve"> the </w:t>
      </w:r>
      <w:r w:rsidR="00E50275" w:rsidRPr="005F7D7B">
        <w:rPr>
          <w:rFonts w:asciiTheme="majorBidi" w:hAnsiTheme="majorBidi" w:cstheme="majorBidi"/>
          <w:i w:val="0"/>
          <w:iCs/>
          <w:sz w:val="30"/>
          <w:szCs w:val="30"/>
        </w:rPr>
        <w:t xml:space="preserve">Palestinian Balance of Payments – </w:t>
      </w:r>
      <w:r w:rsidR="00EF3090" w:rsidRPr="005F7D7B">
        <w:rPr>
          <w:rFonts w:asciiTheme="majorBidi" w:hAnsiTheme="majorBidi" w:cstheme="majorBidi"/>
          <w:i w:val="0"/>
          <w:iCs/>
          <w:sz w:val="30"/>
          <w:szCs w:val="30"/>
        </w:rPr>
        <w:t>Fourth</w:t>
      </w:r>
      <w:r w:rsidR="00EF3090" w:rsidRPr="005F7D7B">
        <w:rPr>
          <w:rFonts w:asciiTheme="majorBidi" w:hAnsiTheme="majorBidi" w:cstheme="majorBidi" w:hint="cs"/>
          <w:i w:val="0"/>
          <w:iCs/>
          <w:sz w:val="30"/>
          <w:szCs w:val="30"/>
          <w:rtl/>
        </w:rPr>
        <w:t xml:space="preserve"> </w:t>
      </w:r>
      <w:r w:rsidR="00E50275" w:rsidRPr="005F7D7B">
        <w:rPr>
          <w:rFonts w:asciiTheme="majorBidi" w:hAnsiTheme="majorBidi" w:cstheme="majorBidi"/>
          <w:i w:val="0"/>
          <w:iCs/>
          <w:sz w:val="30"/>
          <w:szCs w:val="30"/>
        </w:rPr>
        <w:t xml:space="preserve">Quarter </w:t>
      </w:r>
      <w:r w:rsidR="00E13E42" w:rsidRPr="005F7D7B">
        <w:rPr>
          <w:rFonts w:asciiTheme="majorBidi" w:hAnsiTheme="majorBidi" w:cstheme="majorBidi"/>
          <w:i w:val="0"/>
          <w:iCs/>
          <w:sz w:val="30"/>
          <w:szCs w:val="30"/>
        </w:rPr>
        <w:t>2020</w:t>
      </w:r>
    </w:p>
    <w:p w:rsidR="00D539E6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C0400B" w:rsidRDefault="00D8421E" w:rsidP="00817F9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0400B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C0400B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C0400B">
        <w:rPr>
          <w:rFonts w:asciiTheme="majorBidi" w:hAnsiTheme="majorBidi" w:cstheme="majorBidi"/>
          <w:sz w:val="26"/>
          <w:szCs w:val="26"/>
        </w:rPr>
        <w:t xml:space="preserve">) for the </w:t>
      </w:r>
      <w:r w:rsidR="00817F99" w:rsidRPr="00C0400B">
        <w:rPr>
          <w:rFonts w:asciiTheme="majorBidi" w:hAnsiTheme="majorBidi" w:cstheme="majorBidi"/>
          <w:sz w:val="26"/>
          <w:szCs w:val="26"/>
        </w:rPr>
        <w:t>fourth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Pr="00C0400B">
        <w:rPr>
          <w:rFonts w:asciiTheme="majorBidi" w:hAnsiTheme="majorBidi" w:cstheme="majorBidi"/>
          <w:sz w:val="26"/>
          <w:szCs w:val="26"/>
        </w:rPr>
        <w:t xml:space="preserve">quarter of </w:t>
      </w:r>
      <w:r w:rsidR="00E13E42" w:rsidRPr="00C0400B">
        <w:rPr>
          <w:rFonts w:asciiTheme="majorBidi" w:hAnsiTheme="majorBidi" w:cstheme="majorBidi"/>
          <w:sz w:val="26"/>
          <w:szCs w:val="26"/>
        </w:rPr>
        <w:t>2020</w:t>
      </w:r>
      <w:r w:rsidRPr="00C0400B">
        <w:rPr>
          <w:rFonts w:asciiTheme="majorBidi" w:hAnsiTheme="majorBidi" w:cstheme="majorBidi"/>
          <w:sz w:val="26"/>
          <w:szCs w:val="26"/>
        </w:rPr>
        <w:t xml:space="preserve"> under the joint issuance cycle for the Palestinian Balance of Payments (</w:t>
      </w:r>
      <w:proofErr w:type="spellStart"/>
      <w:r w:rsidRPr="00C0400B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C0400B">
        <w:rPr>
          <w:rFonts w:asciiTheme="majorBidi" w:hAnsiTheme="majorBidi" w:cstheme="majorBidi"/>
          <w:sz w:val="26"/>
          <w:szCs w:val="26"/>
        </w:rPr>
        <w:t>). It should be noted</w:t>
      </w:r>
      <w:r w:rsidRPr="00C0400B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C0400B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C0400B">
        <w:rPr>
          <w:rFonts w:asciiTheme="majorBidi" w:hAnsiTheme="majorBidi" w:cstheme="majorBidi"/>
          <w:sz w:val="26"/>
          <w:szCs w:val="26"/>
        </w:rPr>
        <w:t>those</w:t>
      </w:r>
      <w:r w:rsidR="007E6926" w:rsidRPr="00C0400B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C0400B">
        <w:rPr>
          <w:rFonts w:asciiTheme="majorBidi" w:hAnsiTheme="majorBidi" w:cstheme="majorBidi"/>
          <w:sz w:val="26"/>
          <w:szCs w:val="26"/>
        </w:rPr>
        <w:t>s</w:t>
      </w:r>
      <w:r w:rsidR="007E6926" w:rsidRPr="00C0400B">
        <w:rPr>
          <w:rFonts w:asciiTheme="majorBidi" w:hAnsiTheme="majorBidi" w:cstheme="majorBidi"/>
          <w:sz w:val="26"/>
          <w:szCs w:val="26"/>
        </w:rPr>
        <w:t xml:space="preserve"> of </w:t>
      </w:r>
      <w:proofErr w:type="gramStart"/>
      <w:r w:rsidR="007E6926" w:rsidRPr="00C0400B">
        <w:rPr>
          <w:rFonts w:asciiTheme="majorBidi" w:hAnsiTheme="majorBidi" w:cstheme="majorBidi"/>
          <w:sz w:val="26"/>
          <w:szCs w:val="26"/>
        </w:rPr>
        <w:t>Jerusalem</w:t>
      </w:r>
      <w:r w:rsidR="00EF3090" w:rsidRPr="00C0400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C0400B">
        <w:rPr>
          <w:rFonts w:asciiTheme="majorBidi" w:hAnsiTheme="majorBidi" w:cstheme="majorBidi"/>
          <w:sz w:val="26"/>
          <w:szCs w:val="26"/>
        </w:rPr>
        <w:t>which</w:t>
      </w:r>
      <w:proofErr w:type="gramEnd"/>
      <w:r w:rsidR="007E6926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C0400B">
        <w:rPr>
          <w:rFonts w:asciiTheme="majorBidi" w:hAnsiTheme="majorBidi" w:cstheme="majorBidi"/>
          <w:sz w:val="26"/>
          <w:szCs w:val="26"/>
        </w:rPr>
        <w:t>were</w:t>
      </w:r>
      <w:r w:rsidR="007E6926" w:rsidRPr="00C0400B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C0400B">
        <w:rPr>
          <w:rFonts w:asciiTheme="majorBidi" w:hAnsiTheme="majorBidi" w:cstheme="majorBidi"/>
          <w:sz w:val="26"/>
          <w:szCs w:val="26"/>
        </w:rPr>
        <w:t>i</w:t>
      </w:r>
      <w:r w:rsidR="007E6926" w:rsidRPr="00C0400B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C0400B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817F99" w:rsidRPr="00C0400B" w:rsidRDefault="00817F99" w:rsidP="006B3F1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 w:rsidRPr="00C0400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val="en-GB"/>
        </w:rPr>
        <w:t>The deficit in trade balance of goods is the main reason for the current account deficit</w:t>
      </w:r>
    </w:p>
    <w:p w:rsidR="004D1601" w:rsidRPr="00C0400B" w:rsidRDefault="003E65F8" w:rsidP="0071789D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C0400B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An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incessant deficit </w:t>
      </w:r>
      <w:r w:rsidR="00ED071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Current Account</w:t>
      </w:r>
      <w:r w:rsidR="00EE02A9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</w:t>
      </w:r>
      <w:r w:rsidR="00E06E0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g</w:t>
      </w:r>
      <w:r w:rsidR="00EE02A9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oods, </w:t>
      </w:r>
      <w:r w:rsidR="00E06E0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EE02A9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ervices, </w:t>
      </w:r>
      <w:r w:rsidR="00E06E0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EE02A9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ncome, </w:t>
      </w:r>
      <w:r w:rsidR="00E06E0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c</w:t>
      </w:r>
      <w:r w:rsidR="00EE02A9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urrent </w:t>
      </w:r>
      <w:r w:rsidR="00E06E0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EE02A9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ransfers) 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which 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totaled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USD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292</w:t>
      </w:r>
      <w:r w:rsidR="00817F99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r w:rsidR="006419A4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ED79E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</w:t>
      </w:r>
      <w:r w:rsidR="006419A4" w:rsidRPr="00C0400B">
        <w:rPr>
          <w:rFonts w:asciiTheme="majorBidi" w:hAnsiTheme="majorBidi" w:cstheme="majorBidi"/>
          <w:bCs/>
          <w:iCs/>
          <w:sz w:val="26"/>
          <w:szCs w:val="26"/>
        </w:rPr>
        <w:t>This deficit in current account</w:t>
      </w:r>
      <w:r w:rsidR="00EF3090" w:rsidRPr="00C0400B">
        <w:rPr>
          <w:rFonts w:asciiTheme="majorBidi" w:hAnsiTheme="majorBidi" w:cstheme="majorBidi" w:hint="cs"/>
          <w:bCs/>
          <w:iCs/>
          <w:sz w:val="26"/>
          <w:szCs w:val="26"/>
          <w:rtl/>
        </w:rPr>
        <w:t xml:space="preserve"> 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mainly triggered </w:t>
      </w:r>
      <w:r w:rsidR="005B47E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by the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d</w:t>
      </w:r>
      <w:r w:rsidR="0009408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eficit </w:t>
      </w:r>
      <w:r w:rsidR="003E0504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of</w:t>
      </w:r>
      <w:r w:rsidR="0009408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Trade Balance of G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oods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which 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reached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USD</w:t>
      </w:r>
      <w:r w:rsidR="00E74CB6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1,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27</w:t>
      </w:r>
      <w:r w:rsidR="0071789D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6</w:t>
      </w:r>
      <w:bookmarkStart w:id="0" w:name="_GoBack"/>
      <w:bookmarkEnd w:id="0"/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</w:t>
      </w:r>
      <w:r w:rsidR="00FE58E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E0A13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="005B47E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 well as the </w:t>
      </w:r>
      <w:r w:rsidR="00F57E6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deficit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Services Balance</w:t>
      </w:r>
      <w:r w:rsidR="006C27F7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which amounted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</w:t>
      </w:r>
      <w:r w:rsidR="00A441A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USD</w:t>
      </w:r>
      <w:r w:rsidR="00ED79E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228</w:t>
      </w:r>
      <w:r w:rsidR="00ED79E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95FD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r w:rsidR="00122B0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835713" w:rsidRPr="00C0400B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5302EF" w:rsidRPr="00C0400B" w:rsidRDefault="005302EF" w:rsidP="00C62E2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C0400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The compensations of employees working in Israel </w:t>
      </w:r>
      <w:r w:rsidR="00C62E2F" w:rsidRPr="00C0400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are</w:t>
      </w:r>
      <w:r w:rsidRPr="00C0400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the main reason for the income account surplus</w:t>
      </w:r>
    </w:p>
    <w:p w:rsidR="007440AA" w:rsidRPr="00C0400B" w:rsidRDefault="00710F52" w:rsidP="00F747ED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he </w:t>
      </w:r>
      <w:r w:rsidR="00BA47E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surplus in </w:t>
      </w:r>
      <w:r w:rsidR="00412B9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ncome </w:t>
      </w:r>
      <w:r w:rsidR="00412B9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ccount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(compensations of employees and investments income) 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amount</w:t>
      </w:r>
      <w:r w:rsidR="00BA47E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ed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A47E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USD</w:t>
      </w:r>
      <w:r w:rsidR="00F747ED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741</w:t>
      </w:r>
      <w:r w:rsidR="00F747ED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gramStart"/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proofErr w:type="gramEnd"/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F747ED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This</w:t>
      </w:r>
      <w:r w:rsidR="00EA4DBD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surplus was due to compensations of </w:t>
      </w:r>
      <w:r w:rsidR="003E0A13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EA4DBD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e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mployees working in Israel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which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reached USD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70</w:t>
      </w:r>
      <w:r w:rsidR="00F747ED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</w:t>
      </w:r>
      <w:r w:rsidR="00094B8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(with a</w:t>
      </w:r>
      <w:r w:rsidR="0043538A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n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3538A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094B8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crease </w:t>
      </w:r>
      <w:r w:rsidR="00094B85" w:rsidRPr="00C0400B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 xml:space="preserve">of </w:t>
      </w:r>
      <w:r w:rsidR="0043538A" w:rsidRPr="00C0400B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8</w:t>
      </w:r>
      <w:r w:rsidR="00094B85" w:rsidRPr="00C0400B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% compared to the previous quarter</w:t>
      </w:r>
      <w:r w:rsidR="00094B8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)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As for the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received investments income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it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amounted to USD</w:t>
      </w:r>
      <w:r w:rsidR="00F747ED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58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gramStart"/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proofErr w:type="gramEnd"/>
      <w:r w:rsidR="00122B0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;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was mainly caused by the</w:t>
      </w:r>
      <w:r w:rsidR="007440AA" w:rsidRPr="00C0400B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interest received on </w:t>
      </w:r>
      <w:r w:rsidR="003E0A13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D63CC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Palestinian </w:t>
      </w:r>
      <w:r w:rsidR="008B2BC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deposits in banks abroad</w:t>
      </w:r>
      <w:r w:rsidR="007440AA" w:rsidRPr="00C0400B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.</w:t>
      </w:r>
    </w:p>
    <w:p w:rsidR="009812F7" w:rsidRPr="00C0400B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</w:p>
    <w:p w:rsidR="005302EF" w:rsidRPr="00C0400B" w:rsidRDefault="005302EF" w:rsidP="00C62E2F">
      <w:pPr>
        <w:pStyle w:val="BodyText"/>
        <w:bidi w:val="0"/>
        <w:spacing w:after="12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C0400B">
        <w:rPr>
          <w:rFonts w:asciiTheme="majorBidi" w:hAnsiTheme="majorBidi" w:cstheme="majorBidi"/>
          <w:b/>
          <w:iCs/>
          <w:sz w:val="26"/>
          <w:szCs w:val="26"/>
        </w:rPr>
        <w:t>The current transfers from abroad to other (non-governmen</w:t>
      </w:r>
      <w:r w:rsidR="00C62E2F" w:rsidRPr="00C0400B">
        <w:rPr>
          <w:rFonts w:asciiTheme="majorBidi" w:hAnsiTheme="majorBidi" w:cstheme="majorBidi"/>
          <w:b/>
          <w:iCs/>
          <w:sz w:val="26"/>
          <w:szCs w:val="26"/>
        </w:rPr>
        <w:t>t) sectors are</w:t>
      </w:r>
      <w:r w:rsidRPr="00C0400B">
        <w:rPr>
          <w:rFonts w:asciiTheme="majorBidi" w:hAnsiTheme="majorBidi" w:cstheme="majorBidi"/>
          <w:b/>
          <w:iCs/>
          <w:sz w:val="26"/>
          <w:szCs w:val="26"/>
        </w:rPr>
        <w:t xml:space="preserve"> the main reason for the current </w:t>
      </w:r>
      <w:proofErr w:type="gramStart"/>
      <w:r w:rsidRPr="00C0400B">
        <w:rPr>
          <w:rFonts w:asciiTheme="majorBidi" w:hAnsiTheme="majorBidi" w:cstheme="majorBidi"/>
          <w:b/>
          <w:iCs/>
          <w:sz w:val="26"/>
          <w:szCs w:val="26"/>
        </w:rPr>
        <w:t>transfers</w:t>
      </w:r>
      <w:proofErr w:type="gramEnd"/>
      <w:r w:rsidRPr="00C0400B">
        <w:rPr>
          <w:rFonts w:asciiTheme="majorBidi" w:hAnsiTheme="majorBidi" w:cstheme="majorBidi"/>
          <w:b/>
          <w:iCs/>
          <w:sz w:val="26"/>
          <w:szCs w:val="26"/>
        </w:rPr>
        <w:t xml:space="preserve"> surplus</w:t>
      </w:r>
    </w:p>
    <w:p w:rsidR="004D1601" w:rsidRPr="00C0400B" w:rsidRDefault="00710F52" w:rsidP="00024CA3">
      <w:pPr>
        <w:pStyle w:val="BodyText"/>
        <w:bidi w:val="0"/>
        <w:jc w:val="both"/>
        <w:rPr>
          <w:rFonts w:asciiTheme="majorBidi" w:hAnsiTheme="majorBidi" w:cstheme="majorBidi"/>
          <w:color w:val="FF0000"/>
          <w:sz w:val="26"/>
          <w:szCs w:val="26"/>
        </w:rPr>
      </w:pPr>
      <w:r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he Current Transfers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achieved a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surplus value amount</w:t>
      </w:r>
      <w:r w:rsidR="003E0A13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ed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to USD</w:t>
      </w:r>
      <w:r w:rsidR="001B23A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470</w:t>
      </w:r>
      <w:r w:rsidR="001B23A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2F0B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million with a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n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crease of</w:t>
      </w:r>
      <w:r w:rsidR="001B23A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4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compared </w:t>
      </w:r>
      <w:r w:rsidR="003F2C98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the previous quarter</w:t>
      </w:r>
      <w:r w:rsidR="00382E4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886AB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86AB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total transfers from abroad amounted </w:t>
      </w:r>
      <w:r w:rsidR="00A378C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="00886AB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556</w:t>
      </w:r>
      <w:r w:rsidR="00886AB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million, of which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17</w:t>
      </w:r>
      <w:r w:rsidR="00886AB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</w:t>
      </w:r>
      <w:r w:rsidR="00A378C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were </w:t>
      </w:r>
      <w:r w:rsidR="00886AB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1B726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he transfers</w:t>
      </w:r>
      <w:r w:rsidR="007673B4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</w:t>
      </w:r>
      <w:r w:rsidR="001B7265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government sector</w:t>
      </w:r>
      <w:r w:rsidR="006D6EE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while the </w:t>
      </w:r>
      <w:r w:rsidR="00A378C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percentage of the </w:t>
      </w:r>
      <w:r w:rsidR="006D6EE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transfers to other sectors</w:t>
      </w:r>
      <w:r w:rsidR="001B23A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378CF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reached</w:t>
      </w:r>
      <w:r w:rsidR="001B23AC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83</w:t>
      </w:r>
      <w:r w:rsidR="0068736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%.  T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he donors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’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current transfers </w:t>
      </w:r>
      <w:r w:rsidR="00E16D5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constituted </w:t>
      </w:r>
      <w:r w:rsidR="00CF4A51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024CA3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6239FE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% of total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C0487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transfers</w:t>
      </w:r>
      <w:r w:rsidR="00161954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from abroad.</w:t>
      </w:r>
    </w:p>
    <w:p w:rsidR="008E6D39" w:rsidRPr="00C0400B" w:rsidRDefault="008E6D39" w:rsidP="008E6D3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986174" w:rsidRPr="00C0400B" w:rsidRDefault="00E007BE" w:rsidP="00CF4A5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0400B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>preliminary</w:t>
      </w:r>
      <w:r w:rsidR="00EF3090" w:rsidRPr="00C040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C0400B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C0400B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C0400B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C0400B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C0400B">
        <w:rPr>
          <w:rFonts w:asciiTheme="majorBidi" w:hAnsiTheme="majorBidi" w:cstheme="majorBidi"/>
          <w:sz w:val="26"/>
          <w:szCs w:val="26"/>
        </w:rPr>
        <w:t>ed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0400B">
        <w:rPr>
          <w:rFonts w:asciiTheme="majorBidi" w:hAnsiTheme="majorBidi" w:cstheme="majorBidi"/>
          <w:sz w:val="26"/>
          <w:szCs w:val="26"/>
        </w:rPr>
        <w:t xml:space="preserve">to USD </w:t>
      </w:r>
      <w:r w:rsidR="00CF4A51" w:rsidRPr="00C0400B">
        <w:rPr>
          <w:rFonts w:asciiTheme="majorBidi" w:hAnsiTheme="majorBidi" w:cstheme="majorBidi"/>
          <w:sz w:val="26"/>
          <w:szCs w:val="26"/>
        </w:rPr>
        <w:t>383</w:t>
      </w:r>
      <w:r w:rsidR="00024CA3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0400B">
        <w:rPr>
          <w:rFonts w:asciiTheme="majorBidi" w:hAnsiTheme="majorBidi" w:cstheme="majorBidi"/>
          <w:sz w:val="26"/>
          <w:szCs w:val="26"/>
        </w:rPr>
        <w:t>million</w:t>
      </w:r>
      <w:r w:rsidR="00024CA3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C0400B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CF4A51" w:rsidRPr="00C0400B">
        <w:rPr>
          <w:rFonts w:asciiTheme="majorBidi" w:hAnsiTheme="majorBidi" w:cstheme="majorBidi"/>
          <w:sz w:val="26"/>
          <w:szCs w:val="26"/>
        </w:rPr>
        <w:t>Financial</w:t>
      </w:r>
      <w:r w:rsidR="00F17FD5" w:rsidRPr="00C0400B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F17FD5" w:rsidRPr="00C0400B">
        <w:rPr>
          <w:rFonts w:asciiTheme="majorBidi" w:hAnsiTheme="majorBidi" w:cstheme="majorBidi"/>
          <w:sz w:val="26"/>
          <w:szCs w:val="26"/>
        </w:rPr>
        <w:t>Account which</w:t>
      </w:r>
      <w:proofErr w:type="gramEnd"/>
      <w:r w:rsidR="00F17FD5" w:rsidRPr="00C0400B">
        <w:rPr>
          <w:rFonts w:asciiTheme="majorBidi" w:hAnsiTheme="majorBidi" w:cstheme="majorBidi"/>
          <w:sz w:val="26"/>
          <w:szCs w:val="26"/>
        </w:rPr>
        <w:t xml:space="preserve"> amounted to USD </w:t>
      </w:r>
      <w:r w:rsidR="00CF4A51" w:rsidRPr="00C0400B">
        <w:rPr>
          <w:rFonts w:asciiTheme="majorBidi" w:hAnsiTheme="majorBidi" w:cstheme="majorBidi"/>
          <w:sz w:val="26"/>
          <w:szCs w:val="26"/>
        </w:rPr>
        <w:t>266</w:t>
      </w:r>
      <w:r w:rsidR="00F17FD5" w:rsidRPr="00C0400B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C0400B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C0400B">
        <w:rPr>
          <w:rFonts w:asciiTheme="majorBidi" w:hAnsiTheme="majorBidi" w:cstheme="majorBidi"/>
          <w:sz w:val="26"/>
          <w:szCs w:val="26"/>
        </w:rPr>
        <w:t xml:space="preserve">There </w:t>
      </w:r>
      <w:r w:rsidRPr="00C0400B">
        <w:rPr>
          <w:rFonts w:asciiTheme="majorBidi" w:hAnsiTheme="majorBidi" w:cstheme="majorBidi"/>
          <w:sz w:val="26"/>
          <w:szCs w:val="26"/>
        </w:rPr>
        <w:t>was a</w:t>
      </w:r>
      <w:r w:rsidR="00CF4A51" w:rsidRPr="00C0400B">
        <w:rPr>
          <w:rFonts w:asciiTheme="majorBidi" w:hAnsiTheme="majorBidi" w:cstheme="majorBidi"/>
          <w:sz w:val="26"/>
          <w:szCs w:val="26"/>
        </w:rPr>
        <w:t>n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sz w:val="26"/>
          <w:szCs w:val="26"/>
        </w:rPr>
        <w:t>in</w:t>
      </w:r>
      <w:r w:rsidR="00BC6532" w:rsidRPr="00C0400B">
        <w:rPr>
          <w:rFonts w:asciiTheme="majorBidi" w:hAnsiTheme="majorBidi" w:cstheme="majorBidi"/>
          <w:sz w:val="26"/>
          <w:szCs w:val="26"/>
        </w:rPr>
        <w:t>crease</w:t>
      </w:r>
      <w:r w:rsidR="00013A84" w:rsidRPr="00C0400B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C0400B">
        <w:rPr>
          <w:rFonts w:asciiTheme="majorBidi" w:hAnsiTheme="majorBidi" w:cstheme="majorBidi"/>
          <w:sz w:val="26"/>
          <w:szCs w:val="26"/>
        </w:rPr>
        <w:t>r</w:t>
      </w:r>
      <w:r w:rsidR="001862D7" w:rsidRPr="00C0400B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C0400B">
        <w:rPr>
          <w:rFonts w:asciiTheme="majorBidi" w:hAnsiTheme="majorBidi" w:cstheme="majorBidi"/>
          <w:sz w:val="26"/>
          <w:szCs w:val="26"/>
        </w:rPr>
        <w:t>a</w:t>
      </w:r>
      <w:r w:rsidR="001862D7" w:rsidRPr="00C0400B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C0400B">
        <w:rPr>
          <w:rFonts w:asciiTheme="majorBidi" w:hAnsiTheme="majorBidi" w:cstheme="majorBidi"/>
          <w:sz w:val="26"/>
          <w:szCs w:val="26"/>
        </w:rPr>
        <w:t>at PMA</w:t>
      </w:r>
      <w:r w:rsidR="006239FE" w:rsidRPr="00C0400B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C0400B">
        <w:rPr>
          <w:rFonts w:asciiTheme="majorBidi" w:hAnsiTheme="majorBidi" w:cstheme="majorBidi"/>
          <w:sz w:val="26"/>
          <w:szCs w:val="26"/>
        </w:rPr>
        <w:t>ed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0400B">
        <w:rPr>
          <w:rFonts w:asciiTheme="majorBidi" w:hAnsiTheme="majorBidi" w:cstheme="majorBidi"/>
          <w:sz w:val="26"/>
          <w:szCs w:val="26"/>
        </w:rPr>
        <w:t>to USD</w:t>
      </w:r>
      <w:r w:rsidR="00024CA3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sz w:val="26"/>
          <w:szCs w:val="26"/>
        </w:rPr>
        <w:t>71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C0400B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0C156F" w:rsidRPr="00C0400B">
        <w:rPr>
          <w:rFonts w:asciiTheme="majorBidi" w:hAnsiTheme="majorBidi" w:cstheme="majorBidi"/>
          <w:sz w:val="26"/>
          <w:szCs w:val="26"/>
        </w:rPr>
        <w:t>,</w:t>
      </w:r>
      <w:r w:rsidR="0061614B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C0400B">
        <w:rPr>
          <w:rFonts w:asciiTheme="majorBidi" w:hAnsiTheme="majorBidi" w:cstheme="majorBidi"/>
          <w:sz w:val="26"/>
          <w:szCs w:val="26"/>
        </w:rPr>
        <w:t xml:space="preserve">compared to </w:t>
      </w:r>
      <w:r w:rsidR="00530162" w:rsidRPr="00C0400B">
        <w:rPr>
          <w:rFonts w:asciiTheme="majorBidi" w:hAnsiTheme="majorBidi" w:cstheme="majorBidi"/>
          <w:sz w:val="26"/>
          <w:szCs w:val="26"/>
        </w:rPr>
        <w:t>a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43538A" w:rsidRPr="00C0400B">
        <w:rPr>
          <w:rFonts w:asciiTheme="majorBidi" w:hAnsiTheme="majorBidi" w:cstheme="majorBidi"/>
          <w:sz w:val="26"/>
          <w:szCs w:val="26"/>
        </w:rPr>
        <w:t>de</w:t>
      </w:r>
      <w:r w:rsidR="00354CC2" w:rsidRPr="00C0400B">
        <w:rPr>
          <w:rFonts w:asciiTheme="majorBidi" w:hAnsiTheme="majorBidi" w:cstheme="majorBidi"/>
          <w:sz w:val="26"/>
          <w:szCs w:val="26"/>
        </w:rPr>
        <w:t>crease of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C0400B">
        <w:rPr>
          <w:rFonts w:asciiTheme="majorBidi" w:hAnsiTheme="majorBidi" w:cstheme="majorBidi"/>
          <w:sz w:val="26"/>
          <w:szCs w:val="26"/>
        </w:rPr>
        <w:t>USD</w:t>
      </w:r>
      <w:r w:rsidR="00024CA3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C0400B">
        <w:rPr>
          <w:rFonts w:asciiTheme="majorBidi" w:hAnsiTheme="majorBidi" w:cstheme="majorBidi"/>
          <w:sz w:val="26"/>
          <w:szCs w:val="26"/>
        </w:rPr>
        <w:t>74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C0400B">
        <w:rPr>
          <w:rFonts w:asciiTheme="majorBidi" w:hAnsiTheme="majorBidi" w:cstheme="majorBidi"/>
          <w:sz w:val="26"/>
          <w:szCs w:val="26"/>
        </w:rPr>
        <w:t>million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C0400B">
        <w:rPr>
          <w:rFonts w:asciiTheme="majorBidi" w:hAnsiTheme="majorBidi" w:cstheme="majorBidi"/>
          <w:sz w:val="26"/>
          <w:szCs w:val="26"/>
        </w:rPr>
        <w:t>in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Pr="00C0400B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C0400B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C0400B">
        <w:rPr>
          <w:rFonts w:asciiTheme="majorBidi" w:hAnsiTheme="majorBidi" w:cstheme="majorBidi"/>
          <w:sz w:val="26"/>
          <w:szCs w:val="26"/>
        </w:rPr>
        <w:t>.</w:t>
      </w:r>
    </w:p>
    <w:p w:rsidR="00F8270B" w:rsidRPr="00C0400B" w:rsidRDefault="00F8270B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Pr="00C0400B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0400B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C0400B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C0400B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C0400B">
        <w:rPr>
          <w:rFonts w:asciiTheme="majorBidi" w:hAnsiTheme="majorBidi" w:cstheme="majorBidi"/>
          <w:sz w:val="26"/>
          <w:szCs w:val="26"/>
        </w:rPr>
        <w:t>B</w:t>
      </w:r>
      <w:r w:rsidR="00C5265D" w:rsidRPr="00C0400B">
        <w:rPr>
          <w:rFonts w:asciiTheme="majorBidi" w:hAnsiTheme="majorBidi" w:cstheme="majorBidi"/>
          <w:sz w:val="26"/>
          <w:szCs w:val="26"/>
        </w:rPr>
        <w:t>o</w:t>
      </w:r>
      <w:r w:rsidR="003D6FF3" w:rsidRPr="00C0400B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C0400B">
        <w:rPr>
          <w:rFonts w:asciiTheme="majorBidi" w:hAnsiTheme="majorBidi" w:cstheme="majorBidi"/>
          <w:sz w:val="26"/>
          <w:szCs w:val="26"/>
        </w:rPr>
        <w:t xml:space="preserve">) </w:t>
      </w:r>
      <w:proofErr w:type="gramStart"/>
      <w:r w:rsidR="003D6FF3" w:rsidRPr="00C0400B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C0400B">
        <w:rPr>
          <w:rStyle w:val="hps"/>
          <w:rFonts w:asciiTheme="majorBidi" w:hAnsiTheme="majorBidi" w:cstheme="majorBidi"/>
          <w:bCs/>
          <w:iCs/>
          <w:sz w:val="26"/>
          <w:szCs w:val="26"/>
        </w:rPr>
        <w:t>used</w:t>
      </w:r>
      <w:proofErr w:type="gramEnd"/>
      <w:r w:rsidR="00E16D50" w:rsidRPr="00C0400B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 to determine</w:t>
      </w:r>
      <w:r w:rsidR="003D6FF3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C0400B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C0400B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C0400B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C0400B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C0400B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C0400B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C0400B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C0400B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C0400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C0400B">
        <w:rPr>
          <w:rFonts w:asciiTheme="majorBidi" w:hAnsiTheme="majorBidi" w:cstheme="majorBidi"/>
          <w:sz w:val="26"/>
          <w:szCs w:val="26"/>
        </w:rPr>
        <w:t>This</w:t>
      </w:r>
      <w:r w:rsidR="000042EC" w:rsidRPr="00C0400B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C0400B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C0400B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C0400B">
        <w:rPr>
          <w:rFonts w:asciiTheme="majorBidi" w:hAnsiTheme="majorBidi" w:cstheme="majorBidi"/>
          <w:sz w:val="26"/>
          <w:szCs w:val="26"/>
        </w:rPr>
        <w:t>to devise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C0400B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C0400B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C0400B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C0400B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C0400B">
        <w:rPr>
          <w:rFonts w:asciiTheme="majorBidi" w:hAnsiTheme="majorBidi" w:cstheme="majorBidi"/>
          <w:sz w:val="26"/>
          <w:szCs w:val="26"/>
        </w:rPr>
        <w:t>external</w:t>
      </w:r>
      <w:r w:rsidR="00E16D50" w:rsidRPr="00C0400B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C0400B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C0400B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C0400B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C0400B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C0400B">
        <w:rPr>
          <w:rFonts w:asciiTheme="majorBidi" w:hAnsiTheme="majorBidi" w:cstheme="majorBidi"/>
          <w:sz w:val="26"/>
          <w:szCs w:val="26"/>
        </w:rPr>
        <w:t>B</w:t>
      </w:r>
      <w:r w:rsidR="00C5265D" w:rsidRPr="00C0400B">
        <w:rPr>
          <w:rFonts w:asciiTheme="majorBidi" w:hAnsiTheme="majorBidi" w:cstheme="majorBidi"/>
          <w:sz w:val="26"/>
          <w:szCs w:val="26"/>
        </w:rPr>
        <w:t>o</w:t>
      </w:r>
      <w:r w:rsidR="00F60F15" w:rsidRPr="00C0400B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C0400B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C0400B">
        <w:rPr>
          <w:rFonts w:asciiTheme="majorBidi" w:hAnsiTheme="majorBidi" w:cstheme="majorBidi"/>
          <w:sz w:val="26"/>
          <w:szCs w:val="26"/>
        </w:rPr>
        <w:t>was</w:t>
      </w:r>
      <w:r w:rsidR="00F60F15" w:rsidRPr="00C0400B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C0400B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C0400B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C0400B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C0400B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C0400B">
        <w:rPr>
          <w:rFonts w:asciiTheme="majorBidi" w:hAnsiTheme="majorBidi" w:cstheme="majorBidi"/>
          <w:sz w:val="26"/>
          <w:szCs w:val="26"/>
        </w:rPr>
        <w:t>situation</w:t>
      </w:r>
      <w:r w:rsidR="00613DED" w:rsidRPr="00C0400B">
        <w:rPr>
          <w:rFonts w:asciiTheme="majorBidi" w:hAnsiTheme="majorBidi" w:cstheme="majorBidi"/>
          <w:sz w:val="26"/>
          <w:szCs w:val="26"/>
        </w:rPr>
        <w:t>.</w:t>
      </w:r>
    </w:p>
    <w:p w:rsidR="00613DED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F7D7B" w:rsidRDefault="005F7D7B" w:rsidP="005F7D7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9461"/>
      </w:tblGrid>
      <w:tr w:rsidR="00B578D2" w:rsidRPr="00C0400B" w:rsidTr="008E6D39">
        <w:trPr>
          <w:trHeight w:val="360"/>
          <w:jc w:val="center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C0400B" w:rsidRDefault="00B578D2" w:rsidP="00CF4A51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 xml:space="preserve">Table 1: Balance of Payments In Palestine* for the </w:t>
            </w:r>
            <w:r w:rsidR="00CF4A51" w:rsidRPr="00C0400B">
              <w:rPr>
                <w:rFonts w:asciiTheme="majorBidi" w:hAnsiTheme="majorBidi" w:cstheme="majorBidi"/>
                <w:bCs/>
                <w:i w:val="0"/>
              </w:rPr>
              <w:t xml:space="preserve">third </w:t>
            </w:r>
            <w:r w:rsidRPr="00C0400B">
              <w:rPr>
                <w:rFonts w:asciiTheme="majorBidi" w:hAnsiTheme="majorBidi" w:cstheme="majorBidi"/>
                <w:bCs/>
                <w:i w:val="0"/>
              </w:rPr>
              <w:t xml:space="preserve">and </w:t>
            </w:r>
            <w:r w:rsidR="00CF4A51" w:rsidRPr="00C0400B">
              <w:rPr>
                <w:rFonts w:asciiTheme="majorBidi" w:hAnsiTheme="majorBidi" w:cstheme="majorBidi"/>
                <w:bCs/>
                <w:i w:val="0"/>
              </w:rPr>
              <w:t>fourth</w:t>
            </w:r>
            <w:r w:rsidRPr="00C0400B">
              <w:rPr>
                <w:rFonts w:asciiTheme="majorBidi" w:hAnsiTheme="majorBidi" w:cstheme="majorBidi"/>
                <w:bCs/>
                <w:i w:val="0"/>
              </w:rPr>
              <w:t xml:space="preserve"> quarters 2020</w:t>
            </w:r>
          </w:p>
        </w:tc>
      </w:tr>
    </w:tbl>
    <w:p w:rsidR="00B769D0" w:rsidRPr="00C0400B" w:rsidRDefault="00B769D0">
      <w:pPr>
        <w:rPr>
          <w:rFonts w:asciiTheme="majorBidi" w:hAnsiTheme="majorBidi" w:cstheme="majorBidi"/>
          <w:b w:val="0"/>
          <w:bCs/>
          <w:i w:val="0"/>
          <w:iCs/>
          <w:rtl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4246"/>
        <w:gridCol w:w="2269"/>
        <w:gridCol w:w="2700"/>
        <w:gridCol w:w="325"/>
      </w:tblGrid>
      <w:tr w:rsidR="0058621D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58621D" w:rsidRPr="00C0400B" w:rsidRDefault="0058621D" w:rsidP="00C0400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2269" w:type="dxa"/>
            <w:vAlign w:val="center"/>
          </w:tcPr>
          <w:p w:rsidR="0058621D" w:rsidRPr="00C0400B" w:rsidRDefault="0058621D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2700" w:type="dxa"/>
            <w:vAlign w:val="center"/>
          </w:tcPr>
          <w:p w:rsidR="0058621D" w:rsidRPr="00C0400B" w:rsidRDefault="0058621D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CF4A51" w:rsidRPr="00C0400B" w:rsidTr="005F7D7B">
        <w:trPr>
          <w:gridAfter w:val="1"/>
          <w:wAfter w:w="325" w:type="dxa"/>
          <w:trHeight w:val="436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Q3- 2020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Q4- 2020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-200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-292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Goods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-1,144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-1,275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Exports (fob)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469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541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Imports (fob)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1,613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1,817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Services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-207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-228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Exports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191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220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Imports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398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448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Income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697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741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Receipts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737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775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Compensation of employees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666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717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from Israel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653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iCs/>
              </w:rPr>
              <w:t>705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Investment income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71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58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Payments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41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34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Current transfers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454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470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543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556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117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95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79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iCs/>
              </w:rPr>
              <w:t>56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426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461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25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center"/>
          </w:tcPr>
          <w:p w:rsidR="00CF4A51" w:rsidRPr="00C0400B" w:rsidRDefault="00CF4A51" w:rsidP="005F7D7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89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86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1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rtl/>
              </w:rPr>
              <w:t>22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383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Capital account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84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>117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Capital transfers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84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117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84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117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27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41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27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iCs/>
              </w:rPr>
              <w:t>41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57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76</w:t>
            </w:r>
          </w:p>
        </w:tc>
      </w:tr>
      <w:tr w:rsidR="00CF4A51" w:rsidRPr="00C0400B" w:rsidTr="008E6D39">
        <w:trPr>
          <w:gridAfter w:val="1"/>
          <w:wAfter w:w="325" w:type="dxa"/>
          <w:trHeight w:val="330"/>
          <w:jc w:val="center"/>
        </w:trPr>
        <w:tc>
          <w:tcPr>
            <w:tcW w:w="4590" w:type="dxa"/>
            <w:gridSpan w:val="2"/>
            <w:vAlign w:val="bottom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CF4A51" w:rsidRPr="00C0400B" w:rsidTr="008E6D39">
        <w:trPr>
          <w:gridAfter w:val="1"/>
          <w:wAfter w:w="325" w:type="dxa"/>
          <w:trHeight w:val="337"/>
          <w:jc w:val="center"/>
        </w:trPr>
        <w:tc>
          <w:tcPr>
            <w:tcW w:w="4590" w:type="dxa"/>
            <w:gridSpan w:val="2"/>
          </w:tcPr>
          <w:p w:rsidR="00CF4A51" w:rsidRPr="00C0400B" w:rsidRDefault="00CF4A51" w:rsidP="005F7D7B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2269" w:type="dxa"/>
            <w:vAlign w:val="center"/>
          </w:tcPr>
          <w:p w:rsidR="00CF4A51" w:rsidRPr="00C0400B" w:rsidRDefault="00CF4A51" w:rsidP="00C0400B">
            <w:pPr>
              <w:bidi/>
              <w:ind w:right="-140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2700" w:type="dxa"/>
            <w:vAlign w:val="center"/>
          </w:tcPr>
          <w:p w:rsidR="00CF4A51" w:rsidRPr="00C0400B" w:rsidRDefault="00CF4A51" w:rsidP="00C0400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C0400B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B578D2" w:rsidRPr="00722656" w:rsidTr="008E6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4" w:type="dxa"/>
          <w:trHeight w:val="360"/>
          <w:jc w:val="center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D39" w:rsidRDefault="008E6D39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8E6D39" w:rsidRDefault="008E6D39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8E6D39" w:rsidRDefault="008E6D39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5F7D7B" w:rsidRDefault="005F7D7B" w:rsidP="00CF4A51">
            <w:pPr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  <w:p w:rsidR="00B578D2" w:rsidRPr="00C0400B" w:rsidRDefault="00B578D2" w:rsidP="00CF4A51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</w:rPr>
              <w:t xml:space="preserve">Table 1 (Cont.): Balance of Payments In Palestine* for the </w:t>
            </w:r>
            <w:r w:rsidR="00CF4A51" w:rsidRPr="00C0400B">
              <w:rPr>
                <w:rFonts w:asciiTheme="majorBidi" w:hAnsiTheme="majorBidi" w:cstheme="majorBidi"/>
                <w:bCs/>
                <w:i w:val="0"/>
              </w:rPr>
              <w:t xml:space="preserve">third </w:t>
            </w:r>
            <w:r w:rsidRPr="00C0400B">
              <w:rPr>
                <w:rFonts w:asciiTheme="majorBidi" w:hAnsiTheme="majorBidi" w:cstheme="majorBidi"/>
                <w:bCs/>
                <w:i w:val="0"/>
              </w:rPr>
              <w:t xml:space="preserve">and </w:t>
            </w:r>
            <w:r w:rsidR="00CF4A51" w:rsidRPr="00C0400B">
              <w:rPr>
                <w:rFonts w:asciiTheme="majorBidi" w:hAnsiTheme="majorBidi" w:cstheme="majorBidi"/>
                <w:bCs/>
                <w:i w:val="0"/>
              </w:rPr>
              <w:t>fourth</w:t>
            </w:r>
            <w:r w:rsidRPr="00C0400B">
              <w:rPr>
                <w:rFonts w:asciiTheme="majorBidi" w:hAnsiTheme="majorBidi" w:cstheme="majorBidi"/>
                <w:bCs/>
                <w:i w:val="0"/>
              </w:rPr>
              <w:t xml:space="preserve"> quarters 2020</w:t>
            </w:r>
          </w:p>
        </w:tc>
      </w:tr>
    </w:tbl>
    <w:p w:rsidR="00BB40CB" w:rsidRPr="00021DB6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1678"/>
        <w:gridCol w:w="1818"/>
      </w:tblGrid>
      <w:tr w:rsidR="0058621D" w:rsidRPr="00C0400B" w:rsidTr="00C0400B">
        <w:trPr>
          <w:trHeight w:val="330"/>
          <w:jc w:val="center"/>
        </w:trPr>
        <w:tc>
          <w:tcPr>
            <w:tcW w:w="5661" w:type="dxa"/>
            <w:vAlign w:val="bottom"/>
          </w:tcPr>
          <w:p w:rsidR="0058621D" w:rsidRPr="00C0400B" w:rsidRDefault="0058621D" w:rsidP="00C0400B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678" w:type="dxa"/>
            <w:shd w:val="clear" w:color="auto" w:fill="auto"/>
            <w:noWrap/>
            <w:vAlign w:val="bottom"/>
            <w:hideMark/>
          </w:tcPr>
          <w:p w:rsidR="0058621D" w:rsidRPr="00C0400B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818" w:type="dxa"/>
            <w:vAlign w:val="bottom"/>
          </w:tcPr>
          <w:p w:rsidR="0058621D" w:rsidRPr="00C0400B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CF4A51" w:rsidRPr="00C0400B" w:rsidTr="00C0400B">
        <w:trPr>
          <w:trHeight w:val="644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CF4A51" w:rsidRPr="00C0400B" w:rsidRDefault="00CF4A51" w:rsidP="00CF4A51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lang w:val="en-GB"/>
              </w:rPr>
              <w:t>Q3- 2020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lang w:val="en-GB"/>
              </w:rPr>
              <w:t>Q4- 2020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Financial account (net)**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-62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rtl/>
              </w:rPr>
              <w:t>266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Foreign Direct investment (net)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61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-59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investment abroad (net)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investment in Palestine (net)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56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-58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Foreign  Portfolio investment (net)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54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70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Assets (net)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86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Liabilities (net)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-33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42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Foreign Other investment (net)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-251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325</w:t>
            </w:r>
          </w:p>
        </w:tc>
      </w:tr>
      <w:tr w:rsidR="00CF4A51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CF4A51" w:rsidRPr="00C0400B" w:rsidRDefault="00CF4A51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Assets (net)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-265</w:t>
            </w:r>
          </w:p>
        </w:tc>
        <w:tc>
          <w:tcPr>
            <w:tcW w:w="1818" w:type="dxa"/>
            <w:vAlign w:val="center"/>
          </w:tcPr>
          <w:p w:rsidR="00CF4A51" w:rsidRPr="00C0400B" w:rsidRDefault="00CF4A51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288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claims on Israel of clearance revenues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EF3090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-466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EF3090">
            <w:pPr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  <w:rtl/>
              </w:rPr>
              <w:t>765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Currency and deposits***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192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-484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Liabilities (net)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15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Loans nonresidents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9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22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Of which Currency and deposits****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5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</w:rPr>
              <w:t>-71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178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-91</w:t>
            </w:r>
          </w:p>
        </w:tc>
      </w:tr>
      <w:tr w:rsidR="00EF3090" w:rsidRPr="00C0400B" w:rsidTr="00C0400B">
        <w:trPr>
          <w:trHeight w:val="406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-74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71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Financing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74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-71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FF0000"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EF3090" w:rsidRPr="00C0400B" w:rsidTr="00C0400B">
        <w:trPr>
          <w:trHeight w:val="330"/>
          <w:jc w:val="center"/>
        </w:trPr>
        <w:tc>
          <w:tcPr>
            <w:tcW w:w="5661" w:type="dxa"/>
            <w:vAlign w:val="center"/>
          </w:tcPr>
          <w:p w:rsidR="00EF3090" w:rsidRPr="00C0400B" w:rsidRDefault="00EF3090" w:rsidP="005F7D7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EF3090" w:rsidRPr="00C0400B" w:rsidRDefault="00EF3090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74</w:t>
            </w:r>
          </w:p>
        </w:tc>
        <w:tc>
          <w:tcPr>
            <w:tcW w:w="1818" w:type="dxa"/>
            <w:vAlign w:val="center"/>
          </w:tcPr>
          <w:p w:rsidR="00EF3090" w:rsidRPr="00C0400B" w:rsidRDefault="00EF3090" w:rsidP="00CF4A51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i w:val="0"/>
                <w:iCs/>
              </w:rPr>
              <w:t>-71</w:t>
            </w:r>
          </w:p>
        </w:tc>
      </w:tr>
    </w:tbl>
    <w:p w:rsidR="00021DB6" w:rsidRDefault="00021DB6">
      <w:pPr>
        <w:rPr>
          <w:b w:val="0"/>
          <w:bCs/>
          <w:i w:val="0"/>
          <w:iCs/>
          <w:sz w:val="18"/>
          <w:szCs w:val="18"/>
          <w:rtl/>
        </w:rPr>
      </w:pPr>
    </w:p>
    <w:p w:rsidR="00C0400B" w:rsidRPr="00E927C3" w:rsidRDefault="00C0400B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8263" w:type="dxa"/>
        <w:jc w:val="center"/>
        <w:tblLayout w:type="fixed"/>
        <w:tblLook w:val="0000" w:firstRow="0" w:lastRow="0" w:firstColumn="0" w:lastColumn="0" w:noHBand="0" w:noVBand="0"/>
      </w:tblPr>
      <w:tblGrid>
        <w:gridCol w:w="8263"/>
      </w:tblGrid>
      <w:tr w:rsidR="00327CC3" w:rsidRPr="00C0400B" w:rsidTr="00C0400B">
        <w:trPr>
          <w:trHeight w:val="618"/>
          <w:jc w:val="center"/>
        </w:trPr>
        <w:tc>
          <w:tcPr>
            <w:tcW w:w="8263" w:type="dxa"/>
            <w:vAlign w:val="center"/>
          </w:tcPr>
          <w:p w:rsidR="00327CC3" w:rsidRPr="00C0400B" w:rsidRDefault="00327CC3" w:rsidP="00327CC3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  <w:t>*The data excludes those part of Jerusalem which were annexed by Israeli occupation in 1967.</w:t>
            </w:r>
          </w:p>
        </w:tc>
      </w:tr>
      <w:tr w:rsidR="00327CC3" w:rsidRPr="00C0400B" w:rsidTr="00C0400B">
        <w:trPr>
          <w:trHeight w:val="299"/>
          <w:jc w:val="center"/>
        </w:trPr>
        <w:tc>
          <w:tcPr>
            <w:tcW w:w="8263" w:type="dxa"/>
            <w:vAlign w:val="center"/>
          </w:tcPr>
          <w:p w:rsidR="00327CC3" w:rsidRPr="00C0400B" w:rsidRDefault="00327CC3" w:rsidP="00327CC3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 Include reserve assets.</w:t>
            </w:r>
          </w:p>
        </w:tc>
      </w:tr>
      <w:tr w:rsidR="00327CC3" w:rsidRPr="00C0400B" w:rsidTr="00C0400B">
        <w:trPr>
          <w:trHeight w:val="299"/>
          <w:jc w:val="center"/>
        </w:trPr>
        <w:tc>
          <w:tcPr>
            <w:tcW w:w="8263" w:type="dxa"/>
            <w:vAlign w:val="center"/>
          </w:tcPr>
          <w:p w:rsidR="00327CC3" w:rsidRPr="00C0400B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***Currency and deposits: Including the cash of foreign currency in the banks and the deposits </w:t>
            </w:r>
          </w:p>
          <w:p w:rsidR="00327CC3" w:rsidRPr="00C0400B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  <w:lang w:val="en-GB"/>
              </w:rPr>
            </w:pPr>
            <w:proofErr w:type="gramStart"/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</w:t>
            </w:r>
            <w:proofErr w:type="gramEnd"/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the Palestinian institutions deposited abroad.</w:t>
            </w:r>
          </w:p>
        </w:tc>
      </w:tr>
      <w:tr w:rsidR="00327CC3" w:rsidRPr="00C0400B" w:rsidTr="00C0400B">
        <w:trPr>
          <w:trHeight w:val="354"/>
          <w:jc w:val="center"/>
        </w:trPr>
        <w:tc>
          <w:tcPr>
            <w:tcW w:w="8263" w:type="dxa"/>
            <w:vAlign w:val="center"/>
          </w:tcPr>
          <w:p w:rsidR="00327CC3" w:rsidRPr="00C0400B" w:rsidRDefault="00327CC3" w:rsidP="00A234E7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C0400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****Currency and deposits: Includes the deposits of non-residents deposited in Local banks.</w:t>
            </w:r>
          </w:p>
        </w:tc>
      </w:tr>
    </w:tbl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Sect="008E6D39">
      <w:footerReference w:type="default" r:id="rId9"/>
      <w:pgSz w:w="11907" w:h="16839" w:code="9"/>
      <w:pgMar w:top="850" w:right="850" w:bottom="850" w:left="85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53" w:rsidRDefault="00290D53" w:rsidP="00885BEC">
      <w:r>
        <w:separator/>
      </w:r>
    </w:p>
  </w:endnote>
  <w:endnote w:type="continuationSeparator" w:id="0">
    <w:p w:rsidR="00290D53" w:rsidRDefault="00290D53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72158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8E6D39" w:rsidRPr="008E6D39" w:rsidRDefault="008E6D39">
        <w:pPr>
          <w:pStyle w:val="Footer"/>
          <w:jc w:val="center"/>
          <w:rPr>
            <w:i w:val="0"/>
            <w:iCs/>
          </w:rPr>
        </w:pPr>
        <w:r w:rsidRPr="008E6D39">
          <w:rPr>
            <w:i w:val="0"/>
            <w:iCs/>
          </w:rPr>
          <w:fldChar w:fldCharType="begin"/>
        </w:r>
        <w:r w:rsidRPr="008E6D39">
          <w:rPr>
            <w:i w:val="0"/>
            <w:iCs/>
          </w:rPr>
          <w:instrText xml:space="preserve"> PAGE   \* MERGEFORMAT </w:instrText>
        </w:r>
        <w:r w:rsidRPr="008E6D39">
          <w:rPr>
            <w:i w:val="0"/>
            <w:iCs/>
          </w:rPr>
          <w:fldChar w:fldCharType="separate"/>
        </w:r>
        <w:r w:rsidR="0071789D">
          <w:rPr>
            <w:i w:val="0"/>
            <w:iCs/>
            <w:noProof/>
          </w:rPr>
          <w:t>3</w:t>
        </w:r>
        <w:r w:rsidRPr="008E6D39">
          <w:rPr>
            <w:i w:val="0"/>
            <w:iCs/>
            <w:noProof/>
          </w:rPr>
          <w:fldChar w:fldCharType="end"/>
        </w:r>
      </w:p>
    </w:sdtContent>
  </w:sdt>
  <w:p w:rsidR="008E6D39" w:rsidRDefault="008E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53" w:rsidRDefault="00290D53" w:rsidP="00885BEC">
      <w:r>
        <w:separator/>
      </w:r>
    </w:p>
  </w:footnote>
  <w:footnote w:type="continuationSeparator" w:id="0">
    <w:p w:rsidR="00290D53" w:rsidRDefault="00290D53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13B4"/>
    <w:rsid w:val="00052C0B"/>
    <w:rsid w:val="000541C3"/>
    <w:rsid w:val="00056CE8"/>
    <w:rsid w:val="00056EBF"/>
    <w:rsid w:val="000621F0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294F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0D53"/>
    <w:rsid w:val="002930BA"/>
    <w:rsid w:val="002945F6"/>
    <w:rsid w:val="00295C09"/>
    <w:rsid w:val="002A0947"/>
    <w:rsid w:val="002A2BF0"/>
    <w:rsid w:val="002B0376"/>
    <w:rsid w:val="002B0FF2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707F"/>
    <w:rsid w:val="0052226F"/>
    <w:rsid w:val="00524556"/>
    <w:rsid w:val="00525E07"/>
    <w:rsid w:val="005268BB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D7B"/>
    <w:rsid w:val="005F7E95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10F11"/>
    <w:rsid w:val="00710F52"/>
    <w:rsid w:val="007115CF"/>
    <w:rsid w:val="007117F4"/>
    <w:rsid w:val="00713756"/>
    <w:rsid w:val="0071789D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E10"/>
    <w:rsid w:val="00835713"/>
    <w:rsid w:val="00836286"/>
    <w:rsid w:val="00836364"/>
    <w:rsid w:val="0083683D"/>
    <w:rsid w:val="00837C26"/>
    <w:rsid w:val="008431FD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E1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E6D39"/>
    <w:rsid w:val="008F1AEC"/>
    <w:rsid w:val="008F21DC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9C1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222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400B"/>
    <w:rsid w:val="00C046AB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1098"/>
    <w:rsid w:val="00C51EE7"/>
    <w:rsid w:val="00C52220"/>
    <w:rsid w:val="00C5265D"/>
    <w:rsid w:val="00C5482B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65ADB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CCE996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8F59-5DE8-4262-A52F-8417DCEB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 SHEHADEH</cp:lastModifiedBy>
  <cp:revision>5</cp:revision>
  <cp:lastPrinted>2021-03-28T08:29:00Z</cp:lastPrinted>
  <dcterms:created xsi:type="dcterms:W3CDTF">2021-03-28T08:31:00Z</dcterms:created>
  <dcterms:modified xsi:type="dcterms:W3CDTF">2021-03-29T07:36:00Z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