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63" w:rsidRPr="005E4A63" w:rsidRDefault="005E4A63" w:rsidP="005E4A63">
      <w:pPr>
        <w:shd w:val="clear" w:color="auto" w:fill="FFFFFF" w:themeFill="background1"/>
        <w:spacing w:line="240" w:lineRule="auto"/>
        <w:jc w:val="center"/>
        <w:rPr>
          <w:rFonts w:asciiTheme="majorBidi" w:hAnsiTheme="majorBidi" w:cstheme="majorBidi"/>
          <w:b/>
          <w:sz w:val="32"/>
          <w:szCs w:val="32"/>
        </w:rPr>
      </w:pPr>
      <w:bookmarkStart w:id="0" w:name="_GoBack"/>
      <w:bookmarkEnd w:id="0"/>
    </w:p>
    <w:p w:rsidR="005E4A63" w:rsidRPr="005E4A63" w:rsidRDefault="005E4A63" w:rsidP="005E4A63">
      <w:pPr>
        <w:shd w:val="clear" w:color="auto" w:fill="FFFFFF" w:themeFill="background1"/>
        <w:spacing w:line="240" w:lineRule="auto"/>
        <w:jc w:val="center"/>
        <w:rPr>
          <w:rFonts w:asciiTheme="majorBidi" w:hAnsiTheme="majorBidi" w:cstheme="majorBidi"/>
          <w:bCs/>
          <w:sz w:val="32"/>
          <w:szCs w:val="32"/>
        </w:rPr>
      </w:pPr>
    </w:p>
    <w:p w:rsidR="005E4A63" w:rsidRPr="005E4A63" w:rsidRDefault="005E4A63" w:rsidP="005E4A63">
      <w:pPr>
        <w:shd w:val="clear" w:color="auto" w:fill="FFFFFF" w:themeFill="background1"/>
        <w:spacing w:line="240" w:lineRule="auto"/>
        <w:jc w:val="center"/>
        <w:rPr>
          <w:rFonts w:asciiTheme="majorBidi" w:hAnsiTheme="majorBidi" w:cstheme="majorBidi"/>
          <w:b/>
          <w:sz w:val="32"/>
          <w:szCs w:val="32"/>
        </w:rPr>
      </w:pPr>
    </w:p>
    <w:p w:rsidR="005E4A63" w:rsidRPr="005E4A63" w:rsidRDefault="005E4A63" w:rsidP="005E4A63">
      <w:pPr>
        <w:shd w:val="clear" w:color="auto" w:fill="FFFFFF" w:themeFill="background1"/>
        <w:spacing w:line="240" w:lineRule="auto"/>
        <w:jc w:val="center"/>
        <w:rPr>
          <w:rFonts w:asciiTheme="majorBidi" w:hAnsiTheme="majorBidi" w:cstheme="majorBidi"/>
          <w:b/>
          <w:sz w:val="32"/>
          <w:szCs w:val="32"/>
        </w:rPr>
      </w:pPr>
    </w:p>
    <w:p w:rsidR="005E4A63" w:rsidRPr="005E4A63" w:rsidRDefault="005E4A63" w:rsidP="005E4A63">
      <w:pPr>
        <w:shd w:val="clear" w:color="auto" w:fill="FFFFFF" w:themeFill="background1"/>
        <w:spacing w:line="240" w:lineRule="auto"/>
        <w:jc w:val="center"/>
        <w:rPr>
          <w:rFonts w:asciiTheme="majorBidi" w:hAnsiTheme="majorBidi" w:cstheme="majorBidi"/>
          <w:b/>
          <w:sz w:val="32"/>
          <w:szCs w:val="32"/>
        </w:rPr>
      </w:pPr>
      <w:r w:rsidRPr="005E4A63">
        <w:rPr>
          <w:rFonts w:asciiTheme="majorBidi" w:hAnsiTheme="majorBidi" w:cstheme="majorBidi"/>
          <w:b/>
          <w:sz w:val="32"/>
          <w:szCs w:val="32"/>
        </w:rPr>
        <w:t>Palestinian Central Bureau of Statistics (PCBS)</w:t>
      </w:r>
    </w:p>
    <w:p w:rsidR="005E4A63" w:rsidRPr="005E4A63" w:rsidRDefault="005E4A63" w:rsidP="005E4A63">
      <w:pPr>
        <w:shd w:val="clear" w:color="auto" w:fill="FFFFFF" w:themeFill="background1"/>
        <w:spacing w:line="240" w:lineRule="auto"/>
        <w:jc w:val="center"/>
        <w:rPr>
          <w:rFonts w:asciiTheme="majorBidi" w:eastAsia="Times New Roman" w:hAnsiTheme="majorBidi" w:cstheme="majorBidi"/>
          <w:b/>
          <w:sz w:val="32"/>
          <w:szCs w:val="32"/>
          <w:lang w:eastAsia="ar-SA"/>
        </w:rPr>
      </w:pPr>
      <w:r w:rsidRPr="005E4A63">
        <w:rPr>
          <w:rFonts w:asciiTheme="majorBidi" w:hAnsiTheme="majorBidi" w:cstheme="majorBidi"/>
          <w:b/>
          <w:sz w:val="32"/>
          <w:szCs w:val="32"/>
        </w:rPr>
        <w:t>Press report of economic forecasts for 2018</w:t>
      </w:r>
      <w:r w:rsidRPr="005E4A63">
        <w:rPr>
          <w:rFonts w:asciiTheme="majorBidi" w:eastAsia="Times New Roman" w:hAnsiTheme="majorBidi" w:cstheme="majorBidi"/>
          <w:b/>
          <w:sz w:val="32"/>
          <w:szCs w:val="32"/>
          <w:lang w:eastAsia="ar-SA"/>
        </w:rPr>
        <w:t xml:space="preserve"> </w:t>
      </w:r>
    </w:p>
    <w:p w:rsidR="005E4A63" w:rsidRPr="005E4A63" w:rsidRDefault="005E4A63" w:rsidP="005E4A63">
      <w:pPr>
        <w:shd w:val="clear" w:color="auto" w:fill="FFFFFF" w:themeFill="background1"/>
        <w:spacing w:line="240" w:lineRule="auto"/>
        <w:jc w:val="center"/>
        <w:rPr>
          <w:rFonts w:asciiTheme="majorBidi" w:eastAsia="Times New Roman" w:hAnsiTheme="majorBidi" w:cstheme="majorBidi"/>
          <w:b/>
          <w:sz w:val="32"/>
          <w:szCs w:val="32"/>
          <w:lang w:eastAsia="ar-SA"/>
        </w:rPr>
      </w:pPr>
      <w:r w:rsidRPr="005E4A63">
        <w:rPr>
          <w:rFonts w:asciiTheme="majorBidi" w:eastAsia="Times New Roman" w:hAnsiTheme="majorBidi" w:cstheme="majorBidi"/>
          <w:b/>
          <w:sz w:val="32"/>
          <w:szCs w:val="32"/>
          <w:lang w:eastAsia="ar-SA"/>
        </w:rPr>
        <w:t xml:space="preserve"> </w:t>
      </w:r>
    </w:p>
    <w:p w:rsidR="005E4A63" w:rsidRPr="005E4A63" w:rsidRDefault="005E4A63" w:rsidP="005E4A63">
      <w:pPr>
        <w:jc w:val="both"/>
        <w:rPr>
          <w:rFonts w:asciiTheme="majorBidi" w:hAnsiTheme="majorBidi" w:cstheme="majorBidi"/>
          <w:b/>
          <w:sz w:val="28"/>
          <w:szCs w:val="28"/>
        </w:rPr>
      </w:pPr>
      <w:r w:rsidRPr="005E4A63">
        <w:rPr>
          <w:rFonts w:asciiTheme="majorBidi" w:hAnsiTheme="majorBidi" w:cstheme="majorBidi"/>
          <w:b/>
          <w:sz w:val="28"/>
          <w:szCs w:val="28"/>
        </w:rPr>
        <w:t xml:space="preserve">Ola </w:t>
      </w:r>
      <w:proofErr w:type="spellStart"/>
      <w:r w:rsidRPr="005E4A63">
        <w:rPr>
          <w:rFonts w:asciiTheme="majorBidi" w:hAnsiTheme="majorBidi" w:cstheme="majorBidi"/>
          <w:b/>
          <w:sz w:val="28"/>
          <w:szCs w:val="28"/>
        </w:rPr>
        <w:t>Awad</w:t>
      </w:r>
      <w:proofErr w:type="spellEnd"/>
      <w:r w:rsidRPr="005E4A63">
        <w:rPr>
          <w:rFonts w:asciiTheme="majorBidi" w:hAnsiTheme="majorBidi" w:cstheme="majorBidi"/>
          <w:b/>
          <w:sz w:val="28"/>
          <w:szCs w:val="28"/>
        </w:rPr>
        <w:t>, President of the Palestinian Central Bureau of Statistics (PCBS), presented</w:t>
      </w:r>
    </w:p>
    <w:p w:rsidR="005E4A63" w:rsidRPr="005E4A63" w:rsidRDefault="005E4A63" w:rsidP="005E4A63">
      <w:pPr>
        <w:pStyle w:val="ListParagraph"/>
        <w:numPr>
          <w:ilvl w:val="0"/>
          <w:numId w:val="2"/>
        </w:numPr>
        <w:jc w:val="both"/>
        <w:rPr>
          <w:rFonts w:asciiTheme="majorBidi" w:hAnsiTheme="majorBidi" w:cstheme="majorBidi"/>
          <w:b/>
          <w:sz w:val="28"/>
          <w:szCs w:val="28"/>
        </w:rPr>
      </w:pPr>
      <w:r w:rsidRPr="005E4A63">
        <w:rPr>
          <w:rFonts w:asciiTheme="majorBidi" w:hAnsiTheme="majorBidi" w:cstheme="majorBidi"/>
          <w:b/>
          <w:sz w:val="28"/>
          <w:szCs w:val="28"/>
        </w:rPr>
        <w:t>The performance of the Palestinian economy in 2017.</w:t>
      </w:r>
    </w:p>
    <w:p w:rsidR="005E4A63" w:rsidRPr="005E4A63" w:rsidRDefault="005E4A63" w:rsidP="005E4A63">
      <w:pPr>
        <w:pStyle w:val="ListParagraph"/>
        <w:numPr>
          <w:ilvl w:val="0"/>
          <w:numId w:val="2"/>
        </w:numPr>
        <w:jc w:val="both"/>
        <w:rPr>
          <w:rFonts w:asciiTheme="majorBidi" w:hAnsiTheme="majorBidi" w:cstheme="majorBidi"/>
          <w:b/>
          <w:sz w:val="28"/>
          <w:szCs w:val="28"/>
        </w:rPr>
      </w:pPr>
      <w:r w:rsidRPr="005E4A63">
        <w:rPr>
          <w:rFonts w:asciiTheme="majorBidi" w:hAnsiTheme="majorBidi" w:cstheme="majorBidi"/>
          <w:b/>
          <w:sz w:val="28"/>
          <w:szCs w:val="28"/>
        </w:rPr>
        <w:t>The economic forecasts for the year 2018.</w:t>
      </w:r>
    </w:p>
    <w:p w:rsidR="005E4A63" w:rsidRPr="005E4A63" w:rsidRDefault="005E4A63" w:rsidP="005E4A63">
      <w:pPr>
        <w:pStyle w:val="ListParagraph"/>
        <w:ind w:left="795"/>
        <w:jc w:val="center"/>
        <w:rPr>
          <w:rFonts w:asciiTheme="majorBidi" w:hAnsiTheme="majorBidi" w:cstheme="majorBidi"/>
          <w:b/>
          <w:sz w:val="28"/>
          <w:szCs w:val="28"/>
        </w:rPr>
      </w:pPr>
    </w:p>
    <w:p w:rsidR="005E4A63" w:rsidRPr="005E4A63" w:rsidRDefault="005E4A63" w:rsidP="005E4A63">
      <w:pPr>
        <w:jc w:val="both"/>
        <w:rPr>
          <w:rFonts w:asciiTheme="majorBidi" w:hAnsiTheme="majorBidi" w:cstheme="majorBidi"/>
          <w:b/>
          <w:sz w:val="28"/>
          <w:szCs w:val="28"/>
        </w:rPr>
      </w:pPr>
      <w:r w:rsidRPr="005E4A63">
        <w:rPr>
          <w:rFonts w:asciiTheme="majorBidi" w:hAnsiTheme="majorBidi" w:cstheme="majorBidi"/>
          <w:b/>
          <w:sz w:val="28"/>
          <w:szCs w:val="28"/>
        </w:rPr>
        <w:t xml:space="preserve">Today, Ms. Ola </w:t>
      </w:r>
      <w:proofErr w:type="spellStart"/>
      <w:r w:rsidRPr="005E4A63">
        <w:rPr>
          <w:rFonts w:asciiTheme="majorBidi" w:hAnsiTheme="majorBidi" w:cstheme="majorBidi"/>
          <w:b/>
          <w:sz w:val="28"/>
          <w:szCs w:val="28"/>
        </w:rPr>
        <w:t>Awad</w:t>
      </w:r>
      <w:proofErr w:type="spellEnd"/>
      <w:r w:rsidRPr="005E4A63">
        <w:rPr>
          <w:rFonts w:asciiTheme="majorBidi" w:hAnsiTheme="majorBidi" w:cstheme="majorBidi"/>
          <w:b/>
          <w:sz w:val="28"/>
          <w:szCs w:val="28"/>
        </w:rPr>
        <w:t>, President of the Palestinian Central Bureau of Statistics (PCBS), reviewed the performance of the Palestinian economy during 2017, as well as the economic forecasts for the year 2018.</w:t>
      </w:r>
    </w:p>
    <w:p w:rsidR="005E4A63" w:rsidRPr="005E4A63" w:rsidRDefault="005E4A63" w:rsidP="005E4A63">
      <w:pPr>
        <w:shd w:val="clear" w:color="auto" w:fill="FFFFFF" w:themeFill="background1"/>
        <w:spacing w:line="240" w:lineRule="auto"/>
        <w:jc w:val="center"/>
        <w:rPr>
          <w:rFonts w:asciiTheme="majorBidi" w:eastAsia="Times New Roman" w:hAnsiTheme="majorBidi" w:cstheme="majorBidi"/>
          <w:b/>
          <w:sz w:val="36"/>
          <w:szCs w:val="36"/>
          <w:lang w:eastAsia="ar-SA"/>
        </w:rPr>
      </w:pPr>
      <w:r w:rsidRPr="005E4A63">
        <w:rPr>
          <w:rFonts w:asciiTheme="majorBidi" w:eastAsia="Times New Roman" w:hAnsiTheme="majorBidi" w:cstheme="majorBidi"/>
          <w:b/>
          <w:sz w:val="36"/>
          <w:szCs w:val="36"/>
          <w:lang w:eastAsia="ar-SA"/>
        </w:rPr>
        <w:t xml:space="preserve">     </w:t>
      </w:r>
    </w:p>
    <w:p w:rsidR="005E4A63" w:rsidRPr="005E4A63" w:rsidRDefault="005E4A63" w:rsidP="005E4A63">
      <w:pPr>
        <w:shd w:val="clear" w:color="auto" w:fill="FFFFFF" w:themeFill="background1"/>
        <w:spacing w:line="240" w:lineRule="auto"/>
        <w:jc w:val="center"/>
        <w:rPr>
          <w:rFonts w:asciiTheme="majorBidi" w:eastAsia="Times New Roman" w:hAnsiTheme="majorBidi" w:cstheme="majorBidi"/>
          <w:b/>
          <w:bCs/>
          <w:sz w:val="28"/>
          <w:szCs w:val="28"/>
          <w:lang w:eastAsia="ar-SA"/>
        </w:rPr>
      </w:pPr>
      <w:r w:rsidRPr="005E4A63">
        <w:rPr>
          <w:rFonts w:asciiTheme="majorBidi" w:eastAsia="Times New Roman" w:hAnsiTheme="majorBidi" w:cstheme="majorBidi"/>
          <w:b/>
          <w:bCs/>
          <w:sz w:val="28"/>
          <w:szCs w:val="28"/>
          <w:lang w:eastAsia="ar-SA"/>
        </w:rPr>
        <w:t xml:space="preserve"> Palestinian Economic</w:t>
      </w:r>
      <w:r w:rsidRPr="005E4A63">
        <w:rPr>
          <w:rFonts w:asciiTheme="majorBidi" w:eastAsiaTheme="majorEastAsia" w:hAnsiTheme="majorBidi" w:cstheme="majorBidi"/>
          <w:b/>
          <w:bCs/>
          <w:sz w:val="28"/>
          <w:szCs w:val="28"/>
          <w:vertAlign w:val="superscript"/>
          <w:lang w:eastAsia="ar-SA"/>
        </w:rPr>
        <w:footnoteReference w:id="1"/>
      </w:r>
      <w:r w:rsidRPr="005E4A63">
        <w:rPr>
          <w:rFonts w:asciiTheme="majorBidi" w:eastAsia="Times New Roman" w:hAnsiTheme="majorBidi" w:cstheme="majorBidi"/>
          <w:b/>
          <w:bCs/>
          <w:sz w:val="28"/>
          <w:szCs w:val="28"/>
          <w:lang w:eastAsia="ar-SA"/>
        </w:rPr>
        <w:t xml:space="preserve"> Performance during 2017</w:t>
      </w:r>
    </w:p>
    <w:p w:rsidR="005E4A63" w:rsidRPr="005E4A63" w:rsidRDefault="005E4A63" w:rsidP="005E4A63">
      <w:pPr>
        <w:spacing w:line="240" w:lineRule="auto"/>
        <w:jc w:val="center"/>
        <w:rPr>
          <w:rFonts w:asciiTheme="majorBidi" w:eastAsia="Times New Roman" w:hAnsiTheme="majorBidi" w:cstheme="majorBidi"/>
          <w:b/>
          <w:bCs/>
          <w:sz w:val="24"/>
          <w:szCs w:val="24"/>
          <w:rtl/>
          <w:lang w:eastAsia="ar-SA"/>
        </w:rPr>
      </w:pPr>
    </w:p>
    <w:p w:rsidR="005E4A63" w:rsidRPr="005E4A63" w:rsidRDefault="005E4A63" w:rsidP="005E4A63">
      <w:pPr>
        <w:spacing w:line="240" w:lineRule="auto"/>
        <w:jc w:val="center"/>
        <w:rPr>
          <w:rFonts w:asciiTheme="majorBidi" w:eastAsia="Times New Roman" w:hAnsiTheme="majorBidi" w:cstheme="majorBidi"/>
          <w:b/>
          <w:bCs/>
          <w:sz w:val="24"/>
          <w:szCs w:val="24"/>
          <w:lang w:eastAsia="ar-SA"/>
        </w:rPr>
      </w:pP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The preliminary estimates for 2017 compiled in accordance with the data available for the first three quarters of the year, and indicators for the fourth quarter 2017 used to estimate the data for that quarter.  It should be noted that the data will be revised after the completion of collection of data from relevant sources.</w:t>
      </w:r>
    </w:p>
    <w:p w:rsidR="005E4A63" w:rsidRPr="005E4A63" w:rsidRDefault="005E4A63" w:rsidP="005E4A63">
      <w:pPr>
        <w:spacing w:line="240" w:lineRule="auto"/>
        <w:jc w:val="both"/>
        <w:rPr>
          <w:rFonts w:asciiTheme="majorBidi" w:eastAsia="Times New Roman" w:hAnsiTheme="majorBidi" w:cstheme="majorBidi"/>
          <w:sz w:val="16"/>
          <w:szCs w:val="16"/>
          <w:rtl/>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Increase in the Gross Domestic Product (GDP) and GDP per capita during 2017</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hAnsiTheme="majorBidi" w:cstheme="majorBidi"/>
          <w:sz w:val="24"/>
          <w:szCs w:val="24"/>
        </w:rPr>
        <w:t xml:space="preserve">Preliminary estimates indicated an increase in </w:t>
      </w:r>
      <w:r w:rsidRPr="005E4A63">
        <w:rPr>
          <w:rFonts w:asciiTheme="majorBidi" w:eastAsia="Times New Roman" w:hAnsiTheme="majorBidi" w:cstheme="majorBidi"/>
          <w:sz w:val="24"/>
          <w:szCs w:val="24"/>
          <w:lang w:eastAsia="ar-SA"/>
        </w:rPr>
        <w:t>GDP in Palestine by 3.2% during 2017 compared to 2016; GDP per capita has increased by 0.</w:t>
      </w:r>
      <w:r w:rsidRPr="005E4A63">
        <w:rPr>
          <w:rFonts w:asciiTheme="majorBidi" w:eastAsia="Times New Roman" w:hAnsiTheme="majorBidi" w:cstheme="majorBidi"/>
          <w:sz w:val="24"/>
          <w:szCs w:val="24"/>
          <w:rtl/>
          <w:lang w:eastAsia="ar-SA"/>
        </w:rPr>
        <w:t>1</w:t>
      </w:r>
      <w:r w:rsidRPr="005E4A63">
        <w:rPr>
          <w:rFonts w:asciiTheme="majorBidi" w:eastAsia="Times New Roman" w:hAnsiTheme="majorBidi" w:cstheme="majorBidi"/>
          <w:sz w:val="24"/>
          <w:szCs w:val="24"/>
          <w:lang w:eastAsia="ar-SA"/>
        </w:rPr>
        <w:t>% during 2017 compared to 2016.</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The rise in the GDP 2017 was concentrated in the main economic activities which had a relatively higher contribution to GDP, including the construction activity, which preliminary estimates indicate its increase by 4.4% marking a total rise in the number of employees approximately 18%.  The second contributor was the industry activity with a gross value added rising around 4.2% compared to 2016.  The total number of employees in the industry activity also increased about 7%.</w:t>
      </w:r>
    </w:p>
    <w:p w:rsidR="005E4A63" w:rsidRPr="005E4A63" w:rsidRDefault="005E4A63" w:rsidP="005E4A63">
      <w:pPr>
        <w:spacing w:line="240" w:lineRule="auto"/>
        <w:jc w:val="both"/>
        <w:rPr>
          <w:rFonts w:asciiTheme="majorBidi" w:eastAsia="Times New Roman" w:hAnsiTheme="majorBidi" w:cstheme="majorBidi"/>
          <w:color w:val="FF0000"/>
          <w:sz w:val="16"/>
          <w:szCs w:val="16"/>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Preliminary estimates of Palestinian labor market indicators</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Preliminary estimates indicated an increase in the number of employed persons in the Palestinian labor market by 2.5% in 2017 compared to 2016. The increase was attributed to the high increase in the number of workers in construction, industry and services activities.  Preliminary estimates also showed that 11.4% of employed individuals worked in Israel in 2017, compared to 10.9% in 2016.</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Style w:val="hps"/>
          <w:rFonts w:asciiTheme="majorBidi" w:hAnsiTheme="majorBidi" w:cstheme="majorBidi"/>
          <w:sz w:val="24"/>
          <w:szCs w:val="24"/>
        </w:rPr>
        <w:t>Unemployment rate</w:t>
      </w:r>
      <w:r w:rsidRPr="005E4A63">
        <w:rPr>
          <w:rFonts w:asciiTheme="majorBidi" w:hAnsiTheme="majorBidi" w:cstheme="majorBidi"/>
          <w:sz w:val="24"/>
          <w:szCs w:val="24"/>
        </w:rPr>
        <w:t xml:space="preserve"> increased to 28.5% in 2017 compared to 27.3% in 2016.</w:t>
      </w:r>
    </w:p>
    <w:p w:rsidR="005E4A63" w:rsidRDefault="005E4A63" w:rsidP="005E4A63">
      <w:pPr>
        <w:spacing w:line="240" w:lineRule="auto"/>
        <w:jc w:val="both"/>
        <w:rPr>
          <w:rFonts w:asciiTheme="majorBidi" w:eastAsia="Times New Roman" w:hAnsiTheme="majorBidi" w:cstheme="majorBidi"/>
          <w:b/>
          <w:bCs/>
          <w:sz w:val="25"/>
          <w:szCs w:val="25"/>
          <w:lang w:eastAsia="ar-SA"/>
        </w:rPr>
      </w:pPr>
    </w:p>
    <w:p w:rsidR="005E4A63" w:rsidRDefault="005E4A63" w:rsidP="005E4A63">
      <w:pPr>
        <w:spacing w:line="240" w:lineRule="auto"/>
        <w:jc w:val="both"/>
        <w:rPr>
          <w:rFonts w:asciiTheme="majorBidi" w:eastAsia="Times New Roman" w:hAnsiTheme="majorBidi" w:cstheme="majorBidi"/>
          <w:b/>
          <w:bCs/>
          <w:sz w:val="25"/>
          <w:szCs w:val="25"/>
          <w:lang w:eastAsia="ar-SA"/>
        </w:rPr>
      </w:pPr>
    </w:p>
    <w:p w:rsidR="005E4A63" w:rsidRDefault="005E4A63" w:rsidP="005E4A63">
      <w:pPr>
        <w:spacing w:line="240" w:lineRule="auto"/>
        <w:jc w:val="both"/>
        <w:rPr>
          <w:rFonts w:asciiTheme="majorBidi" w:eastAsia="Times New Roman" w:hAnsiTheme="majorBidi" w:cstheme="majorBidi"/>
          <w:b/>
          <w:bCs/>
          <w:sz w:val="25"/>
          <w:szCs w:val="25"/>
          <w:lang w:eastAsia="ar-SA"/>
        </w:rPr>
      </w:pPr>
    </w:p>
    <w:p w:rsidR="005E4A63" w:rsidRDefault="005E4A63" w:rsidP="005E4A63">
      <w:pPr>
        <w:spacing w:line="240" w:lineRule="auto"/>
        <w:jc w:val="both"/>
        <w:rPr>
          <w:rFonts w:asciiTheme="majorBidi" w:eastAsia="Times New Roman" w:hAnsiTheme="majorBidi" w:cstheme="majorBidi"/>
          <w:b/>
          <w:bCs/>
          <w:sz w:val="25"/>
          <w:szCs w:val="25"/>
          <w:lang w:eastAsia="ar-SA"/>
        </w:rPr>
      </w:pPr>
    </w:p>
    <w:p w:rsidR="005E4A63" w:rsidRDefault="005E4A63" w:rsidP="005E4A63">
      <w:pPr>
        <w:spacing w:line="240" w:lineRule="auto"/>
        <w:jc w:val="both"/>
        <w:rPr>
          <w:rFonts w:asciiTheme="majorBidi" w:eastAsia="Times New Roman" w:hAnsiTheme="majorBidi" w:cstheme="majorBidi"/>
          <w:b/>
          <w:bCs/>
          <w:sz w:val="25"/>
          <w:szCs w:val="25"/>
          <w:lang w:eastAsia="ar-SA"/>
        </w:rPr>
      </w:pPr>
    </w:p>
    <w:p w:rsidR="005E4A63" w:rsidRDefault="005E4A63" w:rsidP="005E4A63">
      <w:pPr>
        <w:spacing w:line="240" w:lineRule="auto"/>
        <w:jc w:val="both"/>
        <w:rPr>
          <w:rFonts w:asciiTheme="majorBidi" w:eastAsia="Times New Roman" w:hAnsiTheme="majorBidi" w:cstheme="majorBidi"/>
          <w:b/>
          <w:bCs/>
          <w:sz w:val="25"/>
          <w:szCs w:val="25"/>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An increase in exports and imports of goods and services during 2017.</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Preliminary estimates of Palestinian foreign trade movements, represented in exports and imports, indicated that the value of exports increase by 4.2% compared to 2016 and the value of imports increased by 2.8% compared to 2016.</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Prices</w:t>
      </w:r>
      <w:r w:rsidRPr="005E4A63">
        <w:rPr>
          <w:rStyle w:val="FootnoteReference"/>
          <w:rFonts w:asciiTheme="majorBidi" w:eastAsia="Times New Roman" w:hAnsiTheme="majorBidi" w:cstheme="majorBidi"/>
          <w:b/>
          <w:bCs/>
          <w:sz w:val="25"/>
          <w:szCs w:val="25"/>
          <w:lang w:eastAsia="ar-SA"/>
        </w:rPr>
        <w:footnoteReference w:id="2"/>
      </w:r>
    </w:p>
    <w:p w:rsidR="005E4A63" w:rsidRDefault="005E4A63" w:rsidP="005E4A63">
      <w:pPr>
        <w:autoSpaceDE w:val="0"/>
        <w:autoSpaceDN w:val="0"/>
        <w:adjustRightInd w:val="0"/>
        <w:spacing w:line="240" w:lineRule="auto"/>
        <w:jc w:val="both"/>
        <w:rPr>
          <w:rFonts w:asciiTheme="majorBidi" w:eastAsia="Times New Roman" w:hAnsiTheme="majorBidi" w:cstheme="majorBidi"/>
          <w:b/>
          <w:bCs/>
          <w:sz w:val="24"/>
          <w:szCs w:val="24"/>
          <w:lang w:eastAsia="ar-SA"/>
        </w:rPr>
      </w:pPr>
      <w:r w:rsidRPr="005E4A63">
        <w:rPr>
          <w:rFonts w:asciiTheme="majorBidi" w:eastAsia="Times New Roman" w:hAnsiTheme="majorBidi" w:cstheme="majorBidi"/>
          <w:sz w:val="24"/>
          <w:szCs w:val="24"/>
          <w:lang w:eastAsia="ar-SA"/>
        </w:rPr>
        <w:t>Preliminary estimates showed that the average of overall consumer prices index in Palestine recorded a slightly increase by 0.25% during 2017 compared to 2016.</w:t>
      </w:r>
    </w:p>
    <w:p w:rsidR="005E4A63" w:rsidRDefault="005E4A63" w:rsidP="005E4A63">
      <w:pPr>
        <w:autoSpaceDE w:val="0"/>
        <w:autoSpaceDN w:val="0"/>
        <w:adjustRightInd w:val="0"/>
        <w:spacing w:line="240" w:lineRule="auto"/>
        <w:jc w:val="both"/>
        <w:rPr>
          <w:rFonts w:asciiTheme="majorBidi" w:eastAsia="Times New Roman" w:hAnsiTheme="majorBidi" w:cstheme="majorBidi"/>
          <w:b/>
          <w:bCs/>
          <w:sz w:val="24"/>
          <w:szCs w:val="24"/>
          <w:lang w:eastAsia="ar-SA"/>
        </w:rPr>
      </w:pPr>
    </w:p>
    <w:p w:rsidR="005E4A63" w:rsidRPr="005E4A63" w:rsidRDefault="005E4A63" w:rsidP="005E4A63">
      <w:pPr>
        <w:autoSpaceDE w:val="0"/>
        <w:autoSpaceDN w:val="0"/>
        <w:adjustRightInd w:val="0"/>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b/>
          <w:bCs/>
          <w:sz w:val="25"/>
          <w:szCs w:val="25"/>
          <w:lang w:eastAsia="ar-SA"/>
        </w:rPr>
        <w:t>Economic Forecasts</w:t>
      </w:r>
      <w:r w:rsidRPr="005E4A63">
        <w:rPr>
          <w:rStyle w:val="FootnoteReference"/>
          <w:rFonts w:asciiTheme="majorBidi" w:eastAsia="Times New Roman" w:hAnsiTheme="majorBidi" w:cstheme="majorBidi"/>
          <w:b/>
          <w:bCs/>
          <w:sz w:val="25"/>
          <w:szCs w:val="25"/>
          <w:lang w:eastAsia="ar-SA"/>
        </w:rPr>
        <w:footnoteReference w:id="3"/>
      </w:r>
      <w:r w:rsidRPr="005E4A63">
        <w:rPr>
          <w:rFonts w:asciiTheme="majorBidi" w:eastAsia="Times New Roman" w:hAnsiTheme="majorBidi" w:cstheme="majorBidi"/>
          <w:b/>
          <w:bCs/>
          <w:sz w:val="25"/>
          <w:szCs w:val="25"/>
          <w:lang w:eastAsia="ar-SA"/>
        </w:rPr>
        <w:t xml:space="preserve"> for 2018</w:t>
      </w:r>
      <w:r w:rsidRPr="005E4A63">
        <w:rPr>
          <w:rFonts w:asciiTheme="majorBidi" w:eastAsia="Times New Roman" w:hAnsiTheme="majorBidi" w:cstheme="majorBidi"/>
          <w:b/>
          <w:bCs/>
          <w:sz w:val="24"/>
          <w:szCs w:val="24"/>
          <w:lang w:eastAsia="ar-SA"/>
        </w:rPr>
        <w:tab/>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These forecasts were developed based on various scenarios for Palestine, which do not differentiate the West Bank from Gaza Strip despite the gap between them, and in consultation with Advisory Committee for Economic Statistics, which consists of local economists and scholars, in addition to representatives from Ministry of Finance and the Palestinian Monetary Authority. Each scenario took into consideration internal political and economic circumstances for 2018, the blockade imposed upon Gaza Strip, foreign aid, Israeli measures in Palestine, the number of Palestinian workers in Israel and economic and social variables. </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Baseline Scenario</w:t>
      </w:r>
      <w:r w:rsidRPr="005E4A63">
        <w:rPr>
          <w:rFonts w:asciiTheme="majorBidi" w:eastAsia="Times New Roman" w:hAnsiTheme="majorBidi" w:cstheme="majorBidi"/>
          <w:b/>
          <w:bCs/>
          <w:sz w:val="25"/>
          <w:szCs w:val="25"/>
          <w:vertAlign w:val="superscript"/>
          <w:lang w:eastAsia="ar-SA"/>
        </w:rPr>
        <w:footnoteReference w:id="4"/>
      </w:r>
    </w:p>
    <w:p w:rsidR="005E4A63" w:rsidRPr="005E4A63" w:rsidRDefault="005E4A63" w:rsidP="005E4A63">
      <w:pPr>
        <w:spacing w:line="240" w:lineRule="auto"/>
        <w:ind w:left="720" w:firstLine="720"/>
        <w:jc w:val="both"/>
        <w:rPr>
          <w:rFonts w:asciiTheme="majorBidi" w:eastAsia="Times New Roman" w:hAnsiTheme="majorBidi" w:cstheme="majorBidi"/>
          <w:sz w:val="24"/>
          <w:szCs w:val="24"/>
          <w:lang w:eastAsia="ar-SA"/>
        </w:rPr>
      </w:pP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This scenario is based on the assumption that the economic and political situation in Palestine will remain the same as it was during 2017.  It assumes that donor countries will continue to provide financial support for the budget of the State of Palestine (Central Government).  It assumes the continuation of transfer clearance revenues from Israeli Occupation </w:t>
      </w:r>
      <w:r w:rsidRPr="005E4A63">
        <w:rPr>
          <w:rStyle w:val="hps"/>
          <w:rFonts w:asciiTheme="majorBidi" w:hAnsiTheme="majorBidi" w:cstheme="majorBidi"/>
          <w:sz w:val="24"/>
          <w:szCs w:val="24"/>
        </w:rPr>
        <w:t>and improved</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tax collection efficiency,</w:t>
      </w:r>
      <w:r w:rsidRPr="005E4A63">
        <w:rPr>
          <w:rFonts w:asciiTheme="majorBidi" w:eastAsia="Times New Roman" w:hAnsiTheme="majorBidi" w:cstheme="majorBidi"/>
          <w:sz w:val="24"/>
          <w:szCs w:val="24"/>
          <w:lang w:eastAsia="ar-SA"/>
        </w:rPr>
        <w:t xml:space="preserve"> an increase of government transfers, and rise in the value of the credit facilities.  </w:t>
      </w:r>
      <w:r w:rsidRPr="005E4A63">
        <w:rPr>
          <w:rFonts w:asciiTheme="majorBidi" w:hAnsiTheme="majorBidi" w:cstheme="majorBidi"/>
          <w:sz w:val="24"/>
          <w:szCs w:val="24"/>
        </w:rPr>
        <w:t>It a</w:t>
      </w:r>
      <w:r w:rsidRPr="005E4A63">
        <w:rPr>
          <w:rFonts w:asciiTheme="majorBidi" w:eastAsia="Times New Roman" w:hAnsiTheme="majorBidi" w:cstheme="majorBidi"/>
          <w:sz w:val="24"/>
          <w:szCs w:val="24"/>
          <w:lang w:eastAsia="ar-SA"/>
        </w:rPr>
        <w:t>ssumes that obstacles placed by Israeli Occupation on the movement of people and goods inside Palestine, between regions, or with neighboring countries, will be the same as in 2017, in addition to natural population growth in Palestine.</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Expectations of Base Scenario</w:t>
      </w:r>
    </w:p>
    <w:p w:rsidR="005E4A63" w:rsidRPr="005E4A63" w:rsidRDefault="005E4A63" w:rsidP="005E4A63">
      <w:pPr>
        <w:tabs>
          <w:tab w:val="left" w:pos="1834"/>
        </w:tabs>
        <w:spacing w:line="240" w:lineRule="auto"/>
        <w:jc w:val="both"/>
        <w:rPr>
          <w:rFonts w:asciiTheme="majorBidi" w:eastAsia="Times New Roman" w:hAnsiTheme="majorBidi" w:cstheme="majorBidi"/>
          <w:sz w:val="16"/>
          <w:szCs w:val="16"/>
          <w:lang w:eastAsia="ar-SA"/>
        </w:rPr>
      </w:pPr>
      <w:r w:rsidRPr="005E4A63">
        <w:rPr>
          <w:rFonts w:asciiTheme="majorBidi" w:eastAsia="Times New Roman" w:hAnsiTheme="majorBidi" w:cstheme="majorBidi"/>
          <w:sz w:val="16"/>
          <w:szCs w:val="16"/>
          <w:lang w:eastAsia="ar-SA"/>
        </w:rPr>
        <w:tab/>
      </w: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Real Sector:</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Gross Domestic Product (GDP): It is expected to increase by 2.</w:t>
      </w:r>
      <w:r w:rsidRPr="005E4A63">
        <w:rPr>
          <w:rFonts w:asciiTheme="majorBidi" w:eastAsia="Times New Roman" w:hAnsiTheme="majorBidi" w:cstheme="majorBidi"/>
          <w:sz w:val="24"/>
          <w:szCs w:val="24"/>
          <w:rtl/>
          <w:lang w:eastAsia="ar-SA"/>
        </w:rPr>
        <w:t>6</w:t>
      </w:r>
      <w:r w:rsidRPr="005E4A63">
        <w:rPr>
          <w:rFonts w:asciiTheme="majorBidi" w:eastAsia="Times New Roman" w:hAnsiTheme="majorBidi" w:cstheme="majorBidi"/>
          <w:sz w:val="24"/>
          <w:szCs w:val="24"/>
          <w:lang w:eastAsia="ar-SA"/>
        </w:rPr>
        <w:t xml:space="preserve">% in 2018; the value of GDP per capita is also expected to decrease by 0.2%, and the value of gross consumption (private and public) is expected to increase by 2.5%.  The value of total investment is expected to increase by 6.8%. </w:t>
      </w:r>
    </w:p>
    <w:p w:rsidR="005E4A63" w:rsidRPr="005E4A63" w:rsidRDefault="005E4A63" w:rsidP="005E4A63">
      <w:pPr>
        <w:tabs>
          <w:tab w:val="left" w:pos="981"/>
          <w:tab w:val="left" w:pos="1393"/>
        </w:tabs>
        <w:spacing w:line="240" w:lineRule="auto"/>
        <w:jc w:val="both"/>
        <w:rPr>
          <w:rFonts w:asciiTheme="majorBidi" w:eastAsia="Times New Roman" w:hAnsiTheme="majorBidi" w:cstheme="majorBidi"/>
          <w:sz w:val="16"/>
          <w:szCs w:val="16"/>
          <w:lang w:eastAsia="ar-SA"/>
        </w:rPr>
      </w:pPr>
      <w:r w:rsidRPr="005E4A63">
        <w:rPr>
          <w:rFonts w:asciiTheme="majorBidi" w:eastAsia="Times New Roman" w:hAnsiTheme="majorBidi" w:cstheme="majorBidi"/>
          <w:sz w:val="16"/>
          <w:szCs w:val="16"/>
          <w:lang w:eastAsia="ar-SA"/>
        </w:rPr>
        <w:tab/>
      </w:r>
      <w:r w:rsidRPr="005E4A63">
        <w:rPr>
          <w:rFonts w:asciiTheme="majorBidi" w:eastAsia="Times New Roman" w:hAnsiTheme="majorBidi" w:cstheme="majorBidi"/>
          <w:sz w:val="16"/>
          <w:szCs w:val="16"/>
          <w:lang w:eastAsia="ar-SA"/>
        </w:rPr>
        <w:tab/>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b/>
          <w:bCs/>
          <w:sz w:val="25"/>
          <w:szCs w:val="25"/>
          <w:lang w:eastAsia="ar-SA"/>
        </w:rPr>
        <w:t>Employment</w:t>
      </w:r>
      <w:r w:rsidRPr="005E4A63">
        <w:rPr>
          <w:rFonts w:asciiTheme="majorBidi" w:eastAsia="Times New Roman" w:hAnsiTheme="majorBidi" w:cstheme="majorBidi"/>
          <w:sz w:val="24"/>
          <w:szCs w:val="24"/>
          <w:lang w:eastAsia="ar-SA"/>
        </w:rPr>
        <w:t>: An increase of 4.8% in the number of employees is anticipated and the unemployment rate is expected to reach 28.7% in 2018.</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Fiscal Sector:</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An 8.5% increase in the value of government revenues is anticipated as a result of improvements in tax collection, an increase in the value of government expenses by 3.4%. </w:t>
      </w: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 xml:space="preserve">External Sector: </w:t>
      </w:r>
    </w:p>
    <w:p w:rsid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An increase of 7.4% is anticipated in the net current account</w:t>
      </w:r>
      <w:r w:rsidRPr="005E4A63">
        <w:rPr>
          <w:rStyle w:val="FootnoteReference"/>
          <w:rFonts w:asciiTheme="majorBidi" w:eastAsia="Times New Roman" w:hAnsiTheme="majorBidi" w:cstheme="majorBidi"/>
          <w:sz w:val="24"/>
          <w:szCs w:val="24"/>
          <w:lang w:eastAsia="ar-SA"/>
        </w:rPr>
        <w:footnoteReference w:id="5"/>
      </w:r>
      <w:r w:rsidRPr="005E4A63">
        <w:rPr>
          <w:rFonts w:asciiTheme="majorBidi" w:eastAsia="Times New Roman" w:hAnsiTheme="majorBidi" w:cstheme="majorBidi"/>
          <w:sz w:val="24"/>
          <w:szCs w:val="24"/>
          <w:lang w:eastAsia="ar-SA"/>
        </w:rPr>
        <w:t xml:space="preserve"> deficit value of Palestine and an </w:t>
      </w:r>
      <w:r w:rsidRPr="005E4A63">
        <w:rPr>
          <w:rFonts w:asciiTheme="majorBidi" w:eastAsia="Times New Roman" w:hAnsiTheme="majorBidi" w:cstheme="majorBidi"/>
          <w:sz w:val="24"/>
          <w:szCs w:val="24"/>
          <w:lang w:val="en-GB" w:eastAsia="ar-SA"/>
        </w:rPr>
        <w:t>in</w:t>
      </w:r>
      <w:r w:rsidRPr="005E4A63">
        <w:rPr>
          <w:rFonts w:asciiTheme="majorBidi" w:eastAsia="Times New Roman" w:hAnsiTheme="majorBidi" w:cstheme="majorBidi"/>
          <w:sz w:val="24"/>
          <w:szCs w:val="24"/>
          <w:lang w:eastAsia="ar-SA"/>
        </w:rPr>
        <w:t xml:space="preserve">crease of 4.5% in the trade balance deficit value.  This is attributed to the expected rise in the value of Palestinian imports by 4.8%, despite of the expected increase in value of Palestinian exports by 5.6%, the value of net factor income is expected to increase by 7.2%.  And value of gross national income and gross national disposable income will increase by 3.2%, 2.6% respectively. </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p>
    <w:p w:rsidR="005E4A63" w:rsidRPr="005E4A63" w:rsidRDefault="005E4A63" w:rsidP="005E4A63">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Optimistic Scenario</w:t>
      </w:r>
    </w:p>
    <w:p w:rsidR="005E4A63" w:rsidRPr="005E4A63" w:rsidRDefault="005E4A63" w:rsidP="005E4A63">
      <w:pPr>
        <w:spacing w:line="240" w:lineRule="auto"/>
        <w:ind w:left="720" w:firstLine="720"/>
        <w:jc w:val="both"/>
        <w:rPr>
          <w:rFonts w:asciiTheme="majorBidi" w:eastAsia="Times New Roman" w:hAnsiTheme="majorBidi" w:cstheme="majorBidi"/>
          <w:b/>
          <w:bCs/>
          <w:sz w:val="16"/>
          <w:szCs w:val="16"/>
          <w:lang w:eastAsia="ar-SA"/>
        </w:rPr>
      </w:pP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Style w:val="hps"/>
          <w:rFonts w:asciiTheme="majorBidi" w:hAnsiTheme="majorBidi" w:cstheme="majorBidi"/>
          <w:sz w:val="24"/>
          <w:szCs w:val="24"/>
        </w:rPr>
        <w:t xml:space="preserve">This scenario is based on the assumption that the political and economic situation will improve due to the positive effects of Palestinian reconciliation, as well as an increase in the development expenditures, necessary for the reconstruction of the Gaza Strip, and assistance provided by donor countries to finance the budget of the State of Palestine (Central Government). It also assumes uninterrupted transfer of clearance revenues, and increase in tax revenues: with more collection of domestic value-added tax, and clearance value added, income, customs and excise, property and fuels (which is expected to rise because of an increase of fuel bill required to operate the Electricity company in the Gaza Strip), in addition to increasing the collection of non-tax revenues from fees on health services and education, and improved tax collection, </w:t>
      </w:r>
      <w:r w:rsidRPr="005E4A63">
        <w:rPr>
          <w:rStyle w:val="hps"/>
          <w:rFonts w:asciiTheme="majorBidi" w:hAnsiTheme="majorBidi" w:cstheme="majorBidi"/>
          <w:b/>
          <w:bCs/>
          <w:sz w:val="24"/>
          <w:szCs w:val="24"/>
        </w:rPr>
        <w:t>prices may decrease due to the removal of restrictions imposed on the Gaza Strip then increase in the demand which followed by increasing in supply which affect to increase the employment and decrease the unemployment rate and poverty ratios and increase in exports</w:t>
      </w:r>
      <w:r w:rsidRPr="005E4A63">
        <w:rPr>
          <w:rStyle w:val="hps"/>
          <w:rFonts w:asciiTheme="majorBidi" w:hAnsiTheme="majorBidi" w:cstheme="majorBidi"/>
          <w:sz w:val="24"/>
          <w:szCs w:val="24"/>
        </w:rPr>
        <w:t>. It also assumes that obstacles placed by Israeli Occupation on the movement of people and goods inside Palestine, between regions, or with neighboring countries reduced compared with 2017, plus natural population growth in Palestine.</w:t>
      </w:r>
    </w:p>
    <w:p w:rsidR="005E4A63" w:rsidRPr="005E4A63" w:rsidRDefault="005E4A63" w:rsidP="005E4A63">
      <w:pPr>
        <w:spacing w:line="240" w:lineRule="auto"/>
        <w:jc w:val="both"/>
        <w:rPr>
          <w:rFonts w:asciiTheme="majorBidi" w:hAnsiTheme="majorBidi" w:cstheme="majorBidi"/>
          <w:sz w:val="24"/>
          <w:szCs w:val="24"/>
        </w:rPr>
      </w:pPr>
      <w:r w:rsidRPr="005E4A63">
        <w:rPr>
          <w:rFonts w:asciiTheme="majorBidi" w:hAnsiTheme="majorBidi" w:cstheme="majorBidi"/>
          <w:sz w:val="24"/>
          <w:szCs w:val="24"/>
        </w:rPr>
        <w:t xml:space="preserve"> </w:t>
      </w: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Expectations of the Optimistic Scenario</w:t>
      </w:r>
    </w:p>
    <w:p w:rsidR="005E4A63" w:rsidRPr="005E4A63" w:rsidRDefault="005E4A63" w:rsidP="005E4A63">
      <w:pPr>
        <w:tabs>
          <w:tab w:val="left" w:pos="991"/>
        </w:tabs>
        <w:spacing w:line="240" w:lineRule="auto"/>
        <w:jc w:val="both"/>
        <w:rPr>
          <w:rFonts w:asciiTheme="majorBidi" w:eastAsia="Times New Roman" w:hAnsiTheme="majorBidi" w:cstheme="majorBidi"/>
          <w:b/>
          <w:bCs/>
          <w:sz w:val="16"/>
          <w:szCs w:val="16"/>
          <w:lang w:eastAsia="ar-SA"/>
        </w:rPr>
      </w:pPr>
      <w:r w:rsidRPr="005E4A63">
        <w:rPr>
          <w:rFonts w:asciiTheme="majorBidi" w:eastAsia="Times New Roman" w:hAnsiTheme="majorBidi" w:cstheme="majorBidi"/>
          <w:b/>
          <w:bCs/>
          <w:sz w:val="16"/>
          <w:szCs w:val="16"/>
          <w:lang w:eastAsia="ar-SA"/>
        </w:rPr>
        <w:tab/>
      </w: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Real Sector:</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Gross Domestic Product (GDP): It is anticipated to increase by 7.0% during 2018 while GDP per capita will increase by 4.0%.  It also assumes that gross consumption value (private and public) will increase by 4.9% and the value of total investments will increase by 16.2%. </w:t>
      </w:r>
    </w:p>
    <w:p w:rsidR="005E4A63" w:rsidRPr="005E4A63" w:rsidRDefault="005E4A63" w:rsidP="005E4A63">
      <w:pPr>
        <w:tabs>
          <w:tab w:val="left" w:pos="981"/>
        </w:tabs>
        <w:spacing w:line="240" w:lineRule="auto"/>
        <w:jc w:val="both"/>
        <w:rPr>
          <w:rFonts w:asciiTheme="majorBidi" w:eastAsia="Times New Roman" w:hAnsiTheme="majorBidi" w:cstheme="majorBidi"/>
          <w:sz w:val="16"/>
          <w:szCs w:val="16"/>
          <w:lang w:eastAsia="ar-SA"/>
        </w:rPr>
      </w:pPr>
      <w:r w:rsidRPr="005E4A63">
        <w:rPr>
          <w:rFonts w:asciiTheme="majorBidi" w:eastAsia="Times New Roman" w:hAnsiTheme="majorBidi" w:cstheme="majorBidi"/>
          <w:sz w:val="16"/>
          <w:szCs w:val="16"/>
          <w:lang w:eastAsia="ar-SA"/>
        </w:rPr>
        <w:tab/>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b/>
          <w:bCs/>
          <w:sz w:val="25"/>
          <w:szCs w:val="25"/>
          <w:lang w:eastAsia="ar-SA"/>
        </w:rPr>
        <w:t>Employment</w:t>
      </w:r>
      <w:r w:rsidRPr="005E4A63">
        <w:rPr>
          <w:rFonts w:asciiTheme="majorBidi" w:eastAsia="Times New Roman" w:hAnsiTheme="majorBidi" w:cstheme="majorBidi"/>
          <w:sz w:val="24"/>
          <w:szCs w:val="24"/>
          <w:lang w:eastAsia="ar-SA"/>
        </w:rPr>
        <w:t>: An increase of 10.2% in the number of employees is anticipated and the unemployment rate is expected to decrease to 26.0% during 2018.</w:t>
      </w:r>
    </w:p>
    <w:p w:rsidR="005E4A63" w:rsidRPr="005E4A63" w:rsidRDefault="005E4A63" w:rsidP="005E4A63">
      <w:pPr>
        <w:tabs>
          <w:tab w:val="left" w:pos="1238"/>
        </w:tabs>
        <w:spacing w:line="240" w:lineRule="auto"/>
        <w:jc w:val="both"/>
        <w:rPr>
          <w:rFonts w:asciiTheme="majorBidi" w:eastAsia="Times New Roman" w:hAnsiTheme="majorBidi" w:cstheme="majorBidi"/>
          <w:sz w:val="16"/>
          <w:szCs w:val="16"/>
          <w:lang w:eastAsia="ar-SA"/>
        </w:rPr>
      </w:pPr>
      <w:r w:rsidRPr="005E4A63">
        <w:rPr>
          <w:rFonts w:asciiTheme="majorBidi" w:eastAsia="Times New Roman" w:hAnsiTheme="majorBidi" w:cstheme="majorBidi"/>
          <w:sz w:val="16"/>
          <w:szCs w:val="16"/>
          <w:lang w:eastAsia="ar-SA"/>
        </w:rPr>
        <w:tab/>
      </w: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Fiscal Sector:</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An 18.0% increase in the value of government revenues is anticipated, an increase in the value of government expenses by 11.4%, and a decrease in the public budget deficit (Central Government) by 26.5%.</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 xml:space="preserve">External Sector: </w:t>
      </w:r>
    </w:p>
    <w:p w:rsid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A decrease of 32.0% in the net current account deficit value of Palestine is anticipated, despite an </w:t>
      </w:r>
      <w:r w:rsidRPr="005E4A63">
        <w:rPr>
          <w:rFonts w:asciiTheme="majorBidi" w:eastAsia="Times New Roman" w:hAnsiTheme="majorBidi" w:cstheme="majorBidi"/>
          <w:sz w:val="24"/>
          <w:szCs w:val="24"/>
          <w:lang w:val="en-GB" w:eastAsia="ar-SA"/>
        </w:rPr>
        <w:t>in</w:t>
      </w:r>
      <w:r w:rsidRPr="005E4A63">
        <w:rPr>
          <w:rFonts w:asciiTheme="majorBidi" w:eastAsia="Times New Roman" w:hAnsiTheme="majorBidi" w:cstheme="majorBidi"/>
          <w:sz w:val="24"/>
          <w:szCs w:val="24"/>
          <w:lang w:eastAsia="ar-SA"/>
        </w:rPr>
        <w:t xml:space="preserve">crease of 5.8% in the trade balance deficit value, due to the rise in the value of Palestinian imports by 6.8% even with an expected increase in the value of exports by 8.8%.  The value of net factor income is expected to increase by 28.6%, which will </w:t>
      </w:r>
      <w:r w:rsidRPr="005E4A63">
        <w:rPr>
          <w:rStyle w:val="hps"/>
          <w:rFonts w:asciiTheme="majorBidi" w:hAnsiTheme="majorBidi" w:cstheme="majorBidi"/>
          <w:sz w:val="24"/>
          <w:szCs w:val="24"/>
        </w:rPr>
        <w:t>reflect</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directly on the</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net</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current account deficit</w:t>
      </w:r>
      <w:r w:rsidRPr="005E4A63">
        <w:rPr>
          <w:rFonts w:asciiTheme="majorBidi" w:hAnsiTheme="majorBidi" w:cstheme="majorBidi"/>
          <w:sz w:val="24"/>
          <w:szCs w:val="24"/>
        </w:rPr>
        <w:t xml:space="preserve"> value due to the </w:t>
      </w:r>
      <w:r w:rsidRPr="005E4A63">
        <w:rPr>
          <w:rStyle w:val="hps"/>
          <w:rFonts w:asciiTheme="majorBidi" w:hAnsiTheme="majorBidi" w:cstheme="majorBidi"/>
          <w:sz w:val="24"/>
          <w:szCs w:val="24"/>
        </w:rPr>
        <w:t>increasing</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number of workers in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Israel as a result of</w:t>
      </w:r>
      <w:r w:rsidRPr="005E4A63">
        <w:rPr>
          <w:rFonts w:asciiTheme="majorBidi" w:hAnsiTheme="majorBidi" w:cstheme="majorBidi"/>
          <w:sz w:val="24"/>
          <w:szCs w:val="24"/>
        </w:rPr>
        <w:t xml:space="preserve"> the </w:t>
      </w:r>
      <w:r w:rsidRPr="005E4A63">
        <w:rPr>
          <w:rStyle w:val="hps"/>
          <w:rFonts w:asciiTheme="majorBidi" w:hAnsiTheme="majorBidi" w:cstheme="majorBidi"/>
          <w:sz w:val="24"/>
          <w:szCs w:val="24"/>
        </w:rPr>
        <w:t>assumption of freedom of movement</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of people and goods</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 xml:space="preserve">in Palestine.  </w:t>
      </w:r>
      <w:r w:rsidRPr="005E4A63">
        <w:rPr>
          <w:rFonts w:asciiTheme="majorBidi" w:eastAsia="Times New Roman" w:hAnsiTheme="majorBidi" w:cstheme="majorBidi"/>
          <w:sz w:val="24"/>
          <w:szCs w:val="24"/>
          <w:lang w:eastAsia="ar-SA"/>
        </w:rPr>
        <w:t>This would increase gross national income value by 9.4%, and gross national disposable income value by 11.6%.</w:t>
      </w:r>
    </w:p>
    <w:p w:rsidR="005E4A63" w:rsidRDefault="005E4A63" w:rsidP="005E4A63">
      <w:pPr>
        <w:spacing w:line="240" w:lineRule="auto"/>
        <w:jc w:val="both"/>
        <w:rPr>
          <w:rFonts w:asciiTheme="majorBidi" w:eastAsia="Times New Roman" w:hAnsiTheme="majorBidi" w:cstheme="majorBidi"/>
          <w:sz w:val="24"/>
          <w:szCs w:val="24"/>
          <w:lang w:eastAsia="ar-SA"/>
        </w:rPr>
      </w:pPr>
    </w:p>
    <w:p w:rsidR="005E4A63" w:rsidRDefault="005E4A63" w:rsidP="005E4A63">
      <w:pPr>
        <w:spacing w:line="240" w:lineRule="auto"/>
        <w:jc w:val="both"/>
        <w:rPr>
          <w:rFonts w:asciiTheme="majorBidi" w:eastAsia="Times New Roman" w:hAnsiTheme="majorBidi" w:cstheme="majorBidi"/>
          <w:sz w:val="24"/>
          <w:szCs w:val="24"/>
          <w:lang w:eastAsia="ar-SA"/>
        </w:rPr>
      </w:pPr>
    </w:p>
    <w:p w:rsidR="005E4A63" w:rsidRDefault="005E4A63" w:rsidP="005E4A63">
      <w:pPr>
        <w:spacing w:line="240" w:lineRule="auto"/>
        <w:jc w:val="both"/>
        <w:rPr>
          <w:rFonts w:asciiTheme="majorBidi" w:eastAsia="Times New Roman" w:hAnsiTheme="majorBidi" w:cstheme="majorBidi"/>
          <w:sz w:val="24"/>
          <w:szCs w:val="24"/>
          <w:lang w:eastAsia="ar-SA"/>
        </w:rPr>
      </w:pPr>
    </w:p>
    <w:p w:rsidR="005E4A63" w:rsidRDefault="005E4A63" w:rsidP="005E4A63">
      <w:pPr>
        <w:spacing w:line="240" w:lineRule="auto"/>
        <w:jc w:val="both"/>
        <w:rPr>
          <w:rFonts w:asciiTheme="majorBidi" w:eastAsia="Times New Roman" w:hAnsiTheme="majorBidi" w:cstheme="majorBidi"/>
          <w:sz w:val="24"/>
          <w:szCs w:val="24"/>
          <w:lang w:eastAsia="ar-SA"/>
        </w:rPr>
      </w:pP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p>
    <w:p w:rsidR="005E4A63" w:rsidRPr="005E4A63" w:rsidRDefault="005E4A63" w:rsidP="005E4A63">
      <w:pPr>
        <w:spacing w:line="240" w:lineRule="auto"/>
        <w:jc w:val="both"/>
        <w:rPr>
          <w:rFonts w:asciiTheme="majorBidi" w:eastAsia="Times New Roman" w:hAnsiTheme="majorBidi" w:cstheme="majorBidi"/>
          <w:b/>
          <w:bCs/>
          <w:sz w:val="16"/>
          <w:szCs w:val="16"/>
          <w:lang w:eastAsia="ar-SA"/>
        </w:rPr>
      </w:pP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r w:rsidRPr="005E4A63">
        <w:rPr>
          <w:rFonts w:asciiTheme="majorBidi" w:eastAsia="Times New Roman" w:hAnsiTheme="majorBidi" w:cstheme="majorBidi"/>
          <w:sz w:val="24"/>
          <w:szCs w:val="24"/>
          <w:lang w:eastAsia="ar-SA"/>
        </w:rPr>
        <w:t xml:space="preserve"> </w:t>
      </w:r>
    </w:p>
    <w:p w:rsidR="005E4A63" w:rsidRPr="005E4A63" w:rsidRDefault="005E4A63" w:rsidP="005E4A63">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 xml:space="preserve">   Pessimistic Scenario    </w:t>
      </w:r>
    </w:p>
    <w:p w:rsidR="005E4A63" w:rsidRPr="005E4A63" w:rsidRDefault="005E4A63" w:rsidP="005E4A63">
      <w:pPr>
        <w:spacing w:line="240" w:lineRule="auto"/>
        <w:jc w:val="both"/>
        <w:rPr>
          <w:rFonts w:asciiTheme="majorBidi" w:hAnsiTheme="majorBidi" w:cstheme="majorBidi"/>
          <w:sz w:val="24"/>
          <w:szCs w:val="24"/>
        </w:rPr>
      </w:pPr>
      <w:r w:rsidRPr="005E4A63">
        <w:rPr>
          <w:rStyle w:val="hps"/>
          <w:rFonts w:asciiTheme="majorBidi" w:hAnsiTheme="majorBidi" w:cstheme="majorBidi"/>
          <w:sz w:val="24"/>
          <w:szCs w:val="24"/>
        </w:rPr>
        <w:t>This scenario</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accounts for the</w:t>
      </w:r>
      <w:r w:rsidRPr="005E4A63">
        <w:rPr>
          <w:rFonts w:asciiTheme="majorBidi" w:hAnsiTheme="majorBidi" w:cstheme="majorBidi"/>
          <w:sz w:val="24"/>
          <w:szCs w:val="24"/>
        </w:rPr>
        <w:t xml:space="preserve"> deterioration in </w:t>
      </w:r>
      <w:r w:rsidRPr="005E4A63">
        <w:rPr>
          <w:rStyle w:val="hps"/>
          <w:rFonts w:asciiTheme="majorBidi" w:hAnsiTheme="majorBidi" w:cstheme="majorBidi"/>
          <w:sz w:val="24"/>
          <w:szCs w:val="24"/>
        </w:rPr>
        <w:t>the</w:t>
      </w:r>
      <w:r w:rsidRPr="005E4A63">
        <w:rPr>
          <w:rFonts w:asciiTheme="majorBidi" w:hAnsiTheme="majorBidi" w:cstheme="majorBidi"/>
          <w:sz w:val="24"/>
          <w:szCs w:val="24"/>
        </w:rPr>
        <w:t xml:space="preserve"> already volatile </w:t>
      </w:r>
      <w:r w:rsidRPr="005E4A63">
        <w:rPr>
          <w:rStyle w:val="hps"/>
          <w:rFonts w:asciiTheme="majorBidi" w:hAnsiTheme="majorBidi" w:cstheme="majorBidi"/>
          <w:sz w:val="24"/>
          <w:szCs w:val="24"/>
        </w:rPr>
        <w:t>political and economic situation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due to the external negative effects of the reconciliation.</w:t>
      </w:r>
      <w:r w:rsidRPr="005E4A63">
        <w:rPr>
          <w:rFonts w:asciiTheme="majorBidi" w:hAnsiTheme="majorBidi" w:cstheme="majorBidi"/>
          <w:sz w:val="24"/>
          <w:szCs w:val="24"/>
        </w:rPr>
        <w:t xml:space="preserve">  It assumes a drop </w:t>
      </w:r>
      <w:r w:rsidRPr="005E4A63">
        <w:rPr>
          <w:rStyle w:val="hps"/>
          <w:rFonts w:asciiTheme="majorBidi" w:hAnsiTheme="majorBidi" w:cstheme="majorBidi"/>
          <w:sz w:val="24"/>
          <w:szCs w:val="24"/>
        </w:rPr>
        <w:t>in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aid from</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donor countries</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to finance the</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budget of</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the State of Palestine</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w:t>
      </w:r>
      <w:r w:rsidRPr="005E4A63">
        <w:rPr>
          <w:rFonts w:asciiTheme="majorBidi" w:hAnsiTheme="majorBidi" w:cstheme="majorBidi"/>
          <w:sz w:val="24"/>
          <w:szCs w:val="24"/>
        </w:rPr>
        <w:t xml:space="preserve">Central Government), </w:t>
      </w:r>
      <w:r w:rsidRPr="005E4A63">
        <w:rPr>
          <w:rStyle w:val="hps"/>
          <w:rFonts w:asciiTheme="majorBidi" w:hAnsiTheme="majorBidi" w:cstheme="majorBidi"/>
          <w:sz w:val="24"/>
          <w:szCs w:val="24"/>
        </w:rPr>
        <w:t>an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increase</w:t>
      </w:r>
      <w:r w:rsidRPr="005E4A63">
        <w:rPr>
          <w:rFonts w:asciiTheme="majorBidi" w:hAnsiTheme="majorBidi" w:cstheme="majorBidi"/>
          <w:sz w:val="24"/>
          <w:szCs w:val="24"/>
        </w:rPr>
        <w:t xml:space="preserve"> in</w:t>
      </w:r>
      <w:r w:rsidRPr="005E4A63">
        <w:rPr>
          <w:rStyle w:val="hps"/>
          <w:rFonts w:asciiTheme="majorBidi" w:hAnsiTheme="majorBidi" w:cstheme="majorBidi"/>
          <w:sz w:val="24"/>
          <w:szCs w:val="24"/>
        </w:rPr>
        <w:t xml:space="preserve"> tax evasion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fluctuations</w:t>
      </w:r>
      <w:r w:rsidRPr="005E4A63">
        <w:rPr>
          <w:rFonts w:asciiTheme="majorBidi" w:hAnsiTheme="majorBidi" w:cstheme="majorBidi"/>
          <w:sz w:val="24"/>
          <w:szCs w:val="24"/>
        </w:rPr>
        <w:t xml:space="preserve"> or stopping </w:t>
      </w:r>
      <w:r w:rsidRPr="005E4A63">
        <w:rPr>
          <w:rStyle w:val="hps"/>
          <w:rFonts w:asciiTheme="majorBidi" w:hAnsiTheme="majorBidi" w:cstheme="majorBidi"/>
          <w:sz w:val="24"/>
          <w:szCs w:val="24"/>
        </w:rPr>
        <w:t>in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the transfer of clearance revenues</w:t>
      </w:r>
      <w:r w:rsidRPr="005E4A63">
        <w:rPr>
          <w:rFonts w:asciiTheme="majorBidi" w:hAnsiTheme="majorBidi" w:cstheme="majorBidi"/>
          <w:sz w:val="24"/>
          <w:szCs w:val="24"/>
        </w:rPr>
        <w:t xml:space="preserve">, a </w:t>
      </w:r>
      <w:r w:rsidRPr="005E4A63">
        <w:rPr>
          <w:rStyle w:val="hps"/>
          <w:rFonts w:asciiTheme="majorBidi" w:hAnsiTheme="majorBidi" w:cstheme="majorBidi"/>
          <w:sz w:val="24"/>
          <w:szCs w:val="24"/>
        </w:rPr>
        <w:t>decline</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 xml:space="preserve">in revenues of the domestic value added tax,  it also presumes </w:t>
      </w:r>
      <w:r w:rsidRPr="005E4A63">
        <w:rPr>
          <w:rFonts w:asciiTheme="majorBidi" w:hAnsiTheme="majorBidi" w:cstheme="majorBidi"/>
          <w:sz w:val="24"/>
          <w:szCs w:val="24"/>
        </w:rPr>
        <w:t>a decline</w:t>
      </w:r>
      <w:r w:rsidRPr="005E4A63">
        <w:rPr>
          <w:rStyle w:val="hps"/>
          <w:rFonts w:asciiTheme="majorBidi" w:hAnsiTheme="majorBidi" w:cstheme="majorBidi"/>
          <w:sz w:val="24"/>
          <w:szCs w:val="24"/>
        </w:rPr>
        <w:t xml:space="preserve"> of income tax revenues and in customs and excise tax, </w:t>
      </w:r>
      <w:r w:rsidRPr="005E4A63">
        <w:rPr>
          <w:rFonts w:asciiTheme="majorBidi" w:eastAsia="Times New Roman" w:hAnsiTheme="majorBidi" w:cstheme="majorBidi"/>
          <w:sz w:val="24"/>
          <w:szCs w:val="24"/>
          <w:lang w:eastAsia="ar-SA"/>
        </w:rPr>
        <w:t xml:space="preserve">it assumes that Israeli Occupation restrictions on the mobility of people and goods inside Palestine, between regions, or with neighboring countries will increase and the number of workers in Israel will decrease as the result of closures. </w:t>
      </w:r>
    </w:p>
    <w:p w:rsidR="005E4A63" w:rsidRPr="005E4A63" w:rsidRDefault="005E4A63" w:rsidP="005E4A63">
      <w:pPr>
        <w:spacing w:line="240" w:lineRule="auto"/>
        <w:jc w:val="both"/>
        <w:rPr>
          <w:rFonts w:asciiTheme="majorBidi" w:hAnsiTheme="majorBidi" w:cstheme="majorBidi"/>
          <w:sz w:val="24"/>
          <w:szCs w:val="24"/>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Expectations of the Pessimistic Scenario</w:t>
      </w:r>
    </w:p>
    <w:p w:rsidR="005E4A63" w:rsidRPr="005E4A63" w:rsidRDefault="005E4A63" w:rsidP="005E4A63">
      <w:pPr>
        <w:tabs>
          <w:tab w:val="left" w:pos="2216"/>
        </w:tabs>
        <w:spacing w:line="240" w:lineRule="auto"/>
        <w:jc w:val="both"/>
        <w:rPr>
          <w:rFonts w:asciiTheme="majorBidi" w:eastAsia="Times New Roman" w:hAnsiTheme="majorBidi" w:cstheme="majorBidi"/>
          <w:b/>
          <w:bCs/>
          <w:sz w:val="24"/>
          <w:szCs w:val="24"/>
          <w:lang w:eastAsia="ar-SA"/>
        </w:rPr>
      </w:pPr>
      <w:r w:rsidRPr="005E4A63">
        <w:rPr>
          <w:rFonts w:asciiTheme="majorBidi" w:eastAsia="Times New Roman" w:hAnsiTheme="majorBidi" w:cstheme="majorBidi"/>
          <w:b/>
          <w:bCs/>
          <w:sz w:val="24"/>
          <w:szCs w:val="24"/>
          <w:lang w:eastAsia="ar-SA"/>
        </w:rPr>
        <w:tab/>
      </w: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Real Sector:</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Gross Domestic Product (GDP): GDP is expected to decrease by 2.1% during 2018 and GDP per capita will decrease by 4.8%.  In addition, gross consumption value (private and public) will decrease by 0.1% and the value of total investments will decrease by 14.9%. </w:t>
      </w:r>
    </w:p>
    <w:p w:rsidR="005E4A63" w:rsidRPr="005E4A63" w:rsidRDefault="005E4A63" w:rsidP="005E4A63">
      <w:pPr>
        <w:tabs>
          <w:tab w:val="left" w:pos="981"/>
        </w:tabs>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ab/>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b/>
          <w:bCs/>
          <w:sz w:val="25"/>
          <w:szCs w:val="25"/>
          <w:lang w:eastAsia="ar-SA"/>
        </w:rPr>
        <w:t>Employment</w:t>
      </w:r>
      <w:r w:rsidRPr="005E4A63">
        <w:rPr>
          <w:rFonts w:asciiTheme="majorBidi" w:eastAsia="Times New Roman" w:hAnsiTheme="majorBidi" w:cstheme="majorBidi"/>
          <w:sz w:val="24"/>
          <w:szCs w:val="24"/>
          <w:lang w:eastAsia="ar-SA"/>
        </w:rPr>
        <w:t>: The number of Palestinian employees in Israel is anticipated to decrease by 11.8% which will lead to an increase of the unemployment rate to reach 30.9% during 2018.</w:t>
      </w:r>
    </w:p>
    <w:p w:rsidR="005E4A63" w:rsidRPr="005E4A63" w:rsidRDefault="005E4A63" w:rsidP="005E4A63">
      <w:pPr>
        <w:tabs>
          <w:tab w:val="left" w:pos="1238"/>
        </w:tabs>
        <w:spacing w:line="240" w:lineRule="auto"/>
        <w:jc w:val="both"/>
        <w:rPr>
          <w:rFonts w:asciiTheme="majorBidi" w:eastAsia="Times New Roman" w:hAnsiTheme="majorBidi" w:cstheme="majorBidi"/>
          <w:sz w:val="16"/>
          <w:szCs w:val="16"/>
          <w:lang w:eastAsia="ar-SA"/>
        </w:rPr>
      </w:pPr>
      <w:r w:rsidRPr="005E4A63">
        <w:rPr>
          <w:rFonts w:asciiTheme="majorBidi" w:eastAsia="Times New Roman" w:hAnsiTheme="majorBidi" w:cstheme="majorBidi"/>
          <w:sz w:val="16"/>
          <w:szCs w:val="16"/>
          <w:lang w:eastAsia="ar-SA"/>
        </w:rPr>
        <w:tab/>
      </w: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Fiscal Sector:</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Government revenues value are expected to decrease by 4.9% as a result </w:t>
      </w:r>
      <w:r w:rsidRPr="005E4A63">
        <w:rPr>
          <w:rStyle w:val="hps"/>
          <w:rFonts w:asciiTheme="majorBidi" w:hAnsiTheme="majorBidi" w:cstheme="majorBidi"/>
          <w:sz w:val="24"/>
          <w:szCs w:val="24"/>
        </w:rPr>
        <w:t>of</w:t>
      </w:r>
      <w:r w:rsidRPr="005E4A63">
        <w:rPr>
          <w:rFonts w:asciiTheme="majorBidi" w:hAnsiTheme="majorBidi" w:cstheme="majorBidi"/>
          <w:sz w:val="24"/>
          <w:szCs w:val="24"/>
        </w:rPr>
        <w:t xml:space="preserve"> Israel </w:t>
      </w:r>
      <w:r w:rsidRPr="005E4A63">
        <w:rPr>
          <w:rStyle w:val="hps"/>
          <w:rFonts w:asciiTheme="majorBidi" w:hAnsiTheme="majorBidi" w:cstheme="majorBidi"/>
          <w:sz w:val="24"/>
          <w:szCs w:val="24"/>
        </w:rPr>
        <w:t>freezing</w:t>
      </w:r>
      <w:r w:rsidRPr="005E4A63">
        <w:rPr>
          <w:rFonts w:asciiTheme="majorBidi" w:hAnsiTheme="majorBidi" w:cstheme="majorBidi"/>
          <w:sz w:val="24"/>
          <w:szCs w:val="24"/>
        </w:rPr>
        <w:t xml:space="preserve"> a proportion </w:t>
      </w:r>
      <w:r w:rsidRPr="005E4A63">
        <w:rPr>
          <w:rStyle w:val="hps"/>
          <w:rFonts w:asciiTheme="majorBidi" w:hAnsiTheme="majorBidi" w:cstheme="majorBidi"/>
          <w:sz w:val="24"/>
          <w:szCs w:val="24"/>
        </w:rPr>
        <w:t>of tax revenues,</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plus an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increase</w:t>
      </w:r>
      <w:r w:rsidRPr="005E4A63">
        <w:rPr>
          <w:rFonts w:asciiTheme="majorBidi" w:hAnsiTheme="majorBidi" w:cstheme="majorBidi"/>
          <w:sz w:val="24"/>
          <w:szCs w:val="24"/>
        </w:rPr>
        <w:t xml:space="preserve"> in</w:t>
      </w:r>
      <w:r w:rsidRPr="005E4A63">
        <w:rPr>
          <w:rStyle w:val="hps"/>
          <w:rFonts w:asciiTheme="majorBidi" w:hAnsiTheme="majorBidi" w:cstheme="majorBidi"/>
          <w:sz w:val="24"/>
          <w:szCs w:val="24"/>
        </w:rPr>
        <w:t xml:space="preserve"> tax evasion</w:t>
      </w:r>
      <w:r w:rsidRPr="005E4A63">
        <w:rPr>
          <w:rFonts w:asciiTheme="majorBidi" w:eastAsia="Times New Roman" w:hAnsiTheme="majorBidi" w:cstheme="majorBidi"/>
          <w:sz w:val="24"/>
          <w:szCs w:val="24"/>
          <w:lang w:eastAsia="ar-SA"/>
        </w:rPr>
        <w:t xml:space="preserve">, a decrease in the value of government expenses by 1.3%. </w:t>
      </w:r>
    </w:p>
    <w:p w:rsidR="005E4A63" w:rsidRPr="005E4A63" w:rsidRDefault="005E4A63" w:rsidP="005E4A63">
      <w:pPr>
        <w:spacing w:line="240" w:lineRule="auto"/>
        <w:jc w:val="both"/>
        <w:rPr>
          <w:rFonts w:asciiTheme="majorBidi" w:eastAsia="Times New Roman" w:hAnsiTheme="majorBidi" w:cstheme="majorBidi"/>
          <w:sz w:val="16"/>
          <w:szCs w:val="16"/>
          <w:lang w:eastAsia="ar-SA"/>
        </w:rPr>
      </w:pPr>
    </w:p>
    <w:p w:rsidR="005E4A63" w:rsidRPr="005E4A63" w:rsidRDefault="005E4A63" w:rsidP="005E4A63">
      <w:pPr>
        <w:spacing w:line="240" w:lineRule="auto"/>
        <w:jc w:val="both"/>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 xml:space="preserve">External Sector: </w:t>
      </w:r>
    </w:p>
    <w:p w:rsidR="005E4A63" w:rsidRPr="005E4A63" w:rsidRDefault="005E4A63" w:rsidP="005E4A63">
      <w:pPr>
        <w:spacing w:line="240" w:lineRule="auto"/>
        <w:jc w:val="both"/>
        <w:rPr>
          <w:rFonts w:asciiTheme="majorBidi" w:eastAsia="Times New Roman" w:hAnsiTheme="majorBidi" w:cstheme="majorBidi"/>
          <w:sz w:val="24"/>
          <w:szCs w:val="24"/>
          <w:lang w:eastAsia="ar-SA"/>
        </w:rPr>
      </w:pPr>
      <w:r w:rsidRPr="005E4A63">
        <w:rPr>
          <w:rFonts w:asciiTheme="majorBidi" w:eastAsia="Times New Roman" w:hAnsiTheme="majorBidi" w:cstheme="majorBidi"/>
          <w:sz w:val="24"/>
          <w:szCs w:val="24"/>
          <w:lang w:eastAsia="ar-SA"/>
        </w:rPr>
        <w:t xml:space="preserve">The net current account deficit value of Palestine is anticipated to increase by 47.1%, due to a decrease in net current transfers from abroad by 32.4%, despite of an expected </w:t>
      </w:r>
      <w:r w:rsidRPr="005E4A63">
        <w:rPr>
          <w:rFonts w:asciiTheme="majorBidi" w:eastAsia="Times New Roman" w:hAnsiTheme="majorBidi" w:cstheme="majorBidi"/>
          <w:sz w:val="24"/>
          <w:szCs w:val="24"/>
          <w:lang w:val="en-GB" w:eastAsia="ar-SA"/>
        </w:rPr>
        <w:t>de</w:t>
      </w:r>
      <w:r w:rsidRPr="005E4A63">
        <w:rPr>
          <w:rFonts w:asciiTheme="majorBidi" w:eastAsia="Times New Roman" w:hAnsiTheme="majorBidi" w:cstheme="majorBidi"/>
          <w:sz w:val="24"/>
          <w:szCs w:val="24"/>
          <w:lang w:eastAsia="ar-SA"/>
        </w:rPr>
        <w:t xml:space="preserve">crease of 2.9% in the trade balance deficit value following a decrease in the value of Palestinian imports by 2.9% and a decrease in the Palestinian exports of 3.0%.  Net factor income value is expected to decrease by 7.0% </w:t>
      </w:r>
      <w:r w:rsidRPr="005E4A63">
        <w:rPr>
          <w:rStyle w:val="hps"/>
          <w:rFonts w:asciiTheme="majorBidi" w:hAnsiTheme="majorBidi" w:cstheme="majorBidi"/>
          <w:sz w:val="24"/>
          <w:szCs w:val="24"/>
        </w:rPr>
        <w:t>assuming that the</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number of workers in</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Israel will decrease and constraints</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imposed</w:t>
      </w:r>
      <w:r w:rsidRPr="005E4A63">
        <w:rPr>
          <w:rFonts w:asciiTheme="majorBidi" w:hAnsiTheme="majorBidi" w:cstheme="majorBidi"/>
          <w:sz w:val="24"/>
          <w:szCs w:val="24"/>
        </w:rPr>
        <w:t xml:space="preserve"> </w:t>
      </w:r>
      <w:r w:rsidRPr="005E4A63">
        <w:rPr>
          <w:rStyle w:val="hps"/>
          <w:rFonts w:asciiTheme="majorBidi" w:hAnsiTheme="majorBidi" w:cstheme="majorBidi"/>
          <w:sz w:val="24"/>
          <w:szCs w:val="24"/>
        </w:rPr>
        <w:t xml:space="preserve">within Palestine will increase.  A decrease of 2.7% is anticipated in </w:t>
      </w:r>
      <w:r w:rsidRPr="005E4A63">
        <w:rPr>
          <w:rFonts w:asciiTheme="majorBidi" w:eastAsia="Times New Roman" w:hAnsiTheme="majorBidi" w:cstheme="majorBidi"/>
          <w:sz w:val="24"/>
          <w:szCs w:val="24"/>
          <w:lang w:eastAsia="ar-SA"/>
        </w:rPr>
        <w:t>gross national income value and of 5.1% in the value of gross national disposable income.</w:t>
      </w: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Default="005E4A63" w:rsidP="005E4A63">
      <w:pPr>
        <w:pBdr>
          <w:top w:val="nil"/>
        </w:pBdr>
        <w:spacing w:line="240" w:lineRule="auto"/>
        <w:jc w:val="lowKashida"/>
        <w:rPr>
          <w:rFonts w:asciiTheme="majorBidi" w:eastAsia="Times New Roman" w:hAnsiTheme="majorBidi" w:cstheme="majorBidi"/>
          <w:b/>
          <w:bCs/>
          <w:sz w:val="24"/>
          <w:szCs w:val="24"/>
          <w:lang w:eastAsia="ar-SA"/>
        </w:rPr>
      </w:pPr>
    </w:p>
    <w:p w:rsidR="005E4A63" w:rsidRPr="005E4A63" w:rsidRDefault="005E4A63" w:rsidP="005E4A63">
      <w:pPr>
        <w:pBdr>
          <w:top w:val="nil"/>
        </w:pBdr>
        <w:spacing w:line="240" w:lineRule="auto"/>
        <w:jc w:val="lowKashida"/>
        <w:rPr>
          <w:rFonts w:asciiTheme="majorBidi" w:eastAsia="Times New Roman" w:hAnsiTheme="majorBidi" w:cstheme="majorBidi"/>
          <w:sz w:val="24"/>
          <w:szCs w:val="24"/>
          <w:lang w:eastAsia="ar-SA"/>
        </w:rPr>
      </w:pPr>
    </w:p>
    <w:p w:rsidR="005E4A63" w:rsidRPr="005E4A63" w:rsidRDefault="005E4A63" w:rsidP="005E4A63">
      <w:pPr>
        <w:spacing w:line="240" w:lineRule="auto"/>
        <w:ind w:left="-567" w:right="-710"/>
        <w:jc w:val="center"/>
        <w:rPr>
          <w:rFonts w:asciiTheme="majorBidi" w:eastAsia="Times New Roman" w:hAnsiTheme="majorBidi" w:cstheme="majorBidi"/>
          <w:b/>
          <w:bCs/>
          <w:sz w:val="25"/>
          <w:szCs w:val="25"/>
          <w:lang w:eastAsia="ar-SA"/>
        </w:rPr>
      </w:pPr>
      <w:r w:rsidRPr="005E4A63">
        <w:rPr>
          <w:rFonts w:asciiTheme="majorBidi" w:eastAsia="Times New Roman" w:hAnsiTheme="majorBidi" w:cstheme="majorBidi"/>
          <w:b/>
          <w:bCs/>
          <w:sz w:val="25"/>
          <w:szCs w:val="25"/>
          <w:lang w:eastAsia="ar-SA"/>
        </w:rPr>
        <w:t xml:space="preserve">The most significant outputs of economic forecasts based on the assumed scenarios </w:t>
      </w:r>
      <w:r w:rsidRPr="005E4A63">
        <w:rPr>
          <w:rFonts w:asciiTheme="majorBidi" w:eastAsia="Times New Roman" w:hAnsiTheme="majorBidi" w:cstheme="majorBidi"/>
          <w:b/>
          <w:bCs/>
          <w:sz w:val="25"/>
          <w:szCs w:val="25"/>
        </w:rPr>
        <w:t xml:space="preserve">in Palestine </w:t>
      </w:r>
      <w:r w:rsidRPr="005E4A63">
        <w:rPr>
          <w:rFonts w:asciiTheme="majorBidi" w:eastAsia="Times New Roman" w:hAnsiTheme="majorBidi" w:cstheme="majorBidi"/>
          <w:b/>
          <w:bCs/>
          <w:sz w:val="25"/>
          <w:szCs w:val="25"/>
          <w:lang w:eastAsia="ar-SA"/>
        </w:rPr>
        <w:t>for 2018*.</w:t>
      </w:r>
    </w:p>
    <w:p w:rsidR="005E4A63" w:rsidRPr="005E4A63" w:rsidRDefault="005E4A63" w:rsidP="005E4A63">
      <w:pPr>
        <w:autoSpaceDE w:val="0"/>
        <w:autoSpaceDN w:val="0"/>
        <w:adjustRightInd w:val="0"/>
        <w:spacing w:line="240" w:lineRule="auto"/>
        <w:ind w:left="-567"/>
        <w:jc w:val="lowKashida"/>
        <w:rPr>
          <w:rFonts w:asciiTheme="majorBidi" w:hAnsiTheme="majorBidi" w:cstheme="majorBidi"/>
        </w:rPr>
      </w:pPr>
    </w:p>
    <w:tbl>
      <w:tblPr>
        <w:tblStyle w:val="TableGrid"/>
        <w:tblW w:w="113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265"/>
        <w:gridCol w:w="1222"/>
        <w:gridCol w:w="1188"/>
        <w:gridCol w:w="1257"/>
        <w:gridCol w:w="1294"/>
        <w:gridCol w:w="1152"/>
      </w:tblGrid>
      <w:tr w:rsidR="005E4A63" w:rsidRPr="005E4A63" w:rsidTr="005E4A63">
        <w:trPr>
          <w:trHeight w:val="340"/>
          <w:jc w:val="center"/>
        </w:trPr>
        <w:tc>
          <w:tcPr>
            <w:tcW w:w="5265" w:type="dxa"/>
            <w:tcBorders>
              <w:bottom w:val="single" w:sz="12" w:space="0" w:color="auto"/>
            </w:tcBorders>
            <w:vAlign w:val="center"/>
          </w:tcPr>
          <w:p w:rsidR="005E4A63" w:rsidRPr="005E4A63" w:rsidRDefault="005E4A63" w:rsidP="000C7BAC">
            <w:pPr>
              <w:rPr>
                <w:rFonts w:asciiTheme="majorBidi" w:eastAsia="Times New Roman" w:hAnsiTheme="majorBidi" w:cstheme="majorBidi"/>
                <w:b/>
                <w:bCs/>
                <w:sz w:val="17"/>
                <w:szCs w:val="17"/>
              </w:rPr>
            </w:pPr>
            <w:r w:rsidRPr="005E4A63">
              <w:rPr>
                <w:rFonts w:asciiTheme="majorBidi" w:eastAsia="Times New Roman" w:hAnsiTheme="majorBidi" w:cstheme="majorBidi"/>
                <w:b/>
                <w:bCs/>
                <w:sz w:val="17"/>
                <w:szCs w:val="17"/>
              </w:rPr>
              <w:t>Main  Indicators</w:t>
            </w:r>
          </w:p>
        </w:tc>
        <w:tc>
          <w:tcPr>
            <w:tcW w:w="1222" w:type="dxa"/>
            <w:tcBorders>
              <w:bottom w:val="single" w:sz="12" w:space="0" w:color="auto"/>
            </w:tcBorders>
            <w:vAlign w:val="center"/>
          </w:tcPr>
          <w:p w:rsidR="005E4A63" w:rsidRPr="005E4A63" w:rsidRDefault="005E4A63" w:rsidP="000C7BAC">
            <w:pPr>
              <w:bidi/>
              <w:jc w:val="center"/>
              <w:rPr>
                <w:rFonts w:asciiTheme="majorBidi" w:eastAsia="Times New Roman" w:hAnsiTheme="majorBidi" w:cstheme="majorBidi"/>
                <w:b/>
                <w:bCs/>
                <w:sz w:val="17"/>
                <w:szCs w:val="17"/>
              </w:rPr>
            </w:pPr>
            <w:r w:rsidRPr="005E4A63">
              <w:rPr>
                <w:rFonts w:asciiTheme="majorBidi" w:eastAsia="Times New Roman" w:hAnsiTheme="majorBidi" w:cstheme="majorBidi"/>
                <w:b/>
                <w:bCs/>
                <w:sz w:val="17"/>
                <w:szCs w:val="17"/>
              </w:rPr>
              <w:t>2016</w:t>
            </w:r>
          </w:p>
        </w:tc>
        <w:tc>
          <w:tcPr>
            <w:tcW w:w="1188" w:type="dxa"/>
            <w:tcBorders>
              <w:bottom w:val="single" w:sz="12" w:space="0" w:color="auto"/>
            </w:tcBorders>
            <w:vAlign w:val="center"/>
          </w:tcPr>
          <w:p w:rsidR="005E4A63" w:rsidRPr="005E4A63" w:rsidRDefault="005E4A63" w:rsidP="000C7BAC">
            <w:pPr>
              <w:bidi/>
              <w:jc w:val="center"/>
              <w:rPr>
                <w:rFonts w:asciiTheme="majorBidi" w:eastAsia="Times New Roman" w:hAnsiTheme="majorBidi" w:cstheme="majorBidi"/>
                <w:b/>
                <w:bCs/>
                <w:sz w:val="17"/>
                <w:szCs w:val="17"/>
                <w:lang w:eastAsia="ar-SA"/>
              </w:rPr>
            </w:pPr>
            <w:r w:rsidRPr="005E4A63">
              <w:rPr>
                <w:rFonts w:asciiTheme="majorBidi" w:eastAsia="Times New Roman" w:hAnsiTheme="majorBidi" w:cstheme="majorBidi"/>
                <w:b/>
                <w:bCs/>
                <w:sz w:val="17"/>
                <w:szCs w:val="17"/>
                <w:lang w:eastAsia="ar-SA"/>
              </w:rPr>
              <w:t>Preliminary Estimates 2017</w:t>
            </w:r>
          </w:p>
        </w:tc>
        <w:tc>
          <w:tcPr>
            <w:tcW w:w="1257" w:type="dxa"/>
            <w:tcBorders>
              <w:bottom w:val="single" w:sz="12" w:space="0" w:color="auto"/>
            </w:tcBorders>
            <w:vAlign w:val="center"/>
          </w:tcPr>
          <w:p w:rsidR="005E4A63" w:rsidRPr="005E4A63" w:rsidRDefault="005E4A63" w:rsidP="000C7BAC">
            <w:pPr>
              <w:bidi/>
              <w:jc w:val="center"/>
              <w:rPr>
                <w:rFonts w:asciiTheme="majorBidi" w:eastAsia="Times New Roman" w:hAnsiTheme="majorBidi" w:cstheme="majorBidi"/>
                <w:b/>
                <w:bCs/>
                <w:sz w:val="17"/>
                <w:szCs w:val="17"/>
              </w:rPr>
            </w:pPr>
            <w:r w:rsidRPr="005E4A63">
              <w:rPr>
                <w:rFonts w:asciiTheme="majorBidi" w:eastAsia="Times New Roman" w:hAnsiTheme="majorBidi" w:cstheme="majorBidi"/>
                <w:b/>
                <w:bCs/>
                <w:sz w:val="17"/>
                <w:szCs w:val="17"/>
              </w:rPr>
              <w:t>Baseline Scenario</w:t>
            </w:r>
          </w:p>
          <w:p w:rsidR="005E4A63" w:rsidRPr="005E4A63" w:rsidRDefault="005E4A63" w:rsidP="000C7BAC">
            <w:pPr>
              <w:bidi/>
              <w:jc w:val="center"/>
              <w:rPr>
                <w:rFonts w:asciiTheme="majorBidi" w:eastAsia="Times New Roman" w:hAnsiTheme="majorBidi" w:cstheme="majorBidi"/>
                <w:b/>
                <w:bCs/>
                <w:sz w:val="17"/>
                <w:szCs w:val="17"/>
              </w:rPr>
            </w:pPr>
            <w:r w:rsidRPr="005E4A63">
              <w:rPr>
                <w:rFonts w:asciiTheme="majorBidi" w:eastAsia="Times New Roman" w:hAnsiTheme="majorBidi" w:cstheme="majorBidi"/>
                <w:b/>
                <w:bCs/>
                <w:sz w:val="17"/>
                <w:szCs w:val="17"/>
              </w:rPr>
              <w:t xml:space="preserve"> 2018</w:t>
            </w:r>
          </w:p>
        </w:tc>
        <w:tc>
          <w:tcPr>
            <w:tcW w:w="1294" w:type="dxa"/>
            <w:tcBorders>
              <w:bottom w:val="single" w:sz="12" w:space="0" w:color="auto"/>
            </w:tcBorders>
            <w:vAlign w:val="center"/>
          </w:tcPr>
          <w:p w:rsidR="005E4A63" w:rsidRPr="005E4A63" w:rsidRDefault="005E4A63" w:rsidP="000C7BAC">
            <w:pPr>
              <w:bidi/>
              <w:jc w:val="center"/>
              <w:rPr>
                <w:rFonts w:asciiTheme="majorBidi" w:eastAsia="Times New Roman" w:hAnsiTheme="majorBidi" w:cstheme="majorBidi"/>
                <w:b/>
                <w:bCs/>
                <w:sz w:val="17"/>
                <w:szCs w:val="17"/>
              </w:rPr>
            </w:pPr>
            <w:r w:rsidRPr="005E4A63">
              <w:rPr>
                <w:rFonts w:asciiTheme="majorBidi" w:eastAsia="Times New Roman" w:hAnsiTheme="majorBidi" w:cstheme="majorBidi"/>
                <w:b/>
                <w:bCs/>
                <w:sz w:val="17"/>
                <w:szCs w:val="17"/>
              </w:rPr>
              <w:t>Optimistic Scenario</w:t>
            </w:r>
          </w:p>
          <w:p w:rsidR="005E4A63" w:rsidRPr="005E4A63" w:rsidRDefault="005E4A63" w:rsidP="000C7BAC">
            <w:pPr>
              <w:bidi/>
              <w:jc w:val="center"/>
              <w:rPr>
                <w:rFonts w:asciiTheme="majorBidi" w:eastAsia="Times New Roman" w:hAnsiTheme="majorBidi" w:cstheme="majorBidi"/>
                <w:b/>
                <w:bCs/>
                <w:sz w:val="17"/>
                <w:szCs w:val="17"/>
              </w:rPr>
            </w:pPr>
            <w:r w:rsidRPr="005E4A63">
              <w:rPr>
                <w:rFonts w:asciiTheme="majorBidi" w:eastAsia="Times New Roman" w:hAnsiTheme="majorBidi" w:cstheme="majorBidi"/>
                <w:b/>
                <w:bCs/>
                <w:sz w:val="17"/>
                <w:szCs w:val="17"/>
              </w:rPr>
              <w:t xml:space="preserve"> 2018</w:t>
            </w:r>
          </w:p>
        </w:tc>
        <w:tc>
          <w:tcPr>
            <w:tcW w:w="1152" w:type="dxa"/>
            <w:tcBorders>
              <w:bottom w:val="single" w:sz="12" w:space="0" w:color="auto"/>
            </w:tcBorders>
            <w:vAlign w:val="center"/>
          </w:tcPr>
          <w:p w:rsidR="005E4A63" w:rsidRPr="005E4A63" w:rsidRDefault="005E4A63" w:rsidP="000C7BAC">
            <w:pPr>
              <w:bidi/>
              <w:jc w:val="center"/>
              <w:rPr>
                <w:rFonts w:asciiTheme="majorBidi" w:eastAsia="Times New Roman" w:hAnsiTheme="majorBidi" w:cstheme="majorBidi"/>
                <w:b/>
                <w:bCs/>
                <w:sz w:val="17"/>
                <w:szCs w:val="17"/>
              </w:rPr>
            </w:pPr>
            <w:r w:rsidRPr="005E4A63">
              <w:rPr>
                <w:rFonts w:asciiTheme="majorBidi" w:eastAsia="Times New Roman" w:hAnsiTheme="majorBidi" w:cstheme="majorBidi"/>
                <w:b/>
                <w:bCs/>
                <w:sz w:val="17"/>
                <w:szCs w:val="17"/>
              </w:rPr>
              <w:t>Pessimistic Scenario 2018</w:t>
            </w:r>
          </w:p>
        </w:tc>
      </w:tr>
      <w:tr w:rsidR="005E4A63" w:rsidRPr="005E4A63" w:rsidTr="005E4A63">
        <w:trPr>
          <w:trHeight w:val="473"/>
          <w:jc w:val="center"/>
        </w:trPr>
        <w:tc>
          <w:tcPr>
            <w:tcW w:w="11378" w:type="dxa"/>
            <w:gridSpan w:val="6"/>
            <w:tcBorders>
              <w:bottom w:val="single" w:sz="12" w:space="0" w:color="auto"/>
            </w:tcBorders>
            <w:shd w:val="clear" w:color="auto" w:fill="808080" w:themeFill="background1" w:themeFillShade="80"/>
            <w:vAlign w:val="center"/>
          </w:tcPr>
          <w:p w:rsidR="005E4A63" w:rsidRPr="005E4A63" w:rsidRDefault="005E4A63" w:rsidP="000C7BAC">
            <w:pPr>
              <w:jc w:val="center"/>
              <w:rPr>
                <w:rFonts w:asciiTheme="majorBidi" w:hAnsiTheme="majorBidi" w:cstheme="majorBidi"/>
                <w:b/>
                <w:bCs/>
                <w:sz w:val="18"/>
                <w:szCs w:val="18"/>
                <w:lang w:eastAsia="ar-SA"/>
              </w:rPr>
            </w:pPr>
            <w:r w:rsidRPr="005E4A63">
              <w:rPr>
                <w:rFonts w:asciiTheme="majorBidi" w:eastAsia="Times New Roman" w:hAnsiTheme="majorBidi" w:cstheme="majorBidi"/>
                <w:b/>
                <w:bCs/>
                <w:sz w:val="18"/>
                <w:szCs w:val="18"/>
              </w:rPr>
              <w:t xml:space="preserve">Value </w:t>
            </w:r>
          </w:p>
        </w:tc>
      </w:tr>
      <w:tr w:rsidR="005E4A63" w:rsidRPr="005E4A63" w:rsidTr="005E4A63">
        <w:trPr>
          <w:trHeight w:val="255"/>
          <w:jc w:val="center"/>
        </w:trPr>
        <w:tc>
          <w:tcPr>
            <w:tcW w:w="5265" w:type="dxa"/>
            <w:tcBorders>
              <w:top w:val="single" w:sz="12" w:space="0" w:color="auto"/>
              <w:left w:val="single" w:sz="12" w:space="0" w:color="auto"/>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Gross Domestic Product ( Million Dollars) </w:t>
            </w:r>
          </w:p>
        </w:tc>
        <w:tc>
          <w:tcPr>
            <w:tcW w:w="1222" w:type="dxa"/>
            <w:tcBorders>
              <w:top w:val="single" w:sz="12" w:space="0" w:color="auto"/>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13,269.7</w:t>
            </w:r>
          </w:p>
        </w:tc>
        <w:tc>
          <w:tcPr>
            <w:tcW w:w="1188"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13,698.7</w:t>
            </w:r>
          </w:p>
        </w:tc>
        <w:tc>
          <w:tcPr>
            <w:tcW w:w="1257"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14,060.6</w:t>
            </w:r>
          </w:p>
        </w:tc>
        <w:tc>
          <w:tcPr>
            <w:tcW w:w="1294"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14,653.7</w:t>
            </w:r>
          </w:p>
        </w:tc>
        <w:tc>
          <w:tcPr>
            <w:tcW w:w="1152" w:type="dxa"/>
            <w:tcBorders>
              <w:top w:val="single" w:sz="12" w:space="0" w:color="auto"/>
              <w:left w:val="nil"/>
              <w:bottom w:val="nil"/>
              <w:right w:val="single" w:sz="12" w:space="0" w:color="auto"/>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13,411.2</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hAnsiTheme="majorBidi" w:cstheme="majorBidi"/>
                <w:b/>
                <w:bCs/>
                <w:sz w:val="18"/>
                <w:szCs w:val="18"/>
              </w:rPr>
            </w:pPr>
            <w:r w:rsidRPr="005E4A63">
              <w:rPr>
                <w:rFonts w:asciiTheme="majorBidi" w:eastAsia="Times New Roman" w:hAnsiTheme="majorBidi" w:cstheme="majorBidi"/>
                <w:b/>
                <w:bCs/>
                <w:sz w:val="18"/>
                <w:szCs w:val="18"/>
              </w:rPr>
              <w:t>GDP per capita (Dollars)</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2,922.9</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2,924.6</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2,917.5</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3,040.6</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2,782.8</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hAnsiTheme="majorBidi" w:cstheme="majorBidi"/>
                <w:b/>
                <w:bCs/>
                <w:sz w:val="18"/>
                <w:szCs w:val="18"/>
              </w:rPr>
            </w:pPr>
            <w:r w:rsidRPr="005E4A63">
              <w:rPr>
                <w:rFonts w:asciiTheme="majorBidi" w:eastAsia="Times New Roman" w:hAnsiTheme="majorBidi" w:cstheme="majorBidi"/>
                <w:b/>
                <w:bCs/>
                <w:sz w:val="18"/>
                <w:szCs w:val="18"/>
              </w:rPr>
              <w:t>Gross National Income ( Million Dollars)</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14,963.9</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15,447.6</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15,935.5</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16,902.9</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15,037.5</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hAnsiTheme="majorBidi" w:cstheme="majorBidi"/>
                <w:b/>
                <w:bCs/>
                <w:sz w:val="18"/>
                <w:szCs w:val="18"/>
              </w:rPr>
            </w:pPr>
            <w:r w:rsidRPr="005E4A63">
              <w:rPr>
                <w:rFonts w:asciiTheme="majorBidi" w:eastAsia="Times New Roman" w:hAnsiTheme="majorBidi" w:cstheme="majorBidi"/>
                <w:b/>
                <w:bCs/>
                <w:sz w:val="18"/>
                <w:szCs w:val="18"/>
              </w:rPr>
              <w:t>Gross National Disposable Income ( Million Dollars)</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16,361.2</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16,839.8</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17,280.4</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18,785.8</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15,979.0</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hAnsiTheme="majorBidi" w:cstheme="majorBidi"/>
                <w:b/>
                <w:bCs/>
                <w:sz w:val="18"/>
                <w:szCs w:val="18"/>
              </w:rPr>
            </w:pPr>
            <w:r w:rsidRPr="005E4A63">
              <w:rPr>
                <w:rFonts w:asciiTheme="majorBidi" w:eastAsia="Times New Roman" w:hAnsiTheme="majorBidi" w:cstheme="majorBidi"/>
                <w:b/>
                <w:bCs/>
                <w:sz w:val="18"/>
                <w:szCs w:val="18"/>
              </w:rPr>
              <w:t>Real Average Daily Wage per employee (Dollars)</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21.6</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21.7</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22.1</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22.3</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21.9</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Unemployment Rate (%)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27.3</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28.5</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28.7</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26.0</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30.9</w:t>
            </w:r>
          </w:p>
        </w:tc>
      </w:tr>
      <w:tr w:rsidR="005E4A63" w:rsidRPr="005E4A63" w:rsidTr="005E4A63">
        <w:trPr>
          <w:trHeight w:val="454"/>
          <w:jc w:val="center"/>
        </w:trPr>
        <w:tc>
          <w:tcPr>
            <w:tcW w:w="11378" w:type="dxa"/>
            <w:gridSpan w:val="6"/>
            <w:tcBorders>
              <w:top w:val="single" w:sz="12" w:space="0" w:color="auto"/>
              <w:bottom w:val="single" w:sz="12" w:space="0" w:color="auto"/>
            </w:tcBorders>
            <w:shd w:val="clear" w:color="auto" w:fill="808080" w:themeFill="background1" w:themeFillShade="80"/>
            <w:vAlign w:val="center"/>
          </w:tcPr>
          <w:p w:rsidR="005E4A63" w:rsidRPr="005E4A63" w:rsidRDefault="005E4A63" w:rsidP="000C7BAC">
            <w:pPr>
              <w:jc w:val="center"/>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Percentage Change (%)</w:t>
            </w:r>
          </w:p>
        </w:tc>
      </w:tr>
      <w:tr w:rsidR="005E4A63" w:rsidRPr="005E4A63" w:rsidTr="005E4A63">
        <w:trPr>
          <w:trHeight w:val="255"/>
          <w:jc w:val="center"/>
        </w:trPr>
        <w:tc>
          <w:tcPr>
            <w:tcW w:w="5265" w:type="dxa"/>
            <w:tcBorders>
              <w:top w:val="single" w:sz="12" w:space="0" w:color="auto"/>
              <w:bottom w:val="nil"/>
              <w:right w:val="single" w:sz="12" w:space="0" w:color="auto"/>
            </w:tcBorders>
            <w:vAlign w:val="center"/>
          </w:tcPr>
          <w:p w:rsidR="005E4A63" w:rsidRPr="005E4A63" w:rsidRDefault="005E4A63" w:rsidP="000C7BAC">
            <w:pPr>
              <w:autoSpaceDE w:val="0"/>
              <w:autoSpaceDN w:val="0"/>
              <w:adjustRightInd w:val="0"/>
              <w:rPr>
                <w:rFonts w:asciiTheme="majorBidi" w:hAnsiTheme="majorBidi" w:cstheme="majorBidi"/>
                <w:b/>
                <w:bCs/>
                <w:sz w:val="18"/>
                <w:szCs w:val="18"/>
              </w:rPr>
            </w:pPr>
            <w:r w:rsidRPr="005E4A63">
              <w:rPr>
                <w:rFonts w:asciiTheme="majorBidi" w:eastAsia="Times New Roman" w:hAnsiTheme="majorBidi" w:cstheme="majorBidi"/>
                <w:b/>
                <w:bCs/>
                <w:sz w:val="18"/>
                <w:szCs w:val="18"/>
              </w:rPr>
              <w:t xml:space="preserve">Percentage Change in Gross Domestic Product </w:t>
            </w:r>
          </w:p>
        </w:tc>
        <w:tc>
          <w:tcPr>
            <w:tcW w:w="1222" w:type="dxa"/>
            <w:tcBorders>
              <w:top w:val="single" w:sz="12" w:space="0" w:color="auto"/>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4.7</w:t>
            </w:r>
          </w:p>
        </w:tc>
        <w:tc>
          <w:tcPr>
            <w:tcW w:w="1188"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3.2</w:t>
            </w:r>
          </w:p>
        </w:tc>
        <w:tc>
          <w:tcPr>
            <w:tcW w:w="1257"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2.6</w:t>
            </w:r>
          </w:p>
        </w:tc>
        <w:tc>
          <w:tcPr>
            <w:tcW w:w="1294"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7.0</w:t>
            </w:r>
          </w:p>
        </w:tc>
        <w:tc>
          <w:tcPr>
            <w:tcW w:w="1152" w:type="dxa"/>
            <w:tcBorders>
              <w:top w:val="single" w:sz="12" w:space="0" w:color="auto"/>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2.1-</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Percentage Change in Gross </w:t>
            </w:r>
            <w:r w:rsidRPr="005E4A63">
              <w:rPr>
                <w:rFonts w:asciiTheme="majorBidi" w:hAnsiTheme="majorBidi" w:cstheme="majorBidi"/>
                <w:b/>
                <w:bCs/>
                <w:sz w:val="18"/>
                <w:szCs w:val="18"/>
              </w:rPr>
              <w:t xml:space="preserve">Final Consumption Expenditure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2.9</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3.2</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2.5</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4.9</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0.1-</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Percentage Change in </w:t>
            </w:r>
            <w:r w:rsidRPr="005E4A63">
              <w:rPr>
                <w:rFonts w:asciiTheme="majorBidi" w:hAnsiTheme="majorBidi" w:cstheme="majorBidi"/>
                <w:b/>
                <w:bCs/>
                <w:sz w:val="18"/>
                <w:szCs w:val="18"/>
              </w:rPr>
              <w:t xml:space="preserve">Gross Capital Formation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4.8</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1.8</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6.8</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16.2</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14.9-</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jc w:val="lowKashida"/>
              <w:rPr>
                <w:rFonts w:asciiTheme="majorBidi" w:hAnsiTheme="majorBidi" w:cstheme="majorBidi"/>
                <w:b/>
                <w:bCs/>
                <w:sz w:val="18"/>
                <w:szCs w:val="18"/>
              </w:rPr>
            </w:pPr>
            <w:r w:rsidRPr="005E4A63">
              <w:rPr>
                <w:rFonts w:asciiTheme="majorBidi" w:eastAsia="Times New Roman" w:hAnsiTheme="majorBidi" w:cstheme="majorBidi"/>
                <w:b/>
                <w:bCs/>
                <w:sz w:val="18"/>
                <w:szCs w:val="18"/>
              </w:rPr>
              <w:t xml:space="preserve">Percentage Change in </w:t>
            </w:r>
            <w:r w:rsidRPr="005E4A63">
              <w:rPr>
                <w:rFonts w:asciiTheme="majorBidi" w:hAnsiTheme="majorBidi" w:cstheme="majorBidi"/>
                <w:b/>
                <w:bCs/>
                <w:sz w:val="18"/>
                <w:szCs w:val="18"/>
              </w:rPr>
              <w:t>Trade Balance (Deficit)</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0.6-</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2.2</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4.5</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5.8</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2.9-</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jc w:val="lowKashida"/>
              <w:rPr>
                <w:rFonts w:asciiTheme="majorBidi" w:hAnsiTheme="majorBidi" w:cstheme="majorBidi"/>
                <w:b/>
                <w:bCs/>
                <w:sz w:val="18"/>
                <w:szCs w:val="18"/>
              </w:rPr>
            </w:pPr>
            <w:r w:rsidRPr="005E4A63">
              <w:rPr>
                <w:rFonts w:asciiTheme="majorBidi" w:eastAsia="Times New Roman" w:hAnsiTheme="majorBidi" w:cstheme="majorBidi"/>
                <w:b/>
                <w:bCs/>
                <w:sz w:val="18"/>
                <w:szCs w:val="18"/>
              </w:rPr>
              <w:t xml:space="preserve">Percentage Change in </w:t>
            </w:r>
            <w:r w:rsidRPr="005E4A63">
              <w:rPr>
                <w:rFonts w:asciiTheme="majorBidi" w:hAnsiTheme="majorBidi" w:cstheme="majorBidi"/>
                <w:b/>
                <w:bCs/>
                <w:sz w:val="18"/>
                <w:szCs w:val="18"/>
              </w:rPr>
              <w:t xml:space="preserve">Gross Exports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1.9</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4.2</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5.6</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8.8</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3.0-</w:t>
            </w:r>
          </w:p>
        </w:tc>
      </w:tr>
      <w:tr w:rsidR="005E4A63" w:rsidRPr="005E4A63" w:rsidTr="005E4A63">
        <w:trPr>
          <w:trHeight w:val="255"/>
          <w:jc w:val="center"/>
        </w:trPr>
        <w:tc>
          <w:tcPr>
            <w:tcW w:w="5265" w:type="dxa"/>
            <w:tcBorders>
              <w:top w:val="nil"/>
              <w:bottom w:val="single" w:sz="12" w:space="0" w:color="auto"/>
              <w:right w:val="single" w:sz="12" w:space="0" w:color="auto"/>
            </w:tcBorders>
            <w:vAlign w:val="center"/>
          </w:tcPr>
          <w:p w:rsidR="005E4A63" w:rsidRPr="005E4A63" w:rsidRDefault="005E4A63" w:rsidP="000C7BAC">
            <w:pPr>
              <w:autoSpaceDE w:val="0"/>
              <w:autoSpaceDN w:val="0"/>
              <w:adjustRightInd w:val="0"/>
              <w:jc w:val="lowKashida"/>
              <w:rPr>
                <w:rFonts w:asciiTheme="majorBidi" w:hAnsiTheme="majorBidi" w:cstheme="majorBidi"/>
                <w:b/>
                <w:bCs/>
                <w:sz w:val="18"/>
                <w:szCs w:val="18"/>
              </w:rPr>
            </w:pPr>
            <w:r w:rsidRPr="005E4A63">
              <w:rPr>
                <w:rFonts w:asciiTheme="majorBidi" w:eastAsia="Times New Roman" w:hAnsiTheme="majorBidi" w:cstheme="majorBidi"/>
                <w:b/>
                <w:bCs/>
                <w:sz w:val="18"/>
                <w:szCs w:val="18"/>
              </w:rPr>
              <w:t xml:space="preserve">Percentage Change in </w:t>
            </w:r>
            <w:r w:rsidRPr="005E4A63">
              <w:rPr>
                <w:rFonts w:asciiTheme="majorBidi" w:hAnsiTheme="majorBidi" w:cstheme="majorBidi"/>
                <w:b/>
                <w:bCs/>
                <w:sz w:val="18"/>
                <w:szCs w:val="18"/>
              </w:rPr>
              <w:t xml:space="preserve">Gross Imports </w:t>
            </w:r>
          </w:p>
        </w:tc>
        <w:tc>
          <w:tcPr>
            <w:tcW w:w="1222" w:type="dxa"/>
            <w:tcBorders>
              <w:top w:val="nil"/>
              <w:left w:val="single" w:sz="12" w:space="0" w:color="auto"/>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0.2</w:t>
            </w:r>
          </w:p>
        </w:tc>
        <w:tc>
          <w:tcPr>
            <w:tcW w:w="1188" w:type="dxa"/>
            <w:tcBorders>
              <w:top w:val="nil"/>
              <w:left w:val="nil"/>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2.8</w:t>
            </w:r>
          </w:p>
        </w:tc>
        <w:tc>
          <w:tcPr>
            <w:tcW w:w="1257" w:type="dxa"/>
            <w:tcBorders>
              <w:top w:val="nil"/>
              <w:left w:val="nil"/>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4.8</w:t>
            </w:r>
          </w:p>
        </w:tc>
        <w:tc>
          <w:tcPr>
            <w:tcW w:w="1294" w:type="dxa"/>
            <w:tcBorders>
              <w:top w:val="nil"/>
              <w:left w:val="nil"/>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6.8</w:t>
            </w:r>
          </w:p>
        </w:tc>
        <w:tc>
          <w:tcPr>
            <w:tcW w:w="1152" w:type="dxa"/>
            <w:tcBorders>
              <w:top w:val="nil"/>
              <w:left w:val="nil"/>
              <w:bottom w:val="single" w:sz="12" w:space="0" w:color="auto"/>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2.9-</w:t>
            </w:r>
          </w:p>
        </w:tc>
      </w:tr>
      <w:tr w:rsidR="005E4A63" w:rsidRPr="005E4A63" w:rsidTr="005E4A63">
        <w:trPr>
          <w:trHeight w:val="454"/>
          <w:jc w:val="center"/>
        </w:trPr>
        <w:tc>
          <w:tcPr>
            <w:tcW w:w="11378" w:type="dxa"/>
            <w:gridSpan w:val="6"/>
            <w:tcBorders>
              <w:top w:val="single" w:sz="12" w:space="0" w:color="auto"/>
              <w:bottom w:val="single" w:sz="12" w:space="0" w:color="auto"/>
            </w:tcBorders>
            <w:shd w:val="clear" w:color="auto" w:fill="808080" w:themeFill="background1" w:themeFillShade="80"/>
            <w:vAlign w:val="center"/>
          </w:tcPr>
          <w:p w:rsidR="005E4A63" w:rsidRPr="005E4A63" w:rsidRDefault="005E4A63" w:rsidP="000C7BAC">
            <w:pPr>
              <w:ind w:left="207"/>
              <w:jc w:val="center"/>
              <w:rPr>
                <w:rFonts w:asciiTheme="majorBidi" w:hAnsiTheme="majorBidi" w:cstheme="majorBidi"/>
                <w:b/>
                <w:bCs/>
                <w:sz w:val="18"/>
                <w:szCs w:val="18"/>
              </w:rPr>
            </w:pPr>
            <w:r w:rsidRPr="005E4A63">
              <w:rPr>
                <w:rFonts w:asciiTheme="majorBidi" w:eastAsia="Times New Roman" w:hAnsiTheme="majorBidi" w:cstheme="majorBidi"/>
                <w:b/>
                <w:bCs/>
                <w:sz w:val="18"/>
                <w:szCs w:val="18"/>
              </w:rPr>
              <w:t>Percentage of GDP (%)</w:t>
            </w:r>
          </w:p>
        </w:tc>
      </w:tr>
      <w:tr w:rsidR="005E4A63" w:rsidRPr="005E4A63" w:rsidTr="005E4A63">
        <w:trPr>
          <w:trHeight w:val="255"/>
          <w:jc w:val="center"/>
        </w:trPr>
        <w:tc>
          <w:tcPr>
            <w:tcW w:w="5265" w:type="dxa"/>
            <w:tcBorders>
              <w:top w:val="single" w:sz="12" w:space="0" w:color="auto"/>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Percentage of </w:t>
            </w:r>
            <w:r w:rsidRPr="005E4A63">
              <w:rPr>
                <w:rFonts w:asciiTheme="majorBidi" w:hAnsiTheme="majorBidi" w:cstheme="majorBidi"/>
                <w:b/>
                <w:bCs/>
                <w:sz w:val="18"/>
                <w:szCs w:val="18"/>
              </w:rPr>
              <w:t xml:space="preserve">Final Consumption Expenditure </w:t>
            </w:r>
            <w:r w:rsidRPr="005E4A63">
              <w:rPr>
                <w:rFonts w:asciiTheme="majorBidi" w:eastAsia="Times New Roman" w:hAnsiTheme="majorBidi" w:cstheme="majorBidi"/>
                <w:b/>
                <w:bCs/>
                <w:sz w:val="18"/>
                <w:szCs w:val="18"/>
              </w:rPr>
              <w:t xml:space="preserve">of GDP </w:t>
            </w:r>
          </w:p>
        </w:tc>
        <w:tc>
          <w:tcPr>
            <w:tcW w:w="1222" w:type="dxa"/>
            <w:tcBorders>
              <w:top w:val="single" w:sz="12" w:space="0" w:color="auto"/>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117.8</w:t>
            </w:r>
          </w:p>
        </w:tc>
        <w:tc>
          <w:tcPr>
            <w:tcW w:w="1188"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117.7</w:t>
            </w:r>
          </w:p>
        </w:tc>
        <w:tc>
          <w:tcPr>
            <w:tcW w:w="1257"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117.6</w:t>
            </w:r>
          </w:p>
        </w:tc>
        <w:tc>
          <w:tcPr>
            <w:tcW w:w="1294" w:type="dxa"/>
            <w:tcBorders>
              <w:top w:val="single" w:sz="12" w:space="0" w:color="auto"/>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115.5</w:t>
            </w:r>
          </w:p>
        </w:tc>
        <w:tc>
          <w:tcPr>
            <w:tcW w:w="1152" w:type="dxa"/>
            <w:tcBorders>
              <w:top w:val="single" w:sz="12" w:space="0" w:color="auto"/>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120.1</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Percentage of </w:t>
            </w:r>
            <w:r w:rsidRPr="005E4A63">
              <w:rPr>
                <w:rFonts w:asciiTheme="majorBidi" w:hAnsiTheme="majorBidi" w:cstheme="majorBidi"/>
                <w:b/>
                <w:bCs/>
                <w:sz w:val="18"/>
                <w:szCs w:val="18"/>
              </w:rPr>
              <w:t xml:space="preserve">Gross Capital Formation </w:t>
            </w:r>
            <w:r w:rsidRPr="005E4A63">
              <w:rPr>
                <w:rFonts w:asciiTheme="majorBidi" w:eastAsia="Times New Roman" w:hAnsiTheme="majorBidi" w:cstheme="majorBidi"/>
                <w:b/>
                <w:bCs/>
                <w:sz w:val="18"/>
                <w:szCs w:val="18"/>
              </w:rPr>
              <w:t xml:space="preserve">of GDP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21.2</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20.9</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21.7</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22.7</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18.1</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Percentage of </w:t>
            </w:r>
            <w:r w:rsidRPr="005E4A63">
              <w:rPr>
                <w:rFonts w:asciiTheme="majorBidi" w:hAnsiTheme="majorBidi" w:cstheme="majorBidi"/>
                <w:b/>
                <w:bCs/>
                <w:sz w:val="18"/>
                <w:szCs w:val="18"/>
              </w:rPr>
              <w:t>Trade Balance (Deficit)</w:t>
            </w:r>
            <w:r w:rsidRPr="005E4A63">
              <w:rPr>
                <w:rFonts w:asciiTheme="majorBidi" w:eastAsia="Times New Roman" w:hAnsiTheme="majorBidi" w:cstheme="majorBidi"/>
                <w:b/>
                <w:bCs/>
                <w:sz w:val="18"/>
                <w:szCs w:val="18"/>
              </w:rPr>
              <w:t xml:space="preserve">of GDP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39.0-</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38.6-</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39.3-</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38.2-</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38.2-</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Percentage of </w:t>
            </w:r>
            <w:r w:rsidRPr="005E4A63">
              <w:rPr>
                <w:rFonts w:asciiTheme="majorBidi" w:hAnsiTheme="majorBidi" w:cstheme="majorBidi"/>
                <w:b/>
                <w:bCs/>
                <w:sz w:val="18"/>
                <w:szCs w:val="18"/>
              </w:rPr>
              <w:t xml:space="preserve">Gross Exports </w:t>
            </w:r>
            <w:r w:rsidRPr="005E4A63">
              <w:rPr>
                <w:rFonts w:asciiTheme="majorBidi" w:eastAsia="Times New Roman" w:hAnsiTheme="majorBidi" w:cstheme="majorBidi"/>
                <w:b/>
                <w:bCs/>
                <w:sz w:val="18"/>
                <w:szCs w:val="18"/>
              </w:rPr>
              <w:t xml:space="preserve">of GDP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18.0</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18.1</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18.7</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18.4</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18.0</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rPr>
                <w:rFonts w:asciiTheme="majorBidi" w:eastAsia="Times New Roman" w:hAnsiTheme="majorBidi" w:cstheme="majorBidi"/>
                <w:b/>
                <w:bCs/>
                <w:sz w:val="18"/>
                <w:szCs w:val="18"/>
              </w:rPr>
            </w:pPr>
            <w:r w:rsidRPr="005E4A63">
              <w:rPr>
                <w:rFonts w:asciiTheme="majorBidi" w:eastAsia="Times New Roman" w:hAnsiTheme="majorBidi" w:cstheme="majorBidi"/>
                <w:b/>
                <w:bCs/>
                <w:sz w:val="18"/>
                <w:szCs w:val="18"/>
              </w:rPr>
              <w:t xml:space="preserve">Percentage of </w:t>
            </w:r>
            <w:r w:rsidRPr="005E4A63">
              <w:rPr>
                <w:rFonts w:asciiTheme="majorBidi" w:hAnsiTheme="majorBidi" w:cstheme="majorBidi"/>
                <w:b/>
                <w:bCs/>
                <w:sz w:val="18"/>
                <w:szCs w:val="18"/>
              </w:rPr>
              <w:t xml:space="preserve">Gross Imports </w:t>
            </w:r>
            <w:r w:rsidRPr="005E4A63">
              <w:rPr>
                <w:rFonts w:asciiTheme="majorBidi" w:eastAsia="Times New Roman" w:hAnsiTheme="majorBidi" w:cstheme="majorBidi"/>
                <w:b/>
                <w:bCs/>
                <w:sz w:val="18"/>
                <w:szCs w:val="18"/>
              </w:rPr>
              <w:t xml:space="preserve">of GDP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57.0</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56.7</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58.0</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56.6</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56.2</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jc w:val="lowKashida"/>
              <w:rPr>
                <w:rFonts w:asciiTheme="majorBidi" w:hAnsiTheme="majorBidi" w:cstheme="majorBidi"/>
                <w:b/>
                <w:bCs/>
                <w:sz w:val="18"/>
                <w:szCs w:val="18"/>
              </w:rPr>
            </w:pPr>
            <w:r w:rsidRPr="005E4A63">
              <w:rPr>
                <w:rFonts w:asciiTheme="majorBidi" w:eastAsia="Times New Roman" w:hAnsiTheme="majorBidi" w:cstheme="majorBidi"/>
                <w:b/>
                <w:bCs/>
                <w:sz w:val="18"/>
                <w:szCs w:val="18"/>
              </w:rPr>
              <w:t xml:space="preserve">Agricultural Activity, Value added of GDP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3.1</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3.0</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3.1</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3.4</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2.0</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jc w:val="lowKashida"/>
              <w:rPr>
                <w:rFonts w:asciiTheme="majorBidi" w:hAnsiTheme="majorBidi" w:cstheme="majorBidi"/>
                <w:b/>
                <w:bCs/>
                <w:sz w:val="18"/>
                <w:szCs w:val="18"/>
              </w:rPr>
            </w:pPr>
            <w:r w:rsidRPr="005E4A63">
              <w:rPr>
                <w:rFonts w:asciiTheme="majorBidi" w:eastAsia="Times New Roman" w:hAnsiTheme="majorBidi" w:cstheme="majorBidi"/>
                <w:b/>
                <w:bCs/>
                <w:sz w:val="18"/>
                <w:szCs w:val="18"/>
              </w:rPr>
              <w:t>Industrial Activity, Value added of GDP</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11.1</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11.2</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11.3</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11.2</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11.2</w:t>
            </w:r>
          </w:p>
        </w:tc>
      </w:tr>
      <w:tr w:rsidR="005E4A63" w:rsidRPr="005E4A63" w:rsidTr="005E4A63">
        <w:trPr>
          <w:trHeight w:val="255"/>
          <w:jc w:val="center"/>
        </w:trPr>
        <w:tc>
          <w:tcPr>
            <w:tcW w:w="5265" w:type="dxa"/>
            <w:tcBorders>
              <w:top w:val="nil"/>
              <w:bottom w:val="nil"/>
              <w:right w:val="single" w:sz="12" w:space="0" w:color="auto"/>
            </w:tcBorders>
            <w:vAlign w:val="center"/>
          </w:tcPr>
          <w:p w:rsidR="005E4A63" w:rsidRPr="005E4A63" w:rsidRDefault="005E4A63" w:rsidP="000C7BAC">
            <w:pPr>
              <w:autoSpaceDE w:val="0"/>
              <w:autoSpaceDN w:val="0"/>
              <w:adjustRightInd w:val="0"/>
              <w:jc w:val="lowKashida"/>
              <w:rPr>
                <w:rFonts w:asciiTheme="majorBidi" w:hAnsiTheme="majorBidi" w:cstheme="majorBidi"/>
                <w:b/>
                <w:bCs/>
                <w:sz w:val="18"/>
                <w:szCs w:val="18"/>
              </w:rPr>
            </w:pPr>
            <w:r w:rsidRPr="005E4A63">
              <w:rPr>
                <w:rFonts w:asciiTheme="majorBidi" w:eastAsia="Times New Roman" w:hAnsiTheme="majorBidi" w:cstheme="majorBidi"/>
                <w:b/>
                <w:bCs/>
                <w:sz w:val="18"/>
                <w:szCs w:val="18"/>
              </w:rPr>
              <w:t xml:space="preserve">Construction Activity, Value added of GDP </w:t>
            </w:r>
          </w:p>
        </w:tc>
        <w:tc>
          <w:tcPr>
            <w:tcW w:w="1222" w:type="dxa"/>
            <w:tcBorders>
              <w:top w:val="nil"/>
              <w:left w:val="single" w:sz="12" w:space="0" w:color="auto"/>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6.3</w:t>
            </w:r>
          </w:p>
        </w:tc>
        <w:tc>
          <w:tcPr>
            <w:tcW w:w="1188"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6.4</w:t>
            </w:r>
          </w:p>
        </w:tc>
        <w:tc>
          <w:tcPr>
            <w:tcW w:w="1257"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6.3</w:t>
            </w:r>
          </w:p>
        </w:tc>
        <w:tc>
          <w:tcPr>
            <w:tcW w:w="1294" w:type="dxa"/>
            <w:tcBorders>
              <w:top w:val="nil"/>
              <w:left w:val="nil"/>
              <w:bottom w:val="nil"/>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6.8</w:t>
            </w:r>
          </w:p>
        </w:tc>
        <w:tc>
          <w:tcPr>
            <w:tcW w:w="1152" w:type="dxa"/>
            <w:tcBorders>
              <w:top w:val="nil"/>
              <w:left w:val="nil"/>
              <w:bottom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5.6</w:t>
            </w:r>
          </w:p>
        </w:tc>
      </w:tr>
      <w:tr w:rsidR="005E4A63" w:rsidRPr="005E4A63" w:rsidTr="005E4A63">
        <w:trPr>
          <w:trHeight w:val="255"/>
          <w:jc w:val="center"/>
        </w:trPr>
        <w:tc>
          <w:tcPr>
            <w:tcW w:w="5265" w:type="dxa"/>
            <w:tcBorders>
              <w:top w:val="nil"/>
              <w:bottom w:val="single" w:sz="12" w:space="0" w:color="auto"/>
              <w:right w:val="single" w:sz="12" w:space="0" w:color="auto"/>
            </w:tcBorders>
            <w:vAlign w:val="center"/>
          </w:tcPr>
          <w:p w:rsidR="005E4A63" w:rsidRPr="005E4A63" w:rsidRDefault="005E4A63" w:rsidP="000C7BAC">
            <w:pPr>
              <w:autoSpaceDE w:val="0"/>
              <w:autoSpaceDN w:val="0"/>
              <w:adjustRightInd w:val="0"/>
              <w:jc w:val="lowKashida"/>
              <w:rPr>
                <w:rFonts w:asciiTheme="majorBidi" w:hAnsiTheme="majorBidi" w:cstheme="majorBidi"/>
                <w:b/>
                <w:bCs/>
                <w:sz w:val="18"/>
                <w:szCs w:val="18"/>
              </w:rPr>
            </w:pPr>
            <w:r w:rsidRPr="005E4A63">
              <w:rPr>
                <w:rFonts w:asciiTheme="majorBidi" w:eastAsia="Times New Roman" w:hAnsiTheme="majorBidi" w:cstheme="majorBidi"/>
                <w:b/>
                <w:bCs/>
                <w:sz w:val="18"/>
                <w:szCs w:val="18"/>
              </w:rPr>
              <w:t xml:space="preserve">Services and Other items Activity, Value added of GDP </w:t>
            </w:r>
          </w:p>
        </w:tc>
        <w:tc>
          <w:tcPr>
            <w:tcW w:w="1222" w:type="dxa"/>
            <w:tcBorders>
              <w:top w:val="nil"/>
              <w:left w:val="single" w:sz="12" w:space="0" w:color="auto"/>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Pr>
              <w:t>63.1</w:t>
            </w:r>
          </w:p>
        </w:tc>
        <w:tc>
          <w:tcPr>
            <w:tcW w:w="1188" w:type="dxa"/>
            <w:tcBorders>
              <w:top w:val="nil"/>
              <w:left w:val="nil"/>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62.7</w:t>
            </w:r>
          </w:p>
        </w:tc>
        <w:tc>
          <w:tcPr>
            <w:tcW w:w="1257" w:type="dxa"/>
            <w:tcBorders>
              <w:top w:val="nil"/>
              <w:left w:val="nil"/>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62.2</w:t>
            </w:r>
          </w:p>
        </w:tc>
        <w:tc>
          <w:tcPr>
            <w:tcW w:w="1294" w:type="dxa"/>
            <w:tcBorders>
              <w:top w:val="nil"/>
              <w:left w:val="nil"/>
              <w:bottom w:val="single" w:sz="12" w:space="0" w:color="auto"/>
              <w:right w:val="nil"/>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60.7</w:t>
            </w:r>
          </w:p>
        </w:tc>
        <w:tc>
          <w:tcPr>
            <w:tcW w:w="1152" w:type="dxa"/>
            <w:tcBorders>
              <w:top w:val="nil"/>
              <w:left w:val="nil"/>
              <w:bottom w:val="single" w:sz="12" w:space="0" w:color="auto"/>
            </w:tcBorders>
            <w:vAlign w:val="center"/>
          </w:tcPr>
          <w:p w:rsidR="005E4A63" w:rsidRPr="005E4A63" w:rsidRDefault="005E4A63" w:rsidP="000C7BAC">
            <w:pPr>
              <w:ind w:left="207"/>
              <w:jc w:val="right"/>
              <w:rPr>
                <w:rFonts w:asciiTheme="majorBidi" w:hAnsiTheme="majorBidi" w:cstheme="majorBidi"/>
                <w:sz w:val="18"/>
                <w:szCs w:val="18"/>
              </w:rPr>
            </w:pPr>
            <w:r w:rsidRPr="005E4A63">
              <w:rPr>
                <w:rFonts w:asciiTheme="majorBidi" w:hAnsiTheme="majorBidi" w:cstheme="majorBidi"/>
                <w:sz w:val="18"/>
                <w:szCs w:val="18"/>
                <w:rtl/>
              </w:rPr>
              <w:t>61.8</w:t>
            </w:r>
          </w:p>
        </w:tc>
      </w:tr>
    </w:tbl>
    <w:p w:rsidR="005E4A63" w:rsidRPr="005E4A63" w:rsidRDefault="005E4A63" w:rsidP="005E4A63">
      <w:pPr>
        <w:autoSpaceDE w:val="0"/>
        <w:autoSpaceDN w:val="0"/>
        <w:adjustRightInd w:val="0"/>
        <w:spacing w:line="240" w:lineRule="auto"/>
        <w:ind w:left="-851" w:hanging="567"/>
        <w:jc w:val="lowKashida"/>
        <w:rPr>
          <w:rFonts w:asciiTheme="majorBidi" w:hAnsiTheme="majorBidi" w:cstheme="majorBidi"/>
          <w:sz w:val="12"/>
          <w:szCs w:val="12"/>
        </w:rPr>
      </w:pPr>
      <w:r w:rsidRPr="005E4A63">
        <w:rPr>
          <w:rFonts w:asciiTheme="majorBidi" w:hAnsiTheme="majorBidi" w:cstheme="majorBidi"/>
          <w:sz w:val="20"/>
          <w:szCs w:val="20"/>
        </w:rPr>
        <w:t xml:space="preserve">     </w:t>
      </w:r>
    </w:p>
    <w:p w:rsidR="005E4A63" w:rsidRDefault="005E4A63" w:rsidP="005E4A63">
      <w:pPr>
        <w:autoSpaceDE w:val="0"/>
        <w:autoSpaceDN w:val="0"/>
        <w:adjustRightInd w:val="0"/>
        <w:spacing w:line="240" w:lineRule="auto"/>
        <w:jc w:val="lowKashida"/>
        <w:rPr>
          <w:rFonts w:asciiTheme="majorBidi" w:hAnsiTheme="majorBidi" w:cstheme="majorBidi"/>
          <w:sz w:val="20"/>
          <w:szCs w:val="20"/>
        </w:rPr>
      </w:pPr>
      <w:r w:rsidRPr="005E4A63">
        <w:rPr>
          <w:rFonts w:asciiTheme="majorBidi" w:hAnsiTheme="majorBidi" w:cstheme="majorBidi"/>
          <w:sz w:val="20"/>
          <w:szCs w:val="20"/>
        </w:rPr>
        <w:t xml:space="preserve">    </w:t>
      </w:r>
    </w:p>
    <w:p w:rsidR="005E4A63" w:rsidRDefault="005E4A63" w:rsidP="005E4A63">
      <w:pPr>
        <w:autoSpaceDE w:val="0"/>
        <w:autoSpaceDN w:val="0"/>
        <w:adjustRightInd w:val="0"/>
        <w:spacing w:line="240" w:lineRule="auto"/>
        <w:jc w:val="lowKashida"/>
        <w:rPr>
          <w:rFonts w:asciiTheme="majorBidi" w:hAnsiTheme="majorBidi" w:cstheme="majorBidi"/>
          <w:sz w:val="20"/>
          <w:szCs w:val="20"/>
        </w:rPr>
      </w:pPr>
    </w:p>
    <w:p w:rsidR="005E4A63" w:rsidRPr="005E4A63" w:rsidRDefault="005E4A63" w:rsidP="005E4A63">
      <w:pPr>
        <w:autoSpaceDE w:val="0"/>
        <w:autoSpaceDN w:val="0"/>
        <w:adjustRightInd w:val="0"/>
        <w:spacing w:line="240" w:lineRule="auto"/>
        <w:jc w:val="lowKashida"/>
        <w:rPr>
          <w:rFonts w:asciiTheme="majorBidi" w:hAnsiTheme="majorBidi" w:cstheme="majorBidi"/>
          <w:sz w:val="20"/>
          <w:szCs w:val="20"/>
        </w:rPr>
      </w:pPr>
      <w:r w:rsidRPr="005E4A63">
        <w:rPr>
          <w:rFonts w:asciiTheme="majorBidi" w:hAnsiTheme="majorBidi" w:cstheme="majorBidi"/>
          <w:sz w:val="20"/>
          <w:szCs w:val="20"/>
        </w:rPr>
        <w:t xml:space="preserve">  Data at constant prices with 2015 as the base year.</w:t>
      </w:r>
    </w:p>
    <w:p w:rsidR="005E4A63" w:rsidRPr="005E4A63" w:rsidRDefault="005E4A63" w:rsidP="005E4A63">
      <w:pPr>
        <w:autoSpaceDE w:val="0"/>
        <w:autoSpaceDN w:val="0"/>
        <w:adjustRightInd w:val="0"/>
        <w:spacing w:line="240" w:lineRule="auto"/>
        <w:jc w:val="lowKashida"/>
        <w:rPr>
          <w:rFonts w:asciiTheme="majorBidi" w:hAnsiTheme="majorBidi" w:cstheme="majorBidi"/>
          <w:b/>
          <w:bCs/>
          <w:sz w:val="20"/>
          <w:szCs w:val="20"/>
        </w:rPr>
      </w:pPr>
      <w:r w:rsidRPr="005E4A63">
        <w:rPr>
          <w:rFonts w:asciiTheme="majorBidi" w:hAnsiTheme="majorBidi" w:cstheme="majorBidi"/>
          <w:b/>
          <w:bCs/>
          <w:sz w:val="20"/>
          <w:szCs w:val="20"/>
        </w:rPr>
        <w:t xml:space="preserve">      Note:</w:t>
      </w:r>
    </w:p>
    <w:p w:rsidR="005E4A63" w:rsidRPr="005E4A63" w:rsidRDefault="005E4A63" w:rsidP="005E4A63">
      <w:pPr>
        <w:pStyle w:val="ListParagraph"/>
        <w:numPr>
          <w:ilvl w:val="0"/>
          <w:numId w:val="3"/>
        </w:numPr>
        <w:autoSpaceDE w:val="0"/>
        <w:autoSpaceDN w:val="0"/>
        <w:adjustRightInd w:val="0"/>
        <w:spacing w:after="0" w:line="240" w:lineRule="auto"/>
        <w:ind w:left="0" w:firstLine="0"/>
        <w:jc w:val="lowKashida"/>
        <w:rPr>
          <w:rFonts w:asciiTheme="majorBidi" w:hAnsiTheme="majorBidi" w:cstheme="majorBidi"/>
          <w:sz w:val="20"/>
          <w:szCs w:val="20"/>
        </w:rPr>
      </w:pPr>
      <w:r w:rsidRPr="005E4A63">
        <w:rPr>
          <w:rFonts w:asciiTheme="majorBidi" w:hAnsiTheme="majorBidi" w:cstheme="majorBidi"/>
          <w:sz w:val="20"/>
          <w:szCs w:val="20"/>
        </w:rPr>
        <w:t>The final consumption expenditure includes net errors and omissions.</w:t>
      </w:r>
    </w:p>
    <w:p w:rsidR="005E4A63" w:rsidRPr="005E4A63" w:rsidRDefault="005E4A63" w:rsidP="005E4A63">
      <w:pPr>
        <w:pStyle w:val="ListParagraph"/>
        <w:numPr>
          <w:ilvl w:val="0"/>
          <w:numId w:val="3"/>
        </w:numPr>
        <w:autoSpaceDE w:val="0"/>
        <w:autoSpaceDN w:val="0"/>
        <w:adjustRightInd w:val="0"/>
        <w:spacing w:after="0" w:line="240" w:lineRule="auto"/>
        <w:ind w:left="0" w:right="-1135" w:firstLine="0"/>
        <w:jc w:val="lowKashida"/>
        <w:rPr>
          <w:rFonts w:asciiTheme="majorBidi" w:hAnsiTheme="majorBidi" w:cstheme="majorBidi"/>
          <w:sz w:val="20"/>
          <w:szCs w:val="20"/>
        </w:rPr>
      </w:pPr>
      <w:r w:rsidRPr="005E4A63">
        <w:rPr>
          <w:rFonts w:asciiTheme="majorBidi" w:hAnsiTheme="majorBidi" w:cstheme="majorBidi"/>
          <w:sz w:val="20"/>
          <w:szCs w:val="20"/>
        </w:rPr>
        <w:t xml:space="preserve"> Services and Other Items (includes services, in addition to electricity and Water supply, wholesale and retail trade, transportation and storage, financial and insurance, information and communications, public administration and defense, and households services, and FISIM).</w:t>
      </w:r>
    </w:p>
    <w:p w:rsidR="005E4A63" w:rsidRPr="005E4A63" w:rsidRDefault="005E4A63" w:rsidP="005E4A63">
      <w:pPr>
        <w:spacing w:line="240" w:lineRule="auto"/>
        <w:jc w:val="lowKashida"/>
        <w:rPr>
          <w:rFonts w:asciiTheme="majorBidi" w:eastAsia="Times New Roman" w:hAnsiTheme="majorBidi" w:cstheme="majorBidi"/>
          <w:sz w:val="24"/>
          <w:szCs w:val="24"/>
          <w:lang w:eastAsia="ar-SA"/>
        </w:rPr>
      </w:pPr>
    </w:p>
    <w:p w:rsidR="005E4A63" w:rsidRPr="005E4A63" w:rsidRDefault="005E4A63" w:rsidP="005E4A63">
      <w:pPr>
        <w:spacing w:line="240" w:lineRule="auto"/>
        <w:jc w:val="lowKashida"/>
        <w:rPr>
          <w:rFonts w:asciiTheme="majorBidi" w:eastAsia="Times New Roman" w:hAnsiTheme="majorBidi" w:cstheme="majorBidi"/>
          <w:sz w:val="24"/>
          <w:szCs w:val="24"/>
          <w:lang w:eastAsia="ar-SA"/>
        </w:rPr>
      </w:pPr>
    </w:p>
    <w:p w:rsidR="005E4A63" w:rsidRPr="005E4A63" w:rsidRDefault="005E4A63" w:rsidP="005E4A63">
      <w:pPr>
        <w:spacing w:line="240" w:lineRule="auto"/>
        <w:jc w:val="lowKashida"/>
        <w:rPr>
          <w:rFonts w:asciiTheme="majorBidi" w:eastAsia="Times New Roman" w:hAnsiTheme="majorBidi" w:cstheme="majorBidi"/>
          <w:sz w:val="24"/>
          <w:szCs w:val="24"/>
          <w:lang w:eastAsia="ar-SA"/>
        </w:rPr>
      </w:pPr>
    </w:p>
    <w:p w:rsidR="005E4A63" w:rsidRPr="005E4A63" w:rsidRDefault="005E4A63" w:rsidP="005E4A63">
      <w:pPr>
        <w:spacing w:line="240" w:lineRule="auto"/>
        <w:jc w:val="lowKashida"/>
        <w:rPr>
          <w:rFonts w:asciiTheme="majorBidi" w:eastAsia="Times New Roman" w:hAnsiTheme="majorBidi" w:cstheme="majorBidi"/>
          <w:sz w:val="24"/>
          <w:szCs w:val="24"/>
          <w:lang w:eastAsia="ar-SA"/>
        </w:rPr>
      </w:pPr>
    </w:p>
    <w:p w:rsidR="005E4A63" w:rsidRPr="005E4A63" w:rsidRDefault="005E4A63" w:rsidP="005E4A63">
      <w:pPr>
        <w:spacing w:line="240" w:lineRule="auto"/>
        <w:jc w:val="lowKashida"/>
        <w:rPr>
          <w:rFonts w:asciiTheme="majorBidi" w:eastAsia="Times New Roman" w:hAnsiTheme="majorBidi" w:cstheme="majorBidi"/>
          <w:sz w:val="24"/>
          <w:szCs w:val="24"/>
          <w:lang w:eastAsia="ar-SA"/>
        </w:rPr>
      </w:pPr>
    </w:p>
    <w:p w:rsidR="005E4A63" w:rsidRPr="005E4A63" w:rsidRDefault="005E4A63" w:rsidP="005E4A63">
      <w:pPr>
        <w:autoSpaceDE w:val="0"/>
        <w:autoSpaceDN w:val="0"/>
        <w:adjustRightInd w:val="0"/>
        <w:spacing w:line="240" w:lineRule="auto"/>
        <w:jc w:val="lowKashida"/>
        <w:rPr>
          <w:rFonts w:asciiTheme="majorBidi" w:hAnsiTheme="majorBidi" w:cstheme="majorBidi"/>
        </w:rPr>
      </w:pPr>
    </w:p>
    <w:p w:rsidR="00A70B03" w:rsidRPr="005E4A63" w:rsidRDefault="005E4A63" w:rsidP="001B292F">
      <w:pPr>
        <w:rPr>
          <w:rFonts w:asciiTheme="majorBidi" w:hAnsiTheme="majorBidi" w:cstheme="majorBidi"/>
        </w:rPr>
      </w:pPr>
      <w:r w:rsidRPr="005E4A63">
        <w:rPr>
          <w:rFonts w:asciiTheme="majorBidi" w:hAnsiTheme="majorBidi" w:cstheme="majorBidi"/>
        </w:rPr>
        <w:t xml:space="preserve"> </w:t>
      </w:r>
    </w:p>
    <w:sectPr w:rsidR="00A70B03" w:rsidRPr="005E4A63" w:rsidSect="005E4A63">
      <w:headerReference w:type="default" r:id="rId7"/>
      <w:footerReference w:type="even" r:id="rId8"/>
      <w:footerReference w:type="default" r:id="rId9"/>
      <w:pgSz w:w="11900" w:h="16840" w:code="9"/>
      <w:pgMar w:top="1388" w:right="720" w:bottom="720" w:left="709" w:header="709" w:footer="737" w:gutter="0"/>
      <w:cols w:space="79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AA1" w:rsidRDefault="00382AA1" w:rsidP="0089530C">
      <w:r>
        <w:separator/>
      </w:r>
    </w:p>
  </w:endnote>
  <w:endnote w:type="continuationSeparator" w:id="0">
    <w:p w:rsidR="00382AA1" w:rsidRDefault="00382AA1" w:rsidP="008953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Arabic-Regular">
    <w:charset w:val="00"/>
    <w:family w:val="auto"/>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5C" w:rsidRDefault="00E76C53" w:rsidP="003B4A35">
    <w:pPr>
      <w:pStyle w:val="Footer"/>
      <w:framePr w:wrap="none" w:vAnchor="text" w:hAnchor="margin" w:xAlign="center" w:y="1"/>
      <w:rPr>
        <w:rStyle w:val="PageNumber"/>
      </w:rPr>
    </w:pPr>
    <w:r>
      <w:rPr>
        <w:rStyle w:val="PageNumber"/>
      </w:rPr>
      <w:fldChar w:fldCharType="begin"/>
    </w:r>
    <w:r w:rsidR="0020755C">
      <w:rPr>
        <w:rStyle w:val="PageNumber"/>
      </w:rPr>
      <w:instrText xml:space="preserve">PAGE  </w:instrText>
    </w:r>
    <w:r>
      <w:rPr>
        <w:rStyle w:val="PageNumber"/>
      </w:rPr>
      <w:fldChar w:fldCharType="end"/>
    </w:r>
  </w:p>
  <w:p w:rsidR="0020755C" w:rsidRDefault="00E76C53" w:rsidP="003B4A35">
    <w:pPr>
      <w:pStyle w:val="Footer"/>
      <w:framePr w:wrap="none" w:vAnchor="text" w:hAnchor="margin" w:y="1"/>
      <w:rPr>
        <w:rStyle w:val="PageNumber"/>
      </w:rPr>
    </w:pPr>
    <w:r>
      <w:rPr>
        <w:rStyle w:val="PageNumber"/>
      </w:rPr>
      <w:fldChar w:fldCharType="begin"/>
    </w:r>
    <w:r w:rsidR="0020755C">
      <w:rPr>
        <w:rStyle w:val="PageNumber"/>
      </w:rPr>
      <w:instrText xml:space="preserve">PAGE  </w:instrText>
    </w:r>
    <w:r>
      <w:rPr>
        <w:rStyle w:val="PageNumber"/>
      </w:rPr>
      <w:fldChar w:fldCharType="end"/>
    </w:r>
  </w:p>
  <w:p w:rsidR="0020755C" w:rsidRDefault="0020755C"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5C" w:rsidRDefault="00E76C53" w:rsidP="0020755C">
    <w:pPr>
      <w:pStyle w:val="Footer"/>
      <w:framePr w:wrap="none" w:vAnchor="text" w:hAnchor="page" w:x="5902" w:y="391"/>
      <w:rPr>
        <w:rStyle w:val="PageNumber"/>
      </w:rPr>
    </w:pPr>
    <w:r>
      <w:rPr>
        <w:rStyle w:val="PageNumber"/>
      </w:rPr>
      <w:fldChar w:fldCharType="begin"/>
    </w:r>
    <w:r w:rsidR="0020755C">
      <w:rPr>
        <w:rStyle w:val="PageNumber"/>
      </w:rPr>
      <w:instrText xml:space="preserve">PAGE  </w:instrText>
    </w:r>
    <w:r>
      <w:rPr>
        <w:rStyle w:val="PageNumber"/>
      </w:rPr>
      <w:fldChar w:fldCharType="separate"/>
    </w:r>
    <w:r w:rsidR="005E4A63">
      <w:rPr>
        <w:rStyle w:val="PageNumber"/>
        <w:noProof/>
      </w:rPr>
      <w:t>1</w:t>
    </w:r>
    <w:r>
      <w:rPr>
        <w:rStyle w:val="PageNumber"/>
      </w:rPr>
      <w:fldChar w:fldCharType="end"/>
    </w:r>
  </w:p>
  <w:p w:rsidR="00E76D45" w:rsidRDefault="00E76C53" w:rsidP="0020755C">
    <w:pPr>
      <w:pStyle w:val="Footer"/>
      <w:ind w:firstLine="360"/>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385.45pt;margin-top:-28.05pt;width:147.35pt;height:22.0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" filled="f" stroked="f">
          <v:textbox>
            <w:txbxContent>
              <w:p w:rsidR="0020755C" w:rsidRDefault="0020755C">
                <w:r>
                  <w:t>Date:</w:t>
                </w:r>
              </w:p>
            </w:txbxContent>
          </v:textbox>
        </v:shape>
      </w:pict>
    </w:r>
    <w:r w:rsidR="001B292F">
      <w:rPr>
        <w:noProof/>
      </w:rPr>
      <w:drawing>
        <wp:anchor distT="0" distB="0" distL="114300" distR="114300" simplePos="0" relativeHeight="251664384" behindDoc="1" locked="0" layoutInCell="1" allowOverlap="1">
          <wp:simplePos x="0" y="0"/>
          <wp:positionH relativeFrom="column">
            <wp:posOffset>-729615</wp:posOffset>
          </wp:positionH>
          <wp:positionV relativeFrom="paragraph">
            <wp:posOffset>-571500</wp:posOffset>
          </wp:positionV>
          <wp:extent cx="7572375" cy="107632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 footer.pdf"/>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72375" cy="10763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AA1" w:rsidRDefault="00382AA1" w:rsidP="0089530C">
      <w:r>
        <w:separator/>
      </w:r>
    </w:p>
  </w:footnote>
  <w:footnote w:type="continuationSeparator" w:id="0">
    <w:p w:rsidR="00382AA1" w:rsidRDefault="00382AA1" w:rsidP="0089530C">
      <w:r>
        <w:continuationSeparator/>
      </w:r>
    </w:p>
  </w:footnote>
  <w:footnote w:id="1">
    <w:p w:rsidR="005E4A63" w:rsidRPr="00BE66AF" w:rsidRDefault="005E4A63" w:rsidP="005E4A63">
      <w:pPr>
        <w:rPr>
          <w:rFonts w:ascii="Times New Roman" w:hAnsi="Times New Roman" w:cs="Times New Roman"/>
          <w:snapToGrid w:val="0"/>
          <w:lang w:bidi="ar-JO"/>
        </w:rPr>
      </w:pPr>
      <w:r w:rsidRPr="00BE66AF">
        <w:rPr>
          <w:rFonts w:ascii="Times New Roman" w:hAnsi="Times New Roman" w:cs="Times New Roman"/>
          <w:snapToGrid w:val="0"/>
          <w:lang w:bidi="ar-JO"/>
        </w:rPr>
        <w:footnoteRef/>
      </w:r>
      <w:r w:rsidRPr="00BE66AF">
        <w:rPr>
          <w:rFonts w:ascii="Times New Roman" w:hAnsi="Times New Roman" w:cs="Times New Roman"/>
          <w:snapToGrid w:val="0"/>
          <w:lang w:bidi="ar-JO"/>
        </w:rPr>
        <w:t xml:space="preserve"> Data at constant prices with </w:t>
      </w:r>
      <w:r>
        <w:rPr>
          <w:rFonts w:ascii="Times New Roman" w:hAnsi="Times New Roman" w:cs="Times New Roman"/>
          <w:snapToGrid w:val="0"/>
          <w:lang w:bidi="ar-JO"/>
        </w:rPr>
        <w:t>2015</w:t>
      </w:r>
      <w:r w:rsidRPr="00BE66AF">
        <w:rPr>
          <w:rFonts w:ascii="Times New Roman" w:hAnsi="Times New Roman" w:cs="Times New Roman"/>
          <w:snapToGrid w:val="0"/>
          <w:lang w:bidi="ar-JO"/>
        </w:rPr>
        <w:t xml:space="preserve"> as the base year.  D</w:t>
      </w:r>
      <w:r w:rsidRPr="00BE66AF">
        <w:rPr>
          <w:rFonts w:asciiTheme="majorBidi" w:hAnsiTheme="majorBidi" w:cstheme="majorBidi"/>
        </w:rPr>
        <w:t xml:space="preserve">ata excludes </w:t>
      </w:r>
      <w:r>
        <w:rPr>
          <w:rFonts w:asciiTheme="majorBidi" w:hAnsiTheme="majorBidi" w:cstheme="majorBidi"/>
        </w:rPr>
        <w:t>that part of Jerusalem Governorate</w:t>
      </w:r>
      <w:r w:rsidRPr="00BE66AF">
        <w:rPr>
          <w:rFonts w:asciiTheme="majorBidi" w:hAnsiTheme="majorBidi" w:cstheme="majorBidi"/>
        </w:rPr>
        <w:t xml:space="preserve"> which </w:t>
      </w:r>
      <w:r>
        <w:rPr>
          <w:rFonts w:asciiTheme="majorBidi" w:hAnsiTheme="majorBidi" w:cstheme="majorBidi"/>
        </w:rPr>
        <w:t>was</w:t>
      </w:r>
      <w:r w:rsidRPr="00BE66AF">
        <w:rPr>
          <w:rFonts w:asciiTheme="majorBidi" w:hAnsiTheme="majorBidi" w:cstheme="majorBidi"/>
        </w:rPr>
        <w:t xml:space="preserve"> annexed</w:t>
      </w:r>
      <w:r>
        <w:rPr>
          <w:rFonts w:asciiTheme="majorBidi" w:hAnsiTheme="majorBidi" w:cstheme="majorBidi"/>
        </w:rPr>
        <w:t xml:space="preserve"> forcefully</w:t>
      </w:r>
      <w:r w:rsidRPr="00BE66AF">
        <w:rPr>
          <w:rFonts w:asciiTheme="majorBidi" w:hAnsiTheme="majorBidi" w:cstheme="majorBidi"/>
        </w:rPr>
        <w:t xml:space="preserve"> by Israel </w:t>
      </w:r>
      <w:r>
        <w:rPr>
          <w:rFonts w:asciiTheme="majorBidi" w:hAnsiTheme="majorBidi" w:cstheme="majorBidi"/>
        </w:rPr>
        <w:t xml:space="preserve">following its occupation of the West Bank </w:t>
      </w:r>
      <w:r w:rsidRPr="00BE66AF">
        <w:rPr>
          <w:rFonts w:asciiTheme="majorBidi" w:hAnsiTheme="majorBidi" w:cstheme="majorBidi"/>
        </w:rPr>
        <w:t xml:space="preserve">in 1967.  Data for </w:t>
      </w:r>
      <w:r>
        <w:rPr>
          <w:rFonts w:asciiTheme="majorBidi" w:hAnsiTheme="majorBidi" w:cstheme="majorBidi"/>
        </w:rPr>
        <w:t>2017</w:t>
      </w:r>
      <w:r w:rsidRPr="00BE66AF">
        <w:rPr>
          <w:rFonts w:asciiTheme="majorBidi" w:hAnsiTheme="majorBidi" w:cstheme="majorBidi"/>
        </w:rPr>
        <w:t xml:space="preserve"> were based on preliminary estimates and may be revised</w:t>
      </w:r>
      <w:proofErr w:type="spellStart"/>
      <w:r w:rsidRPr="00BE66AF">
        <w:rPr>
          <w:rFonts w:ascii="Times New Roman" w:hAnsi="Times New Roman" w:cs="Times New Roman"/>
          <w:snapToGrid w:val="0"/>
          <w:rtl/>
          <w:lang w:bidi="ar-JO"/>
        </w:rPr>
        <w:t>.</w:t>
      </w:r>
      <w:proofErr w:type="spellEnd"/>
    </w:p>
  </w:footnote>
  <w:footnote w:id="2">
    <w:p w:rsidR="005E4A63" w:rsidRPr="00024313" w:rsidRDefault="005E4A63" w:rsidP="005E4A63">
      <w:pPr>
        <w:pStyle w:val="FootnoteText"/>
        <w:rPr>
          <w:rFonts w:asciiTheme="majorBidi" w:hAnsiTheme="majorBidi" w:cstheme="majorBidi"/>
        </w:rPr>
      </w:pPr>
      <w:r w:rsidRPr="00024313">
        <w:rPr>
          <w:rStyle w:val="FootnoteReference"/>
          <w:rFonts w:asciiTheme="majorBidi" w:hAnsiTheme="majorBidi" w:cstheme="majorBidi"/>
        </w:rPr>
        <w:footnoteRef/>
      </w:r>
      <w:r>
        <w:rPr>
          <w:rFonts w:asciiTheme="majorBidi" w:hAnsiTheme="majorBidi" w:cstheme="majorBidi"/>
        </w:rPr>
        <w:t xml:space="preserve"> </w:t>
      </w:r>
      <w:r w:rsidRPr="00BE66AF">
        <w:rPr>
          <w:rFonts w:ascii="Times New Roman" w:hAnsi="Times New Roman" w:cs="Times New Roman"/>
          <w:snapToGrid w:val="0"/>
          <w:lang w:bidi="ar-JO"/>
        </w:rPr>
        <w:t>D</w:t>
      </w:r>
      <w:r w:rsidRPr="00BE66AF">
        <w:rPr>
          <w:rFonts w:asciiTheme="majorBidi" w:hAnsiTheme="majorBidi" w:cstheme="majorBidi"/>
        </w:rPr>
        <w:t xml:space="preserve">ata </w:t>
      </w:r>
      <w:r w:rsidRPr="00024313">
        <w:rPr>
          <w:rFonts w:asciiTheme="majorBidi" w:hAnsiTheme="majorBidi" w:cstheme="majorBidi"/>
        </w:rPr>
        <w:t xml:space="preserve">includes </w:t>
      </w:r>
      <w:r>
        <w:rPr>
          <w:rFonts w:asciiTheme="majorBidi" w:hAnsiTheme="majorBidi" w:cstheme="majorBidi"/>
        </w:rPr>
        <w:t>that part of Jerusalem Governorate</w:t>
      </w:r>
      <w:r w:rsidRPr="00BE66AF">
        <w:rPr>
          <w:rFonts w:asciiTheme="majorBidi" w:hAnsiTheme="majorBidi" w:cstheme="majorBidi"/>
        </w:rPr>
        <w:t xml:space="preserve"> which </w:t>
      </w:r>
      <w:r>
        <w:rPr>
          <w:rFonts w:asciiTheme="majorBidi" w:hAnsiTheme="majorBidi" w:cstheme="majorBidi"/>
        </w:rPr>
        <w:t>was</w:t>
      </w:r>
      <w:r w:rsidRPr="00BE66AF">
        <w:rPr>
          <w:rFonts w:asciiTheme="majorBidi" w:hAnsiTheme="majorBidi" w:cstheme="majorBidi"/>
        </w:rPr>
        <w:t xml:space="preserve"> annexed</w:t>
      </w:r>
      <w:r>
        <w:rPr>
          <w:rFonts w:asciiTheme="majorBidi" w:hAnsiTheme="majorBidi" w:cstheme="majorBidi"/>
        </w:rPr>
        <w:t xml:space="preserve"> forcefully</w:t>
      </w:r>
      <w:r w:rsidRPr="00BE66AF">
        <w:rPr>
          <w:rFonts w:asciiTheme="majorBidi" w:hAnsiTheme="majorBidi" w:cstheme="majorBidi"/>
        </w:rPr>
        <w:t xml:space="preserve"> by Israel </w:t>
      </w:r>
      <w:r>
        <w:rPr>
          <w:rFonts w:asciiTheme="majorBidi" w:hAnsiTheme="majorBidi" w:cstheme="majorBidi"/>
        </w:rPr>
        <w:t xml:space="preserve">following its occupation of the West Bank </w:t>
      </w:r>
      <w:r w:rsidRPr="00BE66AF">
        <w:rPr>
          <w:rFonts w:asciiTheme="majorBidi" w:hAnsiTheme="majorBidi" w:cstheme="majorBidi"/>
        </w:rPr>
        <w:t>in 1967</w:t>
      </w:r>
    </w:p>
  </w:footnote>
  <w:footnote w:id="3">
    <w:p w:rsidR="005E4A63" w:rsidRDefault="005E4A63" w:rsidP="005E4A63">
      <w:pPr>
        <w:pStyle w:val="FootnoteText"/>
      </w:pPr>
      <w:r>
        <w:rPr>
          <w:rStyle w:val="FootnoteReference"/>
        </w:rPr>
        <w:footnoteRef/>
      </w:r>
      <w:r>
        <w:t xml:space="preserve"> </w:t>
      </w:r>
      <w:r w:rsidRPr="00E60EF2">
        <w:rPr>
          <w:rFonts w:ascii="Times New Roman" w:hAnsi="Times New Roman" w:cs="Times New Roman"/>
        </w:rPr>
        <w:t>D</w:t>
      </w:r>
      <w:r w:rsidRPr="00E60EF2">
        <w:rPr>
          <w:rFonts w:ascii="Times New Roman" w:hAnsi="Times New Roman" w:cs="Times New Roman"/>
          <w:snapToGrid w:val="0"/>
          <w:lang w:bidi="ar-JO"/>
        </w:rPr>
        <w:t>ata</w:t>
      </w:r>
      <w:r>
        <w:rPr>
          <w:rFonts w:ascii="Times New Roman" w:hAnsi="Times New Roman" w:cs="Times New Roman"/>
          <w:snapToGrid w:val="0"/>
          <w:lang w:bidi="ar-JO"/>
        </w:rPr>
        <w:t xml:space="preserve"> at constant prices with 2015</w:t>
      </w:r>
      <w:r w:rsidRPr="00024313">
        <w:rPr>
          <w:rFonts w:ascii="Times New Roman" w:hAnsi="Times New Roman" w:cs="Times New Roman"/>
          <w:snapToGrid w:val="0"/>
          <w:lang w:bidi="ar-JO"/>
        </w:rPr>
        <w:t xml:space="preserve"> </w:t>
      </w:r>
      <w:r>
        <w:rPr>
          <w:rFonts w:ascii="Times New Roman" w:hAnsi="Times New Roman" w:cs="Times New Roman"/>
          <w:snapToGrid w:val="0"/>
          <w:lang w:bidi="ar-JO"/>
        </w:rPr>
        <w:t xml:space="preserve">as the base year. </w:t>
      </w:r>
      <w:r w:rsidRPr="00BE66AF">
        <w:rPr>
          <w:rFonts w:ascii="Times New Roman" w:hAnsi="Times New Roman" w:cs="Times New Roman"/>
          <w:snapToGrid w:val="0"/>
          <w:lang w:bidi="ar-JO"/>
        </w:rPr>
        <w:t>D</w:t>
      </w:r>
      <w:r w:rsidRPr="00BE66AF">
        <w:rPr>
          <w:rFonts w:asciiTheme="majorBidi" w:hAnsiTheme="majorBidi" w:cstheme="majorBidi"/>
        </w:rPr>
        <w:t xml:space="preserve">ata excludes </w:t>
      </w:r>
      <w:r>
        <w:rPr>
          <w:rFonts w:asciiTheme="majorBidi" w:hAnsiTheme="majorBidi" w:cstheme="majorBidi"/>
        </w:rPr>
        <w:t>that part of Jerusalem Governorate</w:t>
      </w:r>
      <w:r w:rsidRPr="00BE66AF">
        <w:rPr>
          <w:rFonts w:asciiTheme="majorBidi" w:hAnsiTheme="majorBidi" w:cstheme="majorBidi"/>
        </w:rPr>
        <w:t xml:space="preserve"> which </w:t>
      </w:r>
      <w:r>
        <w:rPr>
          <w:rFonts w:asciiTheme="majorBidi" w:hAnsiTheme="majorBidi" w:cstheme="majorBidi"/>
        </w:rPr>
        <w:t>was</w:t>
      </w:r>
      <w:r w:rsidRPr="00BE66AF">
        <w:rPr>
          <w:rFonts w:asciiTheme="majorBidi" w:hAnsiTheme="majorBidi" w:cstheme="majorBidi"/>
        </w:rPr>
        <w:t xml:space="preserve"> annexed</w:t>
      </w:r>
      <w:r>
        <w:rPr>
          <w:rFonts w:asciiTheme="majorBidi" w:hAnsiTheme="majorBidi" w:cstheme="majorBidi"/>
        </w:rPr>
        <w:t xml:space="preserve"> forcefully</w:t>
      </w:r>
      <w:r w:rsidRPr="00BE66AF">
        <w:rPr>
          <w:rFonts w:asciiTheme="majorBidi" w:hAnsiTheme="majorBidi" w:cstheme="majorBidi"/>
        </w:rPr>
        <w:t xml:space="preserve"> by Israel </w:t>
      </w:r>
      <w:r>
        <w:rPr>
          <w:rFonts w:asciiTheme="majorBidi" w:hAnsiTheme="majorBidi" w:cstheme="majorBidi"/>
        </w:rPr>
        <w:t xml:space="preserve">following its occupation of the West Bank </w:t>
      </w:r>
      <w:r w:rsidRPr="00BE66AF">
        <w:rPr>
          <w:rFonts w:asciiTheme="majorBidi" w:hAnsiTheme="majorBidi" w:cstheme="majorBidi"/>
        </w:rPr>
        <w:t>in 1967</w:t>
      </w:r>
      <w:r>
        <w:rPr>
          <w:rFonts w:asciiTheme="majorBidi" w:hAnsiTheme="majorBidi" w:cstheme="majorBidi"/>
        </w:rPr>
        <w:t>.</w:t>
      </w:r>
    </w:p>
  </w:footnote>
  <w:footnote w:id="4">
    <w:p w:rsidR="005E4A63" w:rsidRPr="00217339" w:rsidRDefault="005E4A63" w:rsidP="005E4A63">
      <w:pPr>
        <w:pStyle w:val="FootnoteText"/>
        <w:rPr>
          <w:rFonts w:ascii="Times New Roman" w:hAnsi="Times New Roman" w:cs="Times New Roman"/>
        </w:rPr>
      </w:pPr>
      <w:r w:rsidRPr="00217339">
        <w:rPr>
          <w:rStyle w:val="FootnoteReference"/>
          <w:rFonts w:ascii="Times New Roman" w:hAnsi="Times New Roman" w:cs="Times New Roman"/>
        </w:rPr>
        <w:footnoteRef/>
      </w:r>
      <w:r w:rsidRPr="00217339">
        <w:rPr>
          <w:rFonts w:ascii="Times New Roman" w:hAnsi="Times New Roman" w:cs="Times New Roman"/>
        </w:rPr>
        <w:t xml:space="preserve"> The assumptions from the </w:t>
      </w:r>
      <w:r>
        <w:rPr>
          <w:rFonts w:ascii="Times New Roman" w:hAnsi="Times New Roman" w:cs="Times New Roman"/>
        </w:rPr>
        <w:t>F</w:t>
      </w:r>
      <w:r w:rsidRPr="00217339">
        <w:rPr>
          <w:rFonts w:ascii="Times New Roman" w:hAnsi="Times New Roman" w:cs="Times New Roman"/>
        </w:rPr>
        <w:t xml:space="preserve">inance </w:t>
      </w:r>
      <w:r>
        <w:rPr>
          <w:rFonts w:ascii="Times New Roman" w:hAnsi="Times New Roman" w:cs="Times New Roman"/>
        </w:rPr>
        <w:t>M</w:t>
      </w:r>
      <w:r w:rsidRPr="00217339">
        <w:rPr>
          <w:rFonts w:ascii="Times New Roman" w:hAnsi="Times New Roman" w:cs="Times New Roman"/>
        </w:rPr>
        <w:t xml:space="preserve">inistry </w:t>
      </w:r>
      <w:r>
        <w:rPr>
          <w:rFonts w:ascii="Times New Roman" w:hAnsi="Times New Roman" w:cs="Times New Roman"/>
        </w:rPr>
        <w:t>are</w:t>
      </w:r>
      <w:r w:rsidRPr="00217339">
        <w:rPr>
          <w:rFonts w:ascii="Times New Roman" w:hAnsi="Times New Roman" w:cs="Times New Roman"/>
        </w:rPr>
        <w:t xml:space="preserve"> </w:t>
      </w:r>
      <w:r>
        <w:rPr>
          <w:rFonts w:ascii="Times New Roman" w:hAnsi="Times New Roman" w:cs="Times New Roman"/>
        </w:rPr>
        <w:t>preliminary assumptions</w:t>
      </w:r>
      <w:r w:rsidRPr="00217339">
        <w:rPr>
          <w:rFonts w:ascii="Times New Roman" w:hAnsi="Times New Roman" w:cs="Times New Roman"/>
        </w:rPr>
        <w:t>.</w:t>
      </w:r>
    </w:p>
  </w:footnote>
  <w:footnote w:id="5">
    <w:p w:rsidR="005E4A63" w:rsidRDefault="005E4A63" w:rsidP="005E4A63">
      <w:pPr>
        <w:pStyle w:val="FootnoteText"/>
        <w:rPr>
          <w:rFonts w:ascii="Times New Roman" w:hAnsi="Times New Roman" w:cs="Times New Roman"/>
        </w:rPr>
      </w:pPr>
      <w:r w:rsidRPr="00AC4C48">
        <w:rPr>
          <w:rStyle w:val="FootnoteReference"/>
          <w:rFonts w:ascii="Times New Roman" w:hAnsi="Times New Roman" w:cs="Times New Roman"/>
        </w:rPr>
        <w:footnoteRef/>
      </w:r>
      <w:r w:rsidRPr="00AC4C48">
        <w:rPr>
          <w:rFonts w:ascii="Times New Roman" w:hAnsi="Times New Roman" w:cs="Times New Roman"/>
        </w:rPr>
        <w:t xml:space="preserve"> The net current account includes </w:t>
      </w:r>
      <w:r>
        <w:rPr>
          <w:rFonts w:ascii="Times New Roman" w:hAnsi="Times New Roman" w:cs="Times New Roman"/>
        </w:rPr>
        <w:t xml:space="preserve">the </w:t>
      </w:r>
      <w:r w:rsidRPr="00AC4C48">
        <w:rPr>
          <w:rFonts w:ascii="Times New Roman" w:hAnsi="Times New Roman" w:cs="Times New Roman"/>
        </w:rPr>
        <w:t>net trade balance</w:t>
      </w:r>
      <w:r>
        <w:rPr>
          <w:rFonts w:ascii="Times New Roman" w:hAnsi="Times New Roman" w:cs="Times New Roman"/>
        </w:rPr>
        <w:t>,</w:t>
      </w:r>
      <w:r w:rsidRPr="00AC4C48">
        <w:rPr>
          <w:rFonts w:ascii="Times New Roman" w:hAnsi="Times New Roman" w:cs="Times New Roman"/>
        </w:rPr>
        <w:t xml:space="preserve"> </w:t>
      </w:r>
      <w:r w:rsidRPr="00AC4C48">
        <w:rPr>
          <w:rFonts w:ascii="Times New Roman" w:eastAsia="Times New Roman" w:hAnsi="Times New Roman" w:cs="Times New Roman"/>
          <w:lang w:eastAsia="ar-SA"/>
        </w:rPr>
        <w:t xml:space="preserve">net </w:t>
      </w:r>
      <w:r>
        <w:rPr>
          <w:rFonts w:ascii="Times New Roman" w:eastAsia="Times New Roman" w:hAnsi="Times New Roman" w:cs="Times New Roman"/>
          <w:lang w:eastAsia="ar-SA"/>
        </w:rPr>
        <w:t xml:space="preserve">current transfers and net factor </w:t>
      </w:r>
      <w:r w:rsidRPr="00AC4C48">
        <w:rPr>
          <w:rFonts w:ascii="Times New Roman" w:eastAsia="Times New Roman" w:hAnsi="Times New Roman" w:cs="Times New Roman"/>
          <w:lang w:eastAsia="ar-SA"/>
        </w:rPr>
        <w:t>income.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C5" w:rsidRDefault="007D73EA" w:rsidP="00C14BC7">
    <w:pPr>
      <w:pStyle w:val="Header"/>
      <w:tabs>
        <w:tab w:val="clear" w:pos="4680"/>
        <w:tab w:val="clear" w:pos="9360"/>
        <w:tab w:val="left" w:pos="6074"/>
      </w:tabs>
    </w:pPr>
    <w:r>
      <w:rPr>
        <w:noProof/>
      </w:rPr>
      <w:drawing>
        <wp:anchor distT="0" distB="0" distL="114300" distR="114300" simplePos="0" relativeHeight="251665408" behindDoc="1" locked="0" layoutInCell="1" allowOverlap="1">
          <wp:simplePos x="0" y="0"/>
          <wp:positionH relativeFrom="column">
            <wp:posOffset>-523875</wp:posOffset>
          </wp:positionH>
          <wp:positionV relativeFrom="paragraph">
            <wp:posOffset>-440690</wp:posOffset>
          </wp:positionV>
          <wp:extent cx="7648575" cy="13811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BS+Census Header En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48575" cy="1381125"/>
                  </a:xfrm>
                  <a:prstGeom prst="rect">
                    <a:avLst/>
                  </a:prstGeom>
                </pic:spPr>
              </pic:pic>
            </a:graphicData>
          </a:graphic>
        </wp:anchor>
      </w:drawing>
    </w:r>
    <w:r w:rsidR="00E76C53">
      <w:rPr>
        <w:noProof/>
      </w:rPr>
      <w:pict>
        <v:rect id="Rectangle 1" o:spid="_x0000_s4098" style="position:absolute;margin-left:398pt;margin-top:-26.25pt;width:83.35pt;height:116.75pt;z-index:251660288;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" filled="f" stroked="f" strokeweight="1pt">
          <w10:wrap type="square"/>
        </v:rect>
      </w:pict>
    </w:r>
    <w:r w:rsidR="00C14BC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A109C"/>
    <w:multiLevelType w:val="hybridMultilevel"/>
    <w:tmpl w:val="E772A59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nsid w:val="4F2753EF"/>
    <w:multiLevelType w:val="hybridMultilevel"/>
    <w:tmpl w:val="00BA3F14"/>
    <w:lvl w:ilvl="0" w:tplc="6F64C3D2">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
    <w:nsid w:val="649C7ABE"/>
    <w:multiLevelType w:val="hybridMultilevel"/>
    <w:tmpl w:val="6A522C98"/>
    <w:lvl w:ilvl="0" w:tplc="A70CF9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89530C"/>
    <w:rsid w:val="000F2B27"/>
    <w:rsid w:val="0018441C"/>
    <w:rsid w:val="00195F2D"/>
    <w:rsid w:val="001B292F"/>
    <w:rsid w:val="001D36DE"/>
    <w:rsid w:val="0020755C"/>
    <w:rsid w:val="00240A97"/>
    <w:rsid w:val="003169B5"/>
    <w:rsid w:val="003261C5"/>
    <w:rsid w:val="00382AA1"/>
    <w:rsid w:val="003C749E"/>
    <w:rsid w:val="00516C24"/>
    <w:rsid w:val="005D6762"/>
    <w:rsid w:val="005E4A63"/>
    <w:rsid w:val="006957CF"/>
    <w:rsid w:val="00723FD2"/>
    <w:rsid w:val="007D73EA"/>
    <w:rsid w:val="00816FF4"/>
    <w:rsid w:val="0089530C"/>
    <w:rsid w:val="009B2B6C"/>
    <w:rsid w:val="009F090A"/>
    <w:rsid w:val="00AC1324"/>
    <w:rsid w:val="00C07884"/>
    <w:rsid w:val="00C14BC7"/>
    <w:rsid w:val="00CA0566"/>
    <w:rsid w:val="00CC79C0"/>
    <w:rsid w:val="00CF3357"/>
    <w:rsid w:val="00E316C4"/>
    <w:rsid w:val="00E76C53"/>
    <w:rsid w:val="00E76D45"/>
    <w:rsid w:val="00FA2CE0"/>
    <w:rsid w:val="00FC33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customStyle="1" w:styleId="BasicParagraph">
    <w:name w:val="[Basic Paragraph]"/>
    <w:basedOn w:val="Normal"/>
    <w:uiPriority w:val="99"/>
    <w:rsid w:val="00C07884"/>
    <w:pPr>
      <w:widowControl w:val="0"/>
      <w:pBdr>
        <w:top w:val="none" w:sz="0" w:space="0" w:color="auto"/>
        <w:left w:val="none" w:sz="0" w:space="0" w:color="auto"/>
        <w:bottom w:val="none" w:sz="0" w:space="0" w:color="auto"/>
        <w:right w:val="none" w:sz="0" w:space="0" w:color="auto"/>
        <w:between w:val="none" w:sz="0" w:space="0" w:color="auto"/>
      </w:pBdr>
      <w:autoSpaceDE w:val="0"/>
      <w:autoSpaceDN w:val="0"/>
      <w:bidi/>
      <w:adjustRightInd w:val="0"/>
      <w:spacing w:line="288" w:lineRule="auto"/>
      <w:textAlignment w:val="center"/>
    </w:pPr>
    <w:rPr>
      <w:rFonts w:ascii="AdobeArabic-Regular" w:eastAsiaTheme="minorHAnsi" w:hAnsi="AdobeArabic-Regular" w:cs="AdobeArabic-Regular"/>
      <w:sz w:val="24"/>
      <w:szCs w:val="24"/>
      <w:lang w:eastAsia="en-US" w:bidi="ar-YE"/>
    </w:rPr>
  </w:style>
  <w:style w:type="paragraph" w:styleId="FootnoteText">
    <w:name w:val="footnote text"/>
    <w:basedOn w:val="Normal"/>
    <w:link w:val="FootnoteTextChar"/>
    <w:unhideWhenUsed/>
    <w:rsid w:val="005E4A63"/>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rsid w:val="005E4A63"/>
    <w:rPr>
      <w:sz w:val="20"/>
      <w:szCs w:val="20"/>
    </w:rPr>
  </w:style>
  <w:style w:type="character" w:styleId="FootnoteReference">
    <w:name w:val="footnote reference"/>
    <w:basedOn w:val="DefaultParagraphFont"/>
    <w:semiHidden/>
    <w:unhideWhenUsed/>
    <w:rsid w:val="005E4A63"/>
    <w:rPr>
      <w:vertAlign w:val="superscript"/>
    </w:rPr>
  </w:style>
  <w:style w:type="table" w:styleId="TableGrid">
    <w:name w:val="Table Grid"/>
    <w:basedOn w:val="TableNormal"/>
    <w:uiPriority w:val="59"/>
    <w:rsid w:val="005E4A6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5E4A63"/>
  </w:style>
  <w:style w:type="paragraph" w:styleId="ListParagraph">
    <w:name w:val="List Paragraph"/>
    <w:basedOn w:val="Normal"/>
    <w:qFormat/>
    <w:rsid w:val="005E4A63"/>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HAnsi" w:hAnsiTheme="minorHAnsi" w:cstheme="minorBidi"/>
      <w:color w:val="auto"/>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hbadran</cp:lastModifiedBy>
  <cp:revision>2</cp:revision>
  <cp:lastPrinted>2017-08-22T08:13:00Z</cp:lastPrinted>
  <dcterms:created xsi:type="dcterms:W3CDTF">2017-12-26T11:49:00Z</dcterms:created>
  <dcterms:modified xsi:type="dcterms:W3CDTF">2017-12-26T11:49:00Z</dcterms:modified>
</cp:coreProperties>
</file>