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11E" w:rsidRPr="00CD611E" w:rsidRDefault="00CD611E" w:rsidP="00CD033F">
      <w:pPr>
        <w:jc w:val="center"/>
        <w:rPr>
          <w:rFonts w:asciiTheme="majorBidi" w:hAnsiTheme="majorBidi" w:cs="Simplified Arabic"/>
          <w:b/>
          <w:bCs/>
          <w:sz w:val="32"/>
          <w:szCs w:val="32"/>
          <w:rtl/>
        </w:rPr>
      </w:pPr>
      <w:r w:rsidRPr="00CD611E">
        <w:rPr>
          <w:rFonts w:asciiTheme="majorBidi" w:hAnsiTheme="majorBidi" w:cs="Simplified Arabic" w:hint="cs"/>
          <w:b/>
          <w:bCs/>
          <w:sz w:val="32"/>
          <w:szCs w:val="32"/>
          <w:rtl/>
        </w:rPr>
        <w:t xml:space="preserve">الاحصاء الفلسطيني يصدر بياناً صحفياً </w:t>
      </w:r>
      <w:r w:rsidRPr="00CD611E">
        <w:rPr>
          <w:rFonts w:cs="Simplified Arabic" w:hint="cs"/>
          <w:b/>
          <w:bCs/>
          <w:sz w:val="32"/>
          <w:szCs w:val="32"/>
          <w:rtl/>
        </w:rPr>
        <w:t>عشية</w:t>
      </w:r>
      <w:r w:rsidRPr="00CD611E">
        <w:rPr>
          <w:rFonts w:asciiTheme="majorBidi" w:hAnsiTheme="majorBidi" w:cs="Simplified Arabic" w:hint="cs"/>
          <w:b/>
          <w:bCs/>
          <w:sz w:val="32"/>
          <w:szCs w:val="32"/>
          <w:rtl/>
        </w:rPr>
        <w:t xml:space="preserve"> يوم المرأة العالمي، 2014</w:t>
      </w:r>
    </w:p>
    <w:p w:rsidR="00CD611E" w:rsidRPr="00CD611E" w:rsidRDefault="00CD611E" w:rsidP="00CD611E">
      <w:pPr>
        <w:jc w:val="center"/>
        <w:rPr>
          <w:rFonts w:asciiTheme="majorBidi" w:hAnsiTheme="majorBidi" w:cs="Simplified Arabic"/>
          <w:sz w:val="28"/>
          <w:szCs w:val="28"/>
          <w:rtl/>
        </w:rPr>
      </w:pPr>
    </w:p>
    <w:p w:rsidR="00CD611E" w:rsidRPr="00CD611E" w:rsidRDefault="00CD611E" w:rsidP="00CD611E">
      <w:pPr>
        <w:jc w:val="center"/>
        <w:rPr>
          <w:rFonts w:asciiTheme="majorBidi" w:hAnsiTheme="majorBidi" w:cs="Simplified Arabic"/>
          <w:b/>
          <w:bCs/>
          <w:sz w:val="28"/>
          <w:szCs w:val="28"/>
          <w:rtl/>
        </w:rPr>
      </w:pPr>
      <w:r w:rsidRPr="00CD611E">
        <w:rPr>
          <w:rFonts w:asciiTheme="majorBidi" w:hAnsiTheme="majorBidi" w:cs="Simplified Arabic" w:hint="cs"/>
          <w:b/>
          <w:bCs/>
          <w:sz w:val="28"/>
          <w:szCs w:val="28"/>
          <w:rtl/>
        </w:rPr>
        <w:t>استعرضت السيدة علا عوض، رئيس الإحصاء الفلسطيني، اليوم الخميس 06/03/2014 اوضاع المرأة الفلسطينية عشية يوم  المرأة العالمي الذي يصادف يوم السبت 08/03/2014 ،على النحو الاتي:</w:t>
      </w:r>
    </w:p>
    <w:p w:rsidR="002A2440" w:rsidRPr="00CD611E" w:rsidRDefault="002A2440" w:rsidP="002A2440">
      <w:pPr>
        <w:tabs>
          <w:tab w:val="left" w:pos="9071"/>
        </w:tabs>
        <w:jc w:val="both"/>
        <w:rPr>
          <w:rFonts w:cs="Simplified Arabic"/>
          <w:b/>
          <w:bCs/>
          <w:sz w:val="26"/>
          <w:szCs w:val="26"/>
        </w:rPr>
      </w:pPr>
    </w:p>
    <w:p w:rsidR="005A5A7F" w:rsidRDefault="005A5A7F" w:rsidP="001C730A">
      <w:pPr>
        <w:tabs>
          <w:tab w:val="left" w:pos="9071"/>
        </w:tabs>
        <w:ind w:right="720"/>
        <w:rPr>
          <w:rFonts w:cs="Simplified Arabic"/>
          <w:b/>
          <w:bCs/>
          <w:sz w:val="24"/>
          <w:szCs w:val="24"/>
          <w:rtl/>
        </w:rPr>
      </w:pPr>
    </w:p>
    <w:p w:rsidR="005E6289" w:rsidRPr="005A5A7F" w:rsidRDefault="005E6289" w:rsidP="001C730A">
      <w:pPr>
        <w:tabs>
          <w:tab w:val="left" w:pos="9071"/>
        </w:tabs>
        <w:ind w:right="720"/>
        <w:rPr>
          <w:rFonts w:cs="Simplified Arabic"/>
          <w:b/>
          <w:bCs/>
          <w:noProof/>
          <w:sz w:val="26"/>
          <w:szCs w:val="26"/>
          <w:rtl/>
        </w:rPr>
      </w:pPr>
      <w:r w:rsidRPr="005A5A7F">
        <w:rPr>
          <w:rFonts w:cs="Simplified Arabic" w:hint="cs"/>
          <w:b/>
          <w:bCs/>
          <w:sz w:val="26"/>
          <w:szCs w:val="26"/>
          <w:rtl/>
        </w:rPr>
        <w:t>نصف</w:t>
      </w:r>
      <w:r w:rsidR="00EE3F3A" w:rsidRPr="005A5A7F">
        <w:rPr>
          <w:rFonts w:cs="Simplified Arabic"/>
          <w:b/>
          <w:bCs/>
          <w:sz w:val="26"/>
          <w:szCs w:val="26"/>
        </w:rPr>
        <w:t xml:space="preserve"> </w:t>
      </w:r>
      <w:r w:rsidR="00EE3F3A" w:rsidRPr="005A5A7F">
        <w:rPr>
          <w:rFonts w:cs="Simplified Arabic" w:hint="cs"/>
          <w:b/>
          <w:bCs/>
          <w:sz w:val="26"/>
          <w:szCs w:val="26"/>
          <w:rtl/>
        </w:rPr>
        <w:t xml:space="preserve">المجتمع الفلسطيني من </w:t>
      </w:r>
      <w:r w:rsidR="001C730A" w:rsidRPr="005A5A7F">
        <w:rPr>
          <w:rFonts w:cs="Simplified Arabic" w:hint="cs"/>
          <w:b/>
          <w:bCs/>
          <w:sz w:val="26"/>
          <w:szCs w:val="26"/>
          <w:rtl/>
        </w:rPr>
        <w:t>النساء</w:t>
      </w:r>
    </w:p>
    <w:p w:rsidR="005E6289" w:rsidRPr="005A5A7F" w:rsidRDefault="005E6289" w:rsidP="00D0559D">
      <w:pPr>
        <w:jc w:val="lowKashida"/>
        <w:rPr>
          <w:rFonts w:ascii="Times New Roman" w:hAnsi="Times New Roman" w:cs="Simplified Arabic"/>
          <w:sz w:val="24"/>
          <w:szCs w:val="24"/>
          <w:rtl/>
        </w:rPr>
      </w:pPr>
      <w:r w:rsidRPr="005A5A7F">
        <w:rPr>
          <w:rFonts w:ascii="Times New Roman" w:hAnsi="Times New Roman" w:cs="Simplified Arabic" w:hint="cs"/>
          <w:sz w:val="24"/>
          <w:szCs w:val="24"/>
          <w:rtl/>
        </w:rPr>
        <w:t>بلغ عدد السكان المقدر في نهاية عام 201</w:t>
      </w:r>
      <w:r w:rsidR="00622153" w:rsidRPr="005A5A7F">
        <w:rPr>
          <w:rFonts w:ascii="Times New Roman" w:hAnsi="Times New Roman" w:cs="Simplified Arabic" w:hint="cs"/>
          <w:sz w:val="24"/>
          <w:szCs w:val="24"/>
          <w:rtl/>
        </w:rPr>
        <w:t>3</w:t>
      </w:r>
      <w:r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 حوالي 4.</w:t>
      </w:r>
      <w:r w:rsidR="00622153" w:rsidRPr="005A5A7F">
        <w:rPr>
          <w:rFonts w:ascii="Times New Roman" w:hAnsi="Times New Roman" w:cs="Simplified Arabic" w:hint="cs"/>
          <w:sz w:val="24"/>
          <w:szCs w:val="24"/>
          <w:rtl/>
        </w:rPr>
        <w:t>49</w:t>
      </w:r>
      <w:r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 مليون فرد؛</w:t>
      </w:r>
      <w:r w:rsidR="00BD1CCD"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 منه</w:t>
      </w:r>
      <w:r w:rsidR="0041760A" w:rsidRPr="005A5A7F">
        <w:rPr>
          <w:rFonts w:ascii="Times New Roman" w:hAnsi="Times New Roman" w:cs="Simplified Arabic" w:hint="cs"/>
          <w:sz w:val="24"/>
          <w:szCs w:val="24"/>
          <w:rtl/>
        </w:rPr>
        <w:t>م</w:t>
      </w:r>
      <w:r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 2.</w:t>
      </w:r>
      <w:r w:rsidR="000C7EFF" w:rsidRPr="005A5A7F">
        <w:rPr>
          <w:rFonts w:ascii="Times New Roman" w:hAnsi="Times New Roman" w:cs="Simplified Arabic" w:hint="cs"/>
          <w:sz w:val="24"/>
          <w:szCs w:val="24"/>
          <w:rtl/>
        </w:rPr>
        <w:t>2</w:t>
      </w:r>
      <w:r w:rsidR="00622153" w:rsidRPr="005A5A7F">
        <w:rPr>
          <w:rFonts w:ascii="Times New Roman" w:hAnsi="Times New Roman" w:cs="Simplified Arabic" w:hint="cs"/>
          <w:sz w:val="24"/>
          <w:szCs w:val="24"/>
          <w:rtl/>
        </w:rPr>
        <w:t>8</w:t>
      </w:r>
      <w:r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 مليون ذكر</w:t>
      </w:r>
      <w:r w:rsidR="00BD1CCD"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 بنسبة</w:t>
      </w:r>
      <w:r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 50.8% </w:t>
      </w:r>
      <w:r w:rsidR="00BD1CCD" w:rsidRPr="005A5A7F">
        <w:rPr>
          <w:rFonts w:ascii="Times New Roman" w:hAnsi="Times New Roman" w:cs="Simplified Arabic" w:hint="cs"/>
          <w:sz w:val="24"/>
          <w:szCs w:val="24"/>
          <w:rtl/>
        </w:rPr>
        <w:t>و</w:t>
      </w:r>
      <w:r w:rsidRPr="005A5A7F">
        <w:rPr>
          <w:rFonts w:ascii="Times New Roman" w:hAnsi="Times New Roman" w:cs="Simplified Arabic" w:hint="cs"/>
          <w:sz w:val="24"/>
          <w:szCs w:val="24"/>
          <w:rtl/>
        </w:rPr>
        <w:t>2.</w:t>
      </w:r>
      <w:r w:rsidR="00622153" w:rsidRPr="005A5A7F">
        <w:rPr>
          <w:rFonts w:ascii="Times New Roman" w:hAnsi="Times New Roman" w:cs="Simplified Arabic" w:hint="cs"/>
          <w:sz w:val="24"/>
          <w:szCs w:val="24"/>
          <w:rtl/>
        </w:rPr>
        <w:t>21</w:t>
      </w:r>
      <w:r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 مليون أنثى</w:t>
      </w:r>
      <w:r w:rsidR="00BD1CCD"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 بنسبة</w:t>
      </w:r>
      <w:r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 49.2%، فيما وصلت نسبة الجنس 103.2.</w:t>
      </w:r>
    </w:p>
    <w:p w:rsidR="005E6289" w:rsidRPr="0081530C" w:rsidRDefault="005E6289" w:rsidP="005E6289">
      <w:pPr>
        <w:pStyle w:val="Header"/>
        <w:tabs>
          <w:tab w:val="left" w:pos="720"/>
        </w:tabs>
        <w:rPr>
          <w:rFonts w:cs="Simplified Arabic"/>
          <w:sz w:val="12"/>
          <w:szCs w:val="12"/>
          <w:rtl/>
          <w:lang w:eastAsia="ar-SA"/>
        </w:rPr>
      </w:pPr>
      <w:bookmarkStart w:id="0" w:name="OLE_LINK2"/>
    </w:p>
    <w:p w:rsidR="00B962A1" w:rsidRPr="005A5A7F" w:rsidRDefault="0041760A" w:rsidP="0041760A">
      <w:pPr>
        <w:pStyle w:val="BodyTextIndent3"/>
        <w:tabs>
          <w:tab w:val="left" w:pos="4181"/>
          <w:tab w:val="left" w:pos="6349"/>
        </w:tabs>
        <w:spacing w:after="0"/>
        <w:ind w:left="51"/>
        <w:jc w:val="both"/>
        <w:rPr>
          <w:rFonts w:cs="Simplified Arabic"/>
          <w:b/>
          <w:bCs/>
          <w:sz w:val="26"/>
          <w:szCs w:val="26"/>
          <w:rtl/>
        </w:rPr>
      </w:pPr>
      <w:r w:rsidRPr="005A5A7F">
        <w:rPr>
          <w:rFonts w:cs="Simplified Arabic" w:hint="cs"/>
          <w:b/>
          <w:bCs/>
          <w:sz w:val="26"/>
          <w:szCs w:val="26"/>
          <w:rtl/>
        </w:rPr>
        <w:t>استخدام الوقت</w:t>
      </w:r>
      <w:r w:rsidR="001C40F3" w:rsidRPr="005A5A7F">
        <w:rPr>
          <w:rFonts w:cs="Simplified Arabic"/>
          <w:b/>
          <w:bCs/>
          <w:sz w:val="26"/>
          <w:szCs w:val="26"/>
        </w:rPr>
        <w:t xml:space="preserve"> </w:t>
      </w:r>
      <w:r w:rsidR="001C40F3" w:rsidRPr="005A5A7F">
        <w:rPr>
          <w:rFonts w:cs="Simplified Arabic" w:hint="cs"/>
          <w:b/>
          <w:bCs/>
          <w:sz w:val="26"/>
          <w:szCs w:val="26"/>
          <w:rtl/>
        </w:rPr>
        <w:t>2012/2013</w:t>
      </w:r>
    </w:p>
    <w:p w:rsidR="00B962A1" w:rsidRPr="005A5A7F" w:rsidRDefault="00B962A1" w:rsidP="001C730A">
      <w:pPr>
        <w:widowControl w:val="0"/>
        <w:jc w:val="lowKashida"/>
        <w:rPr>
          <w:rFonts w:ascii="Times New Roman" w:hAnsi="Times New Roman" w:cs="Simplified Arabic"/>
          <w:sz w:val="24"/>
          <w:szCs w:val="24"/>
          <w:rtl/>
        </w:rPr>
      </w:pPr>
      <w:r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اشارت بيانات </w:t>
      </w:r>
      <w:r w:rsidR="00EB0809" w:rsidRPr="005A5A7F">
        <w:rPr>
          <w:rFonts w:ascii="Times New Roman" w:hAnsi="Times New Roman" w:cs="Simplified Arabic" w:hint="cs"/>
          <w:sz w:val="24"/>
          <w:szCs w:val="24"/>
          <w:rtl/>
        </w:rPr>
        <w:t>مسح استخدام الوقت</w:t>
      </w:r>
      <w:r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 </w:t>
      </w:r>
      <w:r w:rsidR="00EB0809" w:rsidRPr="005A5A7F">
        <w:rPr>
          <w:rFonts w:ascii="Times New Roman" w:hAnsi="Times New Roman" w:cs="Simplified Arabic" w:hint="cs"/>
          <w:sz w:val="24"/>
          <w:szCs w:val="24"/>
          <w:rtl/>
        </w:rPr>
        <w:t>الى أ</w:t>
      </w:r>
      <w:r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ن </w:t>
      </w:r>
      <w:r w:rsidR="001C730A" w:rsidRPr="005A5A7F">
        <w:rPr>
          <w:rFonts w:ascii="Times New Roman" w:hAnsi="Times New Roman" w:cs="Simplified Arabic" w:hint="cs"/>
          <w:sz w:val="24"/>
          <w:szCs w:val="24"/>
          <w:rtl/>
        </w:rPr>
        <w:t>الإناث</w:t>
      </w:r>
      <w:r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 تقضي</w:t>
      </w:r>
      <w:r w:rsidR="00CF35FF"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 ما معدله</w:t>
      </w:r>
      <w:r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 ساعتين و14 دقيقة</w:t>
      </w:r>
      <w:r w:rsidR="0066746C"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 يومياً</w:t>
      </w:r>
      <w:r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 في رعاية الأطفال</w:t>
      </w:r>
      <w:r w:rsidR="00EB0809"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 مقابل 48 دقيقة عند الذكور</w:t>
      </w:r>
      <w:r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، و3 ساعات و51 دقيقة </w:t>
      </w:r>
      <w:r w:rsidR="00207CD9"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يومياً </w:t>
      </w:r>
      <w:r w:rsidRPr="005A5A7F">
        <w:rPr>
          <w:rFonts w:ascii="Times New Roman" w:hAnsi="Times New Roman" w:cs="Simplified Arabic" w:hint="cs"/>
          <w:sz w:val="24"/>
          <w:szCs w:val="24"/>
          <w:rtl/>
        </w:rPr>
        <w:t>في الأعمال المنزلية</w:t>
      </w:r>
      <w:r w:rsidR="00EB0809"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 مقابل ساعة واحدة عند الذكور، وساعتين</w:t>
      </w:r>
      <w:r w:rsidR="00207CD9"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 يومياً</w:t>
      </w:r>
      <w:r w:rsidR="00EB0809"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 في مشاهدة التلفاز مقابل ساعة و50 دقيقة عند الذكور</w:t>
      </w:r>
      <w:r w:rsidRPr="005A5A7F">
        <w:rPr>
          <w:rFonts w:ascii="Times New Roman" w:hAnsi="Times New Roman" w:cs="Simplified Arabic" w:hint="cs"/>
          <w:sz w:val="24"/>
          <w:szCs w:val="24"/>
          <w:rtl/>
        </w:rPr>
        <w:t>.</w:t>
      </w:r>
    </w:p>
    <w:p w:rsidR="00B962A1" w:rsidRPr="0081530C" w:rsidRDefault="00B962A1" w:rsidP="00B962A1">
      <w:pPr>
        <w:widowControl w:val="0"/>
        <w:jc w:val="lowKashida"/>
        <w:rPr>
          <w:rFonts w:cs="Simplified Arabic"/>
          <w:b/>
          <w:bCs/>
          <w:sz w:val="12"/>
          <w:szCs w:val="12"/>
          <w:rtl/>
        </w:rPr>
      </w:pPr>
    </w:p>
    <w:p w:rsidR="005E6289" w:rsidRPr="005A5A7F" w:rsidRDefault="00B01727" w:rsidP="001C730A">
      <w:pPr>
        <w:widowControl w:val="0"/>
        <w:jc w:val="lowKashida"/>
        <w:rPr>
          <w:rFonts w:cs="Simplified Arabic"/>
          <w:b/>
          <w:bCs/>
          <w:sz w:val="26"/>
          <w:szCs w:val="26"/>
          <w:rtl/>
        </w:rPr>
      </w:pPr>
      <w:r w:rsidRPr="005A5A7F">
        <w:rPr>
          <w:rFonts w:cs="Simplified Arabic" w:hint="cs"/>
          <w:b/>
          <w:bCs/>
          <w:sz w:val="26"/>
          <w:szCs w:val="26"/>
          <w:rtl/>
        </w:rPr>
        <w:t xml:space="preserve">النساء المتزوجات </w:t>
      </w:r>
      <w:r w:rsidR="0081530C" w:rsidRPr="005A5A7F">
        <w:rPr>
          <w:rFonts w:cs="Simplified Arabic" w:hint="cs"/>
          <w:b/>
          <w:bCs/>
          <w:sz w:val="26"/>
          <w:szCs w:val="26"/>
          <w:rtl/>
        </w:rPr>
        <w:t xml:space="preserve">تشكل </w:t>
      </w:r>
      <w:r w:rsidRPr="005A5A7F">
        <w:rPr>
          <w:rFonts w:cs="Simplified Arabic" w:hint="cs"/>
          <w:b/>
          <w:bCs/>
          <w:sz w:val="26"/>
          <w:szCs w:val="26"/>
          <w:rtl/>
        </w:rPr>
        <w:t xml:space="preserve">ما يزيد عن نصف </w:t>
      </w:r>
      <w:r w:rsidR="001C730A" w:rsidRPr="005A5A7F">
        <w:rPr>
          <w:rFonts w:cs="Simplified Arabic" w:hint="cs"/>
          <w:b/>
          <w:bCs/>
          <w:sz w:val="26"/>
          <w:szCs w:val="26"/>
          <w:rtl/>
        </w:rPr>
        <w:t>النساء</w:t>
      </w:r>
      <w:r w:rsidR="003F428B" w:rsidRPr="005A5A7F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81530C" w:rsidRPr="005A5A7F">
        <w:rPr>
          <w:rFonts w:cs="Simplified Arabic" w:hint="cs"/>
          <w:b/>
          <w:bCs/>
          <w:sz w:val="26"/>
          <w:szCs w:val="26"/>
          <w:rtl/>
        </w:rPr>
        <w:t>في العمر 15 سنة فأكثر</w:t>
      </w:r>
    </w:p>
    <w:p w:rsidR="005E6289" w:rsidRPr="005A5A7F" w:rsidRDefault="00A16E3E" w:rsidP="001C730A">
      <w:pPr>
        <w:pStyle w:val="BodyText"/>
        <w:widowControl w:val="0"/>
        <w:jc w:val="both"/>
        <w:rPr>
          <w:rtl/>
        </w:rPr>
      </w:pPr>
      <w:r w:rsidRPr="005A5A7F">
        <w:rPr>
          <w:rFonts w:hint="cs"/>
          <w:rtl/>
        </w:rPr>
        <w:t xml:space="preserve">بلغت نسبة </w:t>
      </w:r>
      <w:r w:rsidR="001C730A" w:rsidRPr="005A5A7F">
        <w:rPr>
          <w:rFonts w:hint="cs"/>
          <w:rtl/>
        </w:rPr>
        <w:t>الإناث</w:t>
      </w:r>
      <w:r w:rsidRPr="005A5A7F">
        <w:rPr>
          <w:rFonts w:hint="cs"/>
          <w:rtl/>
        </w:rPr>
        <w:t xml:space="preserve"> المتزوجات</w:t>
      </w:r>
      <w:r w:rsidR="005E6289" w:rsidRPr="005A5A7F">
        <w:rPr>
          <w:rFonts w:hint="cs"/>
          <w:rtl/>
        </w:rPr>
        <w:t xml:space="preserve"> في العمر 15 سنة فأكثر </w:t>
      </w:r>
      <w:r w:rsidR="00A56869" w:rsidRPr="005A5A7F">
        <w:rPr>
          <w:rFonts w:hint="cs"/>
          <w:rtl/>
        </w:rPr>
        <w:t>56.9</w:t>
      </w:r>
      <w:r w:rsidRPr="005A5A7F">
        <w:rPr>
          <w:rFonts w:hint="cs"/>
          <w:rtl/>
        </w:rPr>
        <w:t>% في ال</w:t>
      </w:r>
      <w:r w:rsidR="005E6289" w:rsidRPr="005A5A7F">
        <w:rPr>
          <w:rFonts w:hint="cs"/>
          <w:rtl/>
        </w:rPr>
        <w:t>عام 201</w:t>
      </w:r>
      <w:r w:rsidR="00530515" w:rsidRPr="005A5A7F">
        <w:rPr>
          <w:rFonts w:hint="cs"/>
          <w:rtl/>
        </w:rPr>
        <w:t>3</w:t>
      </w:r>
      <w:r w:rsidR="005E6289" w:rsidRPr="005A5A7F">
        <w:rPr>
          <w:rFonts w:hint="cs"/>
          <w:rtl/>
        </w:rPr>
        <w:t xml:space="preserve">، </w:t>
      </w:r>
      <w:r w:rsidRPr="005A5A7F">
        <w:rPr>
          <w:rFonts w:hint="cs"/>
          <w:rtl/>
        </w:rPr>
        <w:t>و3</w:t>
      </w:r>
      <w:r w:rsidR="00A56869" w:rsidRPr="005A5A7F">
        <w:rPr>
          <w:rFonts w:hint="cs"/>
          <w:rtl/>
        </w:rPr>
        <w:t>3.2</w:t>
      </w:r>
      <w:r w:rsidRPr="005A5A7F">
        <w:rPr>
          <w:rFonts w:hint="cs"/>
          <w:rtl/>
        </w:rPr>
        <w:t>%</w:t>
      </w:r>
      <w:r w:rsidR="005E6289" w:rsidRPr="005A5A7F">
        <w:rPr>
          <w:rFonts w:hint="cs"/>
          <w:rtl/>
        </w:rPr>
        <w:t xml:space="preserve"> لم يتزوجن أبدا، وبلغت نسبة الأرامل </w:t>
      </w:r>
      <w:r w:rsidR="0057514E" w:rsidRPr="005A5A7F">
        <w:rPr>
          <w:rFonts w:hint="cs"/>
          <w:rtl/>
        </w:rPr>
        <w:t>5.8</w:t>
      </w:r>
      <w:r w:rsidR="005E6289" w:rsidRPr="005A5A7F">
        <w:rPr>
          <w:rFonts w:hint="cs"/>
          <w:rtl/>
        </w:rPr>
        <w:t>%، ونسبة المطلقات 1.</w:t>
      </w:r>
      <w:r w:rsidR="00530515" w:rsidRPr="005A5A7F">
        <w:rPr>
          <w:rFonts w:hint="cs"/>
          <w:rtl/>
        </w:rPr>
        <w:t>6</w:t>
      </w:r>
      <w:r w:rsidR="005E6289" w:rsidRPr="005A5A7F">
        <w:rPr>
          <w:rFonts w:hint="cs"/>
          <w:rtl/>
        </w:rPr>
        <w:t xml:space="preserve">%، فيما كانت نسبة اللواتي عقدن قرانهن لأول مرة </w:t>
      </w:r>
      <w:r w:rsidR="0057514E" w:rsidRPr="005A5A7F">
        <w:rPr>
          <w:rFonts w:hint="cs"/>
          <w:rtl/>
        </w:rPr>
        <w:t>2</w:t>
      </w:r>
      <w:r w:rsidR="005E6289" w:rsidRPr="005A5A7F">
        <w:rPr>
          <w:rFonts w:hint="cs"/>
          <w:rtl/>
        </w:rPr>
        <w:t>.</w:t>
      </w:r>
      <w:r w:rsidR="0057514E" w:rsidRPr="005A5A7F">
        <w:rPr>
          <w:rFonts w:hint="cs"/>
          <w:rtl/>
        </w:rPr>
        <w:t>2</w:t>
      </w:r>
      <w:r w:rsidR="005E6289" w:rsidRPr="005A5A7F">
        <w:rPr>
          <w:rFonts w:hint="cs"/>
          <w:rtl/>
        </w:rPr>
        <w:t>% و0.</w:t>
      </w:r>
      <w:r w:rsidR="00530515" w:rsidRPr="005A5A7F">
        <w:rPr>
          <w:rFonts w:hint="cs"/>
          <w:rtl/>
        </w:rPr>
        <w:t>3</w:t>
      </w:r>
      <w:r w:rsidR="005E6289" w:rsidRPr="005A5A7F">
        <w:rPr>
          <w:rFonts w:hint="cs"/>
          <w:rtl/>
        </w:rPr>
        <w:t>% منفصلات.</w:t>
      </w:r>
    </w:p>
    <w:p w:rsidR="005E6289" w:rsidRPr="0081530C" w:rsidRDefault="005E6289" w:rsidP="005E6289">
      <w:pPr>
        <w:widowControl w:val="0"/>
        <w:jc w:val="lowKashida"/>
        <w:rPr>
          <w:rFonts w:cs="Simplified Arabic"/>
          <w:b/>
          <w:bCs/>
          <w:sz w:val="12"/>
          <w:szCs w:val="12"/>
          <w:rtl/>
        </w:rPr>
      </w:pPr>
      <w:r w:rsidRPr="00D01A7A">
        <w:rPr>
          <w:rFonts w:cs="Simplified Arabic" w:hint="cs"/>
          <w:b/>
          <w:bCs/>
          <w:rtl/>
        </w:rPr>
        <w:t xml:space="preserve"> </w:t>
      </w:r>
    </w:p>
    <w:bookmarkEnd w:id="0"/>
    <w:p w:rsidR="003235A9" w:rsidRPr="005A5A7F" w:rsidRDefault="003235A9" w:rsidP="001C730A">
      <w:pPr>
        <w:pStyle w:val="Heading3"/>
        <w:jc w:val="lowKashida"/>
        <w:rPr>
          <w:rFonts w:ascii="Calibri" w:eastAsia="Calibri" w:hAnsi="Calibri"/>
          <w:sz w:val="26"/>
          <w:szCs w:val="26"/>
          <w:rtl/>
          <w:lang w:eastAsia="en-US"/>
        </w:rPr>
      </w:pPr>
      <w:r w:rsidRPr="005A5A7F">
        <w:rPr>
          <w:rFonts w:ascii="Calibri" w:eastAsia="Calibri" w:hAnsi="Calibri" w:hint="cs"/>
          <w:sz w:val="26"/>
          <w:szCs w:val="26"/>
          <w:rtl/>
          <w:lang w:eastAsia="en-US"/>
        </w:rPr>
        <w:t xml:space="preserve">استمرار تقدم </w:t>
      </w:r>
      <w:r w:rsidR="001C730A" w:rsidRPr="005A5A7F">
        <w:rPr>
          <w:rFonts w:ascii="Calibri" w:eastAsia="Calibri" w:hAnsi="Calibri" w:hint="cs"/>
          <w:sz w:val="26"/>
          <w:szCs w:val="26"/>
          <w:rtl/>
          <w:lang w:eastAsia="en-US"/>
        </w:rPr>
        <w:t>النساء</w:t>
      </w:r>
      <w:r w:rsidRPr="005A5A7F">
        <w:rPr>
          <w:rFonts w:ascii="Calibri" w:eastAsia="Calibri" w:hAnsi="Calibri" w:hint="cs"/>
          <w:sz w:val="26"/>
          <w:szCs w:val="26"/>
          <w:rtl/>
          <w:lang w:eastAsia="en-US"/>
        </w:rPr>
        <w:t xml:space="preserve"> في مجال معرفة القراءة والكتابة </w:t>
      </w:r>
    </w:p>
    <w:p w:rsidR="00CE24BB" w:rsidRPr="005A5A7F" w:rsidRDefault="00EE3F3A" w:rsidP="00F9211E">
      <w:pPr>
        <w:jc w:val="both"/>
        <w:rPr>
          <w:rFonts w:cs="Simplified Arabic"/>
          <w:sz w:val="24"/>
          <w:szCs w:val="24"/>
          <w:rtl/>
        </w:rPr>
      </w:pPr>
      <w:r w:rsidRPr="005A5A7F">
        <w:rPr>
          <w:rFonts w:cs="Simplified Arabic" w:hint="cs"/>
          <w:sz w:val="24"/>
          <w:szCs w:val="24"/>
          <w:rtl/>
        </w:rPr>
        <w:t>رغم التقدم في واقع معرفة القراءة والكتابة لدى الإناث خلال العقد الماضي والتي ارتفعت حوالي</w:t>
      </w:r>
      <w:r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 10</w:t>
      </w:r>
      <w:r w:rsidRPr="005A5A7F">
        <w:rPr>
          <w:rFonts w:cs="Simplified Arabic" w:hint="cs"/>
          <w:sz w:val="24"/>
          <w:szCs w:val="24"/>
          <w:rtl/>
        </w:rPr>
        <w:t xml:space="preserve">% الا أن الفجوة بين الذكور والإناث في معدلات </w:t>
      </w:r>
      <w:r w:rsidR="00F9211E" w:rsidRPr="005A5A7F">
        <w:rPr>
          <w:rFonts w:cs="Simplified Arabic" w:hint="cs"/>
          <w:sz w:val="24"/>
          <w:szCs w:val="24"/>
          <w:rtl/>
        </w:rPr>
        <w:t>معرفة القراءة والكتابة</w:t>
      </w:r>
      <w:r w:rsidRPr="005A5A7F">
        <w:rPr>
          <w:rFonts w:cs="Simplified Arabic" w:hint="cs"/>
          <w:sz w:val="24"/>
          <w:szCs w:val="24"/>
          <w:rtl/>
        </w:rPr>
        <w:t xml:space="preserve"> ما زالت لصالح الذكور بفارق بلغ حوالي </w:t>
      </w:r>
      <w:r w:rsidRPr="005A5A7F">
        <w:rPr>
          <w:rFonts w:ascii="Times New Roman" w:hAnsi="Times New Roman" w:cs="Simplified Arabic" w:hint="cs"/>
          <w:sz w:val="24"/>
          <w:szCs w:val="24"/>
          <w:rtl/>
        </w:rPr>
        <w:t>4</w:t>
      </w:r>
      <w:r w:rsidRPr="005A5A7F">
        <w:rPr>
          <w:rFonts w:cs="Simplified Arabic" w:hint="cs"/>
          <w:sz w:val="24"/>
          <w:szCs w:val="24"/>
          <w:rtl/>
        </w:rPr>
        <w:t>%.</w:t>
      </w:r>
    </w:p>
    <w:p w:rsidR="00EE3F3A" w:rsidRPr="005A5A7F" w:rsidRDefault="00EE3F3A" w:rsidP="00EE3F3A">
      <w:pPr>
        <w:jc w:val="both"/>
        <w:rPr>
          <w:rFonts w:cs="Simplified Arabic"/>
          <w:sz w:val="24"/>
          <w:szCs w:val="24"/>
          <w:rtl/>
        </w:rPr>
      </w:pPr>
    </w:p>
    <w:p w:rsidR="005E6289" w:rsidRPr="00CD611E" w:rsidRDefault="005E6289" w:rsidP="001C730A">
      <w:pPr>
        <w:pStyle w:val="Heading3"/>
        <w:jc w:val="center"/>
        <w:rPr>
          <w:sz w:val="26"/>
          <w:szCs w:val="26"/>
          <w:rtl/>
        </w:rPr>
      </w:pPr>
      <w:r w:rsidRPr="00CD611E">
        <w:rPr>
          <w:rFonts w:hint="cs"/>
          <w:sz w:val="26"/>
          <w:szCs w:val="26"/>
          <w:rtl/>
        </w:rPr>
        <w:t xml:space="preserve">معدلات معرفة القراءة والكتابة بين </w:t>
      </w:r>
      <w:r w:rsidR="001C730A" w:rsidRPr="00CD611E">
        <w:rPr>
          <w:rFonts w:hint="cs"/>
          <w:sz w:val="26"/>
          <w:szCs w:val="26"/>
          <w:rtl/>
        </w:rPr>
        <w:t>النساء والرجال</w:t>
      </w:r>
      <w:r w:rsidRPr="00CD611E">
        <w:rPr>
          <w:rFonts w:hint="cs"/>
          <w:sz w:val="26"/>
          <w:szCs w:val="26"/>
          <w:rtl/>
        </w:rPr>
        <w:t xml:space="preserve"> 15 سنة فأكثر، 2001-201</w:t>
      </w:r>
      <w:r w:rsidR="002D3D68" w:rsidRPr="00CD611E">
        <w:rPr>
          <w:rFonts w:hint="cs"/>
          <w:sz w:val="26"/>
          <w:szCs w:val="26"/>
          <w:rtl/>
        </w:rPr>
        <w:t>3</w:t>
      </w:r>
    </w:p>
    <w:p w:rsidR="00CD611E" w:rsidRPr="00CD611E" w:rsidRDefault="00CD611E" w:rsidP="00CD611E">
      <w:pPr>
        <w:rPr>
          <w:rtl/>
          <w:lang w:eastAsia="ar-SA"/>
        </w:rPr>
      </w:pPr>
    </w:p>
    <w:p w:rsidR="00DE575B" w:rsidRPr="00AC0EB2" w:rsidRDefault="002E3318" w:rsidP="00CD611E">
      <w:pPr>
        <w:tabs>
          <w:tab w:val="left" w:pos="-213"/>
          <w:tab w:val="left" w:pos="6330"/>
        </w:tabs>
        <w:ind w:left="-213" w:right="-142"/>
        <w:jc w:val="center"/>
        <w:rPr>
          <w:rFonts w:cs="Simplified Arabic"/>
          <w:b/>
          <w:bCs/>
          <w:sz w:val="6"/>
          <w:szCs w:val="6"/>
          <w:rtl/>
        </w:rPr>
      </w:pPr>
      <w:r>
        <w:rPr>
          <w:rFonts w:cs="Simplified Arabic" w:hint="cs"/>
          <w:b/>
          <w:bCs/>
          <w:noProof/>
          <w:rtl/>
        </w:rPr>
        <w:drawing>
          <wp:inline distT="0" distB="0" distL="0" distR="0">
            <wp:extent cx="3391786" cy="1860697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A5A7F" w:rsidRDefault="005A5A7F" w:rsidP="000F0F50">
      <w:pPr>
        <w:tabs>
          <w:tab w:val="left" w:pos="-213"/>
          <w:tab w:val="left" w:pos="6330"/>
        </w:tabs>
        <w:ind w:left="-213" w:right="-142"/>
        <w:rPr>
          <w:rFonts w:cs="Simplified Arabic"/>
          <w:b/>
          <w:bCs/>
          <w:rtl/>
        </w:rPr>
      </w:pPr>
    </w:p>
    <w:p w:rsidR="00CD033F" w:rsidRDefault="00CD033F" w:rsidP="000F0F50">
      <w:pPr>
        <w:tabs>
          <w:tab w:val="left" w:pos="-213"/>
          <w:tab w:val="left" w:pos="6330"/>
        </w:tabs>
        <w:ind w:left="-213" w:right="-142"/>
        <w:rPr>
          <w:rFonts w:cs="Simplified Arabic"/>
          <w:b/>
          <w:bCs/>
          <w:rtl/>
        </w:rPr>
      </w:pPr>
    </w:p>
    <w:p w:rsidR="00CD033F" w:rsidRDefault="00CD033F" w:rsidP="000F0F50">
      <w:pPr>
        <w:tabs>
          <w:tab w:val="left" w:pos="-213"/>
          <w:tab w:val="left" w:pos="6330"/>
        </w:tabs>
        <w:ind w:left="-213" w:right="-142"/>
        <w:rPr>
          <w:rFonts w:cs="Simplified Arabic"/>
          <w:b/>
          <w:bCs/>
          <w:rtl/>
        </w:rPr>
      </w:pPr>
    </w:p>
    <w:p w:rsidR="00DA3DE2" w:rsidRPr="005A5A7F" w:rsidRDefault="00140016" w:rsidP="001C730A">
      <w:pPr>
        <w:tabs>
          <w:tab w:val="left" w:pos="-213"/>
          <w:tab w:val="left" w:pos="6330"/>
        </w:tabs>
        <w:ind w:left="-213" w:right="-142"/>
        <w:rPr>
          <w:rFonts w:cs="Simplified Arabic"/>
          <w:b/>
          <w:bCs/>
          <w:sz w:val="26"/>
          <w:szCs w:val="26"/>
          <w:rtl/>
          <w:lang w:eastAsia="ar-SA"/>
        </w:rPr>
      </w:pPr>
      <w:r w:rsidRPr="005A5A7F">
        <w:rPr>
          <w:rFonts w:cs="Simplified Arabic" w:hint="cs"/>
          <w:b/>
          <w:bCs/>
          <w:sz w:val="26"/>
          <w:szCs w:val="26"/>
          <w:rtl/>
        </w:rPr>
        <w:lastRenderedPageBreak/>
        <w:t xml:space="preserve">فجوة في معدل الأجرة اليومية بين </w:t>
      </w:r>
      <w:r w:rsidR="001C730A" w:rsidRPr="005A5A7F">
        <w:rPr>
          <w:rFonts w:cs="Simplified Arabic" w:hint="cs"/>
          <w:b/>
          <w:bCs/>
          <w:sz w:val="26"/>
          <w:szCs w:val="26"/>
          <w:rtl/>
        </w:rPr>
        <w:t>النساء والرجال</w:t>
      </w:r>
    </w:p>
    <w:p w:rsidR="00DA3DE2" w:rsidRPr="005A5A7F" w:rsidRDefault="00140016" w:rsidP="00CF35FF">
      <w:pPr>
        <w:pStyle w:val="Heading3"/>
        <w:jc w:val="lowKashida"/>
        <w:rPr>
          <w:b w:val="0"/>
          <w:bCs w:val="0"/>
          <w:rtl/>
        </w:rPr>
      </w:pPr>
      <w:r w:rsidRPr="005A5A7F">
        <w:rPr>
          <w:rFonts w:hint="cs"/>
          <w:b w:val="0"/>
          <w:bCs w:val="0"/>
          <w:rtl/>
        </w:rPr>
        <w:t>بلغت</w:t>
      </w:r>
      <w:r w:rsidR="00DA3DE2" w:rsidRPr="005A5A7F">
        <w:rPr>
          <w:rFonts w:hint="cs"/>
          <w:b w:val="0"/>
          <w:bCs w:val="0"/>
          <w:rtl/>
        </w:rPr>
        <w:t xml:space="preserve"> نسبة مشاركة </w:t>
      </w:r>
      <w:r w:rsidR="00802FBC" w:rsidRPr="005A5A7F">
        <w:rPr>
          <w:rFonts w:hint="cs"/>
          <w:b w:val="0"/>
          <w:bCs w:val="0"/>
          <w:rtl/>
        </w:rPr>
        <w:t>الإناث</w:t>
      </w:r>
      <w:r w:rsidR="00DA3DE2" w:rsidRPr="005A5A7F">
        <w:rPr>
          <w:rFonts w:hint="cs"/>
          <w:b w:val="0"/>
          <w:bCs w:val="0"/>
          <w:rtl/>
        </w:rPr>
        <w:t xml:space="preserve"> في القوى العاملة 17.3% من مجمل الإناث في سن العمل في العام </w:t>
      </w:r>
      <w:r w:rsidR="00DA3DE2" w:rsidRPr="005A5A7F">
        <w:rPr>
          <w:b w:val="0"/>
          <w:bCs w:val="0"/>
        </w:rPr>
        <w:t>2013</w:t>
      </w:r>
      <w:r w:rsidR="00DA3DE2" w:rsidRPr="005A5A7F">
        <w:rPr>
          <w:rFonts w:hint="cs"/>
          <w:b w:val="0"/>
          <w:bCs w:val="0"/>
          <w:rtl/>
        </w:rPr>
        <w:t xml:space="preserve"> مقابل 10.3% في العام 2001.  وما زالت مشاركة </w:t>
      </w:r>
      <w:r w:rsidR="00802FBC" w:rsidRPr="005A5A7F">
        <w:rPr>
          <w:rFonts w:hint="cs"/>
          <w:b w:val="0"/>
          <w:bCs w:val="0"/>
          <w:rtl/>
        </w:rPr>
        <w:t>الذكور</w:t>
      </w:r>
      <w:r w:rsidR="00DA3DE2" w:rsidRPr="005A5A7F">
        <w:rPr>
          <w:rFonts w:hint="cs"/>
          <w:b w:val="0"/>
          <w:bCs w:val="0"/>
          <w:rtl/>
        </w:rPr>
        <w:t xml:space="preserve"> تزيد بحوالي 4 أضعاف مشاركة </w:t>
      </w:r>
      <w:r w:rsidR="00802FBC" w:rsidRPr="005A5A7F">
        <w:rPr>
          <w:rFonts w:hint="cs"/>
          <w:b w:val="0"/>
          <w:bCs w:val="0"/>
          <w:rtl/>
        </w:rPr>
        <w:t>الإناث</w:t>
      </w:r>
      <w:r w:rsidR="0073301E" w:rsidRPr="005A5A7F">
        <w:rPr>
          <w:rFonts w:hint="cs"/>
          <w:b w:val="0"/>
          <w:bCs w:val="0"/>
          <w:rtl/>
        </w:rPr>
        <w:t>،</w:t>
      </w:r>
      <w:r w:rsidR="00DA3DE2" w:rsidRPr="005A5A7F">
        <w:rPr>
          <w:rFonts w:hint="cs"/>
          <w:b w:val="0"/>
          <w:bCs w:val="0"/>
          <w:rtl/>
        </w:rPr>
        <w:t xml:space="preserve"> </w:t>
      </w:r>
      <w:r w:rsidR="00B53634" w:rsidRPr="005A5A7F">
        <w:rPr>
          <w:rFonts w:hint="cs"/>
          <w:b w:val="0"/>
          <w:bCs w:val="0"/>
          <w:rtl/>
        </w:rPr>
        <w:t xml:space="preserve">مع وجود فجوة </w:t>
      </w:r>
      <w:r w:rsidR="00DA3DE2" w:rsidRPr="005A5A7F">
        <w:rPr>
          <w:rFonts w:hint="cs"/>
          <w:b w:val="0"/>
          <w:bCs w:val="0"/>
          <w:rtl/>
        </w:rPr>
        <w:t xml:space="preserve">في معدلات الأجرة اليومية بين </w:t>
      </w:r>
      <w:r w:rsidR="00802FBC" w:rsidRPr="005A5A7F">
        <w:rPr>
          <w:rFonts w:hint="cs"/>
          <w:b w:val="0"/>
          <w:bCs w:val="0"/>
          <w:rtl/>
        </w:rPr>
        <w:t>الإناث والذكور</w:t>
      </w:r>
      <w:r w:rsidR="00CF35FF" w:rsidRPr="005A5A7F">
        <w:rPr>
          <w:rFonts w:hint="cs"/>
          <w:b w:val="0"/>
          <w:bCs w:val="0"/>
          <w:rtl/>
        </w:rPr>
        <w:t>،</w:t>
      </w:r>
      <w:r w:rsidR="00802FBC" w:rsidRPr="005A5A7F">
        <w:rPr>
          <w:rFonts w:hint="cs"/>
          <w:b w:val="0"/>
          <w:bCs w:val="0"/>
          <w:rtl/>
        </w:rPr>
        <w:t xml:space="preserve"> </w:t>
      </w:r>
      <w:r w:rsidR="00DA3DE2" w:rsidRPr="005A5A7F">
        <w:rPr>
          <w:rFonts w:hint="cs"/>
          <w:b w:val="0"/>
          <w:bCs w:val="0"/>
          <w:rtl/>
        </w:rPr>
        <w:t xml:space="preserve">حيث </w:t>
      </w:r>
      <w:r w:rsidR="00D73419" w:rsidRPr="005A5A7F">
        <w:rPr>
          <w:rFonts w:hint="cs"/>
          <w:b w:val="0"/>
          <w:bCs w:val="0"/>
          <w:rtl/>
        </w:rPr>
        <w:t>بلغ معدل</w:t>
      </w:r>
      <w:r w:rsidR="00DA3DE2" w:rsidRPr="005A5A7F">
        <w:rPr>
          <w:rFonts w:hint="cs"/>
          <w:b w:val="0"/>
          <w:bCs w:val="0"/>
          <w:rtl/>
        </w:rPr>
        <w:t xml:space="preserve"> الأجر اليومي </w:t>
      </w:r>
      <w:r w:rsidR="00802FBC" w:rsidRPr="005A5A7F">
        <w:rPr>
          <w:rFonts w:hint="cs"/>
          <w:b w:val="0"/>
          <w:bCs w:val="0"/>
          <w:rtl/>
        </w:rPr>
        <w:t>للإناث</w:t>
      </w:r>
      <w:r w:rsidR="00D73419" w:rsidRPr="005A5A7F">
        <w:rPr>
          <w:rFonts w:hint="cs"/>
          <w:b w:val="0"/>
          <w:bCs w:val="0"/>
          <w:rtl/>
        </w:rPr>
        <w:t xml:space="preserve"> 81.2</w:t>
      </w:r>
      <w:r w:rsidR="00DA3DE2" w:rsidRPr="005A5A7F">
        <w:rPr>
          <w:rFonts w:hint="cs"/>
          <w:b w:val="0"/>
          <w:bCs w:val="0"/>
          <w:rtl/>
        </w:rPr>
        <w:t xml:space="preserve"> </w:t>
      </w:r>
      <w:r w:rsidR="00D73419" w:rsidRPr="005A5A7F">
        <w:rPr>
          <w:rFonts w:hint="cs"/>
          <w:b w:val="0"/>
          <w:bCs w:val="0"/>
          <w:rtl/>
        </w:rPr>
        <w:t>شيقل وعند</w:t>
      </w:r>
      <w:r w:rsidR="00DA3DE2" w:rsidRPr="005A5A7F">
        <w:rPr>
          <w:rFonts w:hint="cs"/>
          <w:b w:val="0"/>
          <w:bCs w:val="0"/>
          <w:rtl/>
        </w:rPr>
        <w:t xml:space="preserve"> </w:t>
      </w:r>
      <w:r w:rsidR="00CF35FF" w:rsidRPr="005A5A7F">
        <w:rPr>
          <w:rFonts w:hint="cs"/>
          <w:b w:val="0"/>
          <w:bCs w:val="0"/>
          <w:rtl/>
        </w:rPr>
        <w:t>ا</w:t>
      </w:r>
      <w:r w:rsidR="00802FBC" w:rsidRPr="005A5A7F">
        <w:rPr>
          <w:rFonts w:hint="cs"/>
          <w:b w:val="0"/>
          <w:bCs w:val="0"/>
          <w:rtl/>
        </w:rPr>
        <w:t>لذكور</w:t>
      </w:r>
      <w:r w:rsidR="00D73419" w:rsidRPr="005A5A7F">
        <w:rPr>
          <w:rFonts w:hint="cs"/>
          <w:b w:val="0"/>
          <w:bCs w:val="0"/>
          <w:rtl/>
        </w:rPr>
        <w:t xml:space="preserve"> 100.1 شيقل</w:t>
      </w:r>
      <w:r w:rsidR="00DA3DE2" w:rsidRPr="005A5A7F">
        <w:rPr>
          <w:rFonts w:hint="cs"/>
          <w:b w:val="0"/>
          <w:bCs w:val="0"/>
          <w:rtl/>
        </w:rPr>
        <w:t xml:space="preserve"> </w:t>
      </w:r>
      <w:r w:rsidR="00802FBC" w:rsidRPr="005A5A7F">
        <w:rPr>
          <w:rFonts w:hint="cs"/>
          <w:b w:val="0"/>
          <w:bCs w:val="0"/>
          <w:rtl/>
        </w:rPr>
        <w:t xml:space="preserve">في </w:t>
      </w:r>
      <w:r w:rsidR="00D73419" w:rsidRPr="005A5A7F">
        <w:rPr>
          <w:rFonts w:hint="cs"/>
          <w:b w:val="0"/>
          <w:bCs w:val="0"/>
          <w:rtl/>
        </w:rPr>
        <w:t>ال</w:t>
      </w:r>
      <w:r w:rsidR="00DA3DE2" w:rsidRPr="005A5A7F">
        <w:rPr>
          <w:rFonts w:hint="cs"/>
          <w:b w:val="0"/>
          <w:bCs w:val="0"/>
          <w:rtl/>
        </w:rPr>
        <w:t>عام 2013.</w:t>
      </w:r>
    </w:p>
    <w:p w:rsidR="008156A3" w:rsidRPr="00CE24BB" w:rsidRDefault="008156A3" w:rsidP="008156A3">
      <w:pPr>
        <w:rPr>
          <w:sz w:val="16"/>
          <w:szCs w:val="16"/>
          <w:rtl/>
          <w:lang w:eastAsia="ar-SA"/>
        </w:rPr>
      </w:pPr>
    </w:p>
    <w:p w:rsidR="00DA3DE2" w:rsidRPr="00CD611E" w:rsidRDefault="00DA3DE2" w:rsidP="00CD611E">
      <w:pPr>
        <w:pStyle w:val="Heading3"/>
        <w:jc w:val="center"/>
        <w:rPr>
          <w:sz w:val="26"/>
          <w:szCs w:val="26"/>
          <w:rtl/>
        </w:rPr>
      </w:pPr>
      <w:r w:rsidRPr="00CD611E">
        <w:rPr>
          <w:rFonts w:hint="cs"/>
          <w:sz w:val="26"/>
          <w:szCs w:val="26"/>
          <w:rtl/>
        </w:rPr>
        <w:t xml:space="preserve">نسبة المشاركة في القوى العاملة </w:t>
      </w:r>
      <w:r w:rsidR="001C730A" w:rsidRPr="00CD611E">
        <w:rPr>
          <w:rFonts w:hint="cs"/>
          <w:sz w:val="26"/>
          <w:szCs w:val="26"/>
          <w:rtl/>
        </w:rPr>
        <w:t xml:space="preserve">عند النساء والرجال </w:t>
      </w:r>
      <w:r w:rsidRPr="00CD611E">
        <w:rPr>
          <w:rFonts w:hint="cs"/>
          <w:sz w:val="26"/>
          <w:szCs w:val="26"/>
          <w:rtl/>
        </w:rPr>
        <w:t>15 سنة</w:t>
      </w:r>
      <w:r w:rsidR="00CD611E" w:rsidRPr="00CD611E">
        <w:rPr>
          <w:rFonts w:hint="cs"/>
          <w:sz w:val="26"/>
          <w:szCs w:val="26"/>
          <w:rtl/>
        </w:rPr>
        <w:t xml:space="preserve"> فأكثر، 2001-</w:t>
      </w:r>
      <w:r w:rsidR="00CD611E" w:rsidRPr="00CD611E">
        <w:rPr>
          <w:sz w:val="26"/>
          <w:szCs w:val="26"/>
        </w:rPr>
        <w:t xml:space="preserve"> </w:t>
      </w:r>
      <w:r w:rsidR="00CD611E" w:rsidRPr="00CD611E">
        <w:rPr>
          <w:rFonts w:hint="cs"/>
          <w:sz w:val="26"/>
          <w:szCs w:val="26"/>
          <w:rtl/>
        </w:rPr>
        <w:t>2013</w:t>
      </w:r>
    </w:p>
    <w:p w:rsidR="00CD611E" w:rsidRPr="00CD611E" w:rsidRDefault="00CD611E" w:rsidP="00CD611E">
      <w:pPr>
        <w:rPr>
          <w:rtl/>
          <w:lang w:eastAsia="ar-SA"/>
        </w:rPr>
      </w:pPr>
    </w:p>
    <w:p w:rsidR="00EA5F13" w:rsidRDefault="00EA5F13" w:rsidP="00CD611E">
      <w:pPr>
        <w:widowControl w:val="0"/>
        <w:jc w:val="center"/>
        <w:rPr>
          <w:rFonts w:cs="Simplified Arabic"/>
          <w:b/>
          <w:bCs/>
          <w:noProof/>
          <w:rtl/>
        </w:rPr>
      </w:pPr>
      <w:r>
        <w:rPr>
          <w:rFonts w:cs="Simplified Arabic" w:hint="cs"/>
          <w:b/>
          <w:bCs/>
          <w:noProof/>
          <w:rtl/>
        </w:rPr>
        <w:drawing>
          <wp:inline distT="0" distB="0" distL="0" distR="0">
            <wp:extent cx="3221665" cy="1690577"/>
            <wp:effectExtent l="0" t="0" r="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E24BB" w:rsidRPr="00672DBA" w:rsidRDefault="00CE24BB" w:rsidP="005070EA">
      <w:pPr>
        <w:widowControl w:val="0"/>
        <w:jc w:val="both"/>
        <w:rPr>
          <w:rFonts w:cs="Simplified Arabic"/>
          <w:b/>
          <w:bCs/>
          <w:sz w:val="12"/>
          <w:szCs w:val="12"/>
          <w:rtl/>
        </w:rPr>
      </w:pPr>
    </w:p>
    <w:p w:rsidR="00DA3DE2" w:rsidRPr="00CD611E" w:rsidRDefault="005070EA" w:rsidP="00387DE6">
      <w:pPr>
        <w:widowControl w:val="0"/>
        <w:jc w:val="both"/>
        <w:rPr>
          <w:rFonts w:cs="Simplified Arabic"/>
          <w:b/>
          <w:bCs/>
          <w:sz w:val="26"/>
          <w:szCs w:val="26"/>
        </w:rPr>
      </w:pPr>
      <w:r w:rsidRPr="00CD611E">
        <w:rPr>
          <w:rFonts w:cs="Simplified Arabic" w:hint="cs"/>
          <w:b/>
          <w:bCs/>
          <w:sz w:val="26"/>
          <w:szCs w:val="26"/>
          <w:rtl/>
        </w:rPr>
        <w:t>حوالي نصف العاطلات عن العمل</w:t>
      </w:r>
      <w:r w:rsidR="00387DE6" w:rsidRPr="00CD611E">
        <w:rPr>
          <w:rFonts w:cs="Simplified Arabic" w:hint="cs"/>
          <w:b/>
          <w:bCs/>
          <w:sz w:val="26"/>
          <w:szCs w:val="26"/>
          <w:rtl/>
        </w:rPr>
        <w:t xml:space="preserve"> من</w:t>
      </w:r>
      <w:r w:rsidRPr="00CD611E">
        <w:rPr>
          <w:rFonts w:hint="cs"/>
          <w:sz w:val="26"/>
          <w:szCs w:val="26"/>
          <w:rtl/>
        </w:rPr>
        <w:t xml:space="preserve"> </w:t>
      </w:r>
      <w:r w:rsidRPr="00CD611E">
        <w:rPr>
          <w:rFonts w:cs="Simplified Arabic" w:hint="cs"/>
          <w:b/>
          <w:bCs/>
          <w:sz w:val="26"/>
          <w:szCs w:val="26"/>
          <w:rtl/>
        </w:rPr>
        <w:t>الحاصلات على 13 سنة دراسية فأكثر</w:t>
      </w:r>
    </w:p>
    <w:p w:rsidR="00DA3DE2" w:rsidRPr="005A5A7F" w:rsidRDefault="00F13C0C" w:rsidP="00BE5868">
      <w:pPr>
        <w:pStyle w:val="BodyText"/>
        <w:jc w:val="both"/>
        <w:rPr>
          <w:rtl/>
        </w:rPr>
      </w:pPr>
      <w:r w:rsidRPr="005A5A7F">
        <w:rPr>
          <w:rFonts w:hint="cs"/>
          <w:rtl/>
        </w:rPr>
        <w:t>بلغ معدل البطالة عند الإناث</w:t>
      </w:r>
      <w:r w:rsidR="00DA3DE2" w:rsidRPr="005A5A7F">
        <w:rPr>
          <w:rFonts w:hint="cs"/>
          <w:rtl/>
        </w:rPr>
        <w:t xml:space="preserve"> 35.0% </w:t>
      </w:r>
      <w:r w:rsidR="002F45C2" w:rsidRPr="005A5A7F">
        <w:rPr>
          <w:rFonts w:hint="cs"/>
          <w:rtl/>
        </w:rPr>
        <w:t>في ا</w:t>
      </w:r>
      <w:r w:rsidRPr="005A5A7F">
        <w:rPr>
          <w:rFonts w:hint="cs"/>
          <w:rtl/>
        </w:rPr>
        <w:t>ل</w:t>
      </w:r>
      <w:r w:rsidR="00DA3DE2" w:rsidRPr="005A5A7F">
        <w:rPr>
          <w:rFonts w:hint="cs"/>
          <w:rtl/>
        </w:rPr>
        <w:t xml:space="preserve">عام 2013 في حين كان 13.8% </w:t>
      </w:r>
      <w:r w:rsidR="00BE5868" w:rsidRPr="005A5A7F">
        <w:rPr>
          <w:rFonts w:hint="cs"/>
          <w:rtl/>
        </w:rPr>
        <w:t>العام</w:t>
      </w:r>
      <w:r w:rsidR="00DA3DE2" w:rsidRPr="005A5A7F">
        <w:rPr>
          <w:rFonts w:hint="cs"/>
          <w:rtl/>
        </w:rPr>
        <w:t xml:space="preserve"> 2001</w:t>
      </w:r>
      <w:r w:rsidR="002F45C2" w:rsidRPr="005A5A7F">
        <w:rPr>
          <w:rFonts w:hint="cs"/>
          <w:rtl/>
        </w:rPr>
        <w:t xml:space="preserve"> في المقابل بلغت هذه النسبة 20.6% عند الذكور في </w:t>
      </w:r>
      <w:r w:rsidR="006A1A17" w:rsidRPr="005A5A7F">
        <w:rPr>
          <w:rFonts w:hint="cs"/>
          <w:rtl/>
        </w:rPr>
        <w:t>ال</w:t>
      </w:r>
      <w:r w:rsidR="002F45C2" w:rsidRPr="005A5A7F">
        <w:rPr>
          <w:rFonts w:hint="cs"/>
          <w:rtl/>
        </w:rPr>
        <w:t>عام 2013</w:t>
      </w:r>
      <w:r w:rsidR="00DA3DE2" w:rsidRPr="005A5A7F">
        <w:rPr>
          <w:rFonts w:hint="cs"/>
          <w:rtl/>
        </w:rPr>
        <w:t xml:space="preserve">.  الجدير بالذكر أن معدلات البطالة بين </w:t>
      </w:r>
      <w:r w:rsidR="006A1A17" w:rsidRPr="005A5A7F">
        <w:rPr>
          <w:rFonts w:hint="cs"/>
          <w:rtl/>
        </w:rPr>
        <w:t>الإناث</w:t>
      </w:r>
      <w:r w:rsidR="00DA3DE2" w:rsidRPr="005A5A7F">
        <w:rPr>
          <w:rFonts w:hint="cs"/>
          <w:rtl/>
        </w:rPr>
        <w:t xml:space="preserve"> كانت الأعلى بين </w:t>
      </w:r>
      <w:r w:rsidR="006A1A17" w:rsidRPr="005A5A7F">
        <w:rPr>
          <w:rFonts w:hint="cs"/>
          <w:rtl/>
        </w:rPr>
        <w:t>الإناث</w:t>
      </w:r>
      <w:r w:rsidR="00DA3DE2" w:rsidRPr="005A5A7F">
        <w:rPr>
          <w:rFonts w:hint="cs"/>
          <w:rtl/>
        </w:rPr>
        <w:t xml:space="preserve"> الحاصلات على 13 سنة دراسية فأعلى</w:t>
      </w:r>
      <w:r w:rsidR="006A1A17" w:rsidRPr="005A5A7F">
        <w:rPr>
          <w:rFonts w:hint="cs"/>
          <w:rtl/>
        </w:rPr>
        <w:t xml:space="preserve"> حيث بلغت</w:t>
      </w:r>
      <w:r w:rsidR="00DA3DE2" w:rsidRPr="005A5A7F">
        <w:rPr>
          <w:rFonts w:hint="cs"/>
          <w:rtl/>
        </w:rPr>
        <w:t xml:space="preserve"> 47.0% في </w:t>
      </w:r>
      <w:r w:rsidR="006A1A17" w:rsidRPr="005A5A7F">
        <w:rPr>
          <w:rFonts w:hint="cs"/>
          <w:rtl/>
        </w:rPr>
        <w:t>ال</w:t>
      </w:r>
      <w:r w:rsidR="00DA3DE2" w:rsidRPr="005A5A7F">
        <w:rPr>
          <w:rFonts w:hint="cs"/>
          <w:rtl/>
        </w:rPr>
        <w:t>عام 2013.</w:t>
      </w:r>
    </w:p>
    <w:p w:rsidR="008156A3" w:rsidRPr="00672DBA" w:rsidRDefault="008156A3" w:rsidP="00DA3DE2">
      <w:pPr>
        <w:pStyle w:val="BodyText"/>
        <w:jc w:val="both"/>
        <w:rPr>
          <w:sz w:val="12"/>
          <w:szCs w:val="12"/>
          <w:rtl/>
        </w:rPr>
      </w:pPr>
    </w:p>
    <w:p w:rsidR="00DA3DE2" w:rsidRPr="00CD611E" w:rsidRDefault="00DA3DE2" w:rsidP="00D6006E">
      <w:pPr>
        <w:pStyle w:val="Heading3"/>
        <w:jc w:val="center"/>
        <w:rPr>
          <w:sz w:val="26"/>
          <w:szCs w:val="26"/>
          <w:rtl/>
        </w:rPr>
      </w:pPr>
      <w:r w:rsidRPr="00CD611E">
        <w:rPr>
          <w:rFonts w:hint="cs"/>
          <w:sz w:val="26"/>
          <w:szCs w:val="26"/>
          <w:rtl/>
        </w:rPr>
        <w:t xml:space="preserve">معدل البطالة بين </w:t>
      </w:r>
      <w:r w:rsidR="00D6006E" w:rsidRPr="00CD611E">
        <w:rPr>
          <w:rFonts w:hint="cs"/>
          <w:sz w:val="26"/>
          <w:szCs w:val="26"/>
          <w:rtl/>
        </w:rPr>
        <w:t xml:space="preserve">النساء والرجال </w:t>
      </w:r>
      <w:r w:rsidRPr="00CD611E">
        <w:rPr>
          <w:rFonts w:hint="cs"/>
          <w:sz w:val="26"/>
          <w:szCs w:val="26"/>
          <w:rtl/>
        </w:rPr>
        <w:t xml:space="preserve">المشاركين في القوى العاملة 15 سنة </w:t>
      </w:r>
      <w:proofErr w:type="spellStart"/>
      <w:r w:rsidRPr="00CD611E">
        <w:rPr>
          <w:rFonts w:hint="cs"/>
          <w:sz w:val="26"/>
          <w:szCs w:val="26"/>
          <w:rtl/>
        </w:rPr>
        <w:t>فأكثر،</w:t>
      </w:r>
      <w:proofErr w:type="spellEnd"/>
      <w:r w:rsidRPr="00CD611E">
        <w:rPr>
          <w:rFonts w:hint="cs"/>
          <w:sz w:val="26"/>
          <w:szCs w:val="26"/>
          <w:rtl/>
        </w:rPr>
        <w:t xml:space="preserve"> </w:t>
      </w:r>
      <w:proofErr w:type="spellStart"/>
      <w:r w:rsidRPr="00CD611E">
        <w:rPr>
          <w:rFonts w:hint="cs"/>
          <w:sz w:val="26"/>
          <w:szCs w:val="26"/>
          <w:rtl/>
        </w:rPr>
        <w:t>2001-</w:t>
      </w:r>
      <w:proofErr w:type="spellEnd"/>
      <w:r w:rsidRPr="00CD611E">
        <w:rPr>
          <w:sz w:val="26"/>
          <w:szCs w:val="26"/>
        </w:rPr>
        <w:t xml:space="preserve"> </w:t>
      </w:r>
      <w:r w:rsidRPr="00CD611E">
        <w:rPr>
          <w:rFonts w:hint="cs"/>
          <w:sz w:val="26"/>
          <w:szCs w:val="26"/>
          <w:rtl/>
        </w:rPr>
        <w:t>2013</w:t>
      </w:r>
    </w:p>
    <w:p w:rsidR="00CD611E" w:rsidRPr="00CD611E" w:rsidRDefault="00CD611E" w:rsidP="00CD611E">
      <w:pPr>
        <w:rPr>
          <w:rtl/>
          <w:lang w:eastAsia="ar-SA"/>
        </w:rPr>
      </w:pPr>
    </w:p>
    <w:p w:rsidR="005D6F95" w:rsidRDefault="00390EDD" w:rsidP="00CD611E">
      <w:pPr>
        <w:jc w:val="center"/>
      </w:pPr>
      <w:r>
        <w:rPr>
          <w:noProof/>
        </w:rPr>
        <w:drawing>
          <wp:inline distT="0" distB="0" distL="0" distR="0">
            <wp:extent cx="3115339" cy="1679944"/>
            <wp:effectExtent l="0" t="0" r="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C60BF" w:rsidRPr="00EF701E" w:rsidRDefault="007C60BF" w:rsidP="00472443">
      <w:pPr>
        <w:ind w:left="27" w:right="142"/>
        <w:jc w:val="both"/>
        <w:rPr>
          <w:rFonts w:cs="Simplified Arabic"/>
          <w:b/>
          <w:bCs/>
          <w:sz w:val="2"/>
          <w:szCs w:val="2"/>
          <w:rtl/>
        </w:rPr>
      </w:pPr>
    </w:p>
    <w:p w:rsidR="000F0F50" w:rsidRDefault="000F0F50" w:rsidP="008401CE">
      <w:pPr>
        <w:rPr>
          <w:rFonts w:cs="Simplified Arabic"/>
          <w:b/>
          <w:bCs/>
          <w:sz w:val="26"/>
          <w:szCs w:val="26"/>
          <w:rtl/>
        </w:rPr>
      </w:pPr>
    </w:p>
    <w:p w:rsidR="00D873B0" w:rsidRPr="00CD611E" w:rsidRDefault="000E2FA3" w:rsidP="008401CE">
      <w:pPr>
        <w:rPr>
          <w:rFonts w:cs="Simplified Arabic"/>
          <w:b/>
          <w:bCs/>
          <w:sz w:val="26"/>
          <w:szCs w:val="26"/>
          <w:rtl/>
        </w:rPr>
      </w:pPr>
      <w:r w:rsidRPr="00CD611E">
        <w:rPr>
          <w:rFonts w:cs="Simplified Arabic" w:hint="cs"/>
          <w:b/>
          <w:bCs/>
          <w:sz w:val="26"/>
          <w:szCs w:val="26"/>
          <w:rtl/>
        </w:rPr>
        <w:t>النساء</w:t>
      </w:r>
      <w:r w:rsidR="00D873B0" w:rsidRPr="00CD611E">
        <w:rPr>
          <w:rFonts w:cs="Simplified Arabic" w:hint="cs"/>
          <w:b/>
          <w:bCs/>
          <w:sz w:val="26"/>
          <w:szCs w:val="26"/>
          <w:rtl/>
        </w:rPr>
        <w:t xml:space="preserve"> والفقر</w:t>
      </w:r>
    </w:p>
    <w:p w:rsidR="00D873B0" w:rsidRPr="005A5A7F" w:rsidRDefault="00D873B0" w:rsidP="00E84ACA">
      <w:pPr>
        <w:ind w:left="27" w:right="142"/>
        <w:jc w:val="both"/>
        <w:rPr>
          <w:rFonts w:ascii="Times New Roman" w:hAnsi="Times New Roman" w:cs="Simplified Arabic"/>
          <w:sz w:val="24"/>
          <w:szCs w:val="24"/>
          <w:rtl/>
        </w:rPr>
      </w:pPr>
      <w:r w:rsidRPr="005A5A7F">
        <w:rPr>
          <w:rFonts w:ascii="Times New Roman" w:hAnsi="Times New Roman" w:cs="Simplified Arabic" w:hint="cs"/>
          <w:sz w:val="24"/>
          <w:szCs w:val="24"/>
          <w:rtl/>
        </w:rPr>
        <w:t>تزيد نسبة الأسر الفقيرة التي ترأسها أنثى في قطاع غزة عن نسبة الأسر الفقيرة التي ترأسها أنثى في الضفة الغربية؛ 29.7% و22.5% على التوالي</w:t>
      </w:r>
      <w:r w:rsidR="00075C9C"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 </w:t>
      </w:r>
      <w:r w:rsidR="00E84ACA" w:rsidRPr="005A5A7F">
        <w:rPr>
          <w:rFonts w:ascii="Times New Roman" w:hAnsi="Times New Roman" w:cs="Simplified Arabic" w:hint="cs"/>
          <w:sz w:val="24"/>
          <w:szCs w:val="24"/>
          <w:rtl/>
        </w:rPr>
        <w:t>ل</w:t>
      </w:r>
      <w:r w:rsidR="00075C9C" w:rsidRPr="005A5A7F">
        <w:rPr>
          <w:rFonts w:ascii="Times New Roman" w:hAnsi="Times New Roman" w:cs="Simplified Arabic" w:hint="cs"/>
          <w:sz w:val="24"/>
          <w:szCs w:val="24"/>
          <w:rtl/>
        </w:rPr>
        <w:t>لعام 2011</w:t>
      </w:r>
      <w:r w:rsidRPr="005A5A7F">
        <w:rPr>
          <w:rFonts w:ascii="Times New Roman" w:hAnsi="Times New Roman" w:cs="Simplified Arabic" w:hint="cs"/>
          <w:sz w:val="24"/>
          <w:szCs w:val="24"/>
          <w:rtl/>
        </w:rPr>
        <w:t>.</w:t>
      </w:r>
    </w:p>
    <w:p w:rsidR="00D873B0" w:rsidRPr="00005E3B" w:rsidRDefault="00D873B0" w:rsidP="00E20407">
      <w:pPr>
        <w:pStyle w:val="Heading3"/>
        <w:jc w:val="center"/>
        <w:rPr>
          <w:sz w:val="18"/>
          <w:szCs w:val="18"/>
        </w:rPr>
      </w:pPr>
    </w:p>
    <w:p w:rsidR="00CD033F" w:rsidRDefault="00CD033F" w:rsidP="00E20407">
      <w:pPr>
        <w:pStyle w:val="Heading3"/>
        <w:jc w:val="center"/>
        <w:rPr>
          <w:sz w:val="26"/>
          <w:szCs w:val="26"/>
          <w:rtl/>
        </w:rPr>
      </w:pPr>
    </w:p>
    <w:p w:rsidR="00E20407" w:rsidRPr="000F0F50" w:rsidRDefault="00CB5188" w:rsidP="00E20407">
      <w:pPr>
        <w:pStyle w:val="Heading3"/>
        <w:jc w:val="center"/>
        <w:rPr>
          <w:sz w:val="26"/>
          <w:szCs w:val="26"/>
          <w:rtl/>
        </w:rPr>
      </w:pPr>
      <w:r w:rsidRPr="000F0F50">
        <w:rPr>
          <w:rFonts w:hint="cs"/>
          <w:sz w:val="26"/>
          <w:szCs w:val="26"/>
          <w:rtl/>
        </w:rPr>
        <w:t xml:space="preserve">نسبة </w:t>
      </w:r>
      <w:r w:rsidR="00E20407" w:rsidRPr="000F0F50">
        <w:rPr>
          <w:rFonts w:hint="cs"/>
          <w:sz w:val="26"/>
          <w:szCs w:val="26"/>
          <w:rtl/>
        </w:rPr>
        <w:t>الأسر الفقيرة حسب جنس رب الأسرة، 2011</w:t>
      </w:r>
    </w:p>
    <w:p w:rsidR="003C7C88" w:rsidRDefault="004C0555" w:rsidP="00CD611E">
      <w:pPr>
        <w:ind w:left="27" w:right="142"/>
        <w:jc w:val="center"/>
        <w:rPr>
          <w:rFonts w:cs="Simplified Arabic"/>
          <w:b/>
          <w:bCs/>
          <w:rtl/>
        </w:rPr>
      </w:pPr>
      <w:r>
        <w:rPr>
          <w:rFonts w:cs="Simplified Arabic"/>
          <w:noProof/>
          <w:sz w:val="20"/>
          <w:szCs w:val="20"/>
        </w:rPr>
        <w:drawing>
          <wp:inline distT="0" distB="0" distL="0" distR="0">
            <wp:extent cx="3094074" cy="1616149"/>
            <wp:effectExtent l="0" t="0" r="0" b="0"/>
            <wp:docPr id="5" name="Objec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E0C71" w:rsidRPr="00FF5B50" w:rsidRDefault="001E0C71" w:rsidP="00C24371">
      <w:pPr>
        <w:ind w:left="27" w:right="142"/>
        <w:jc w:val="both"/>
        <w:rPr>
          <w:rFonts w:cs="Simplified Arabic"/>
          <w:b/>
          <w:bCs/>
          <w:sz w:val="12"/>
          <w:szCs w:val="12"/>
          <w:rtl/>
        </w:rPr>
      </w:pPr>
    </w:p>
    <w:p w:rsidR="005A5A7F" w:rsidRDefault="005A5A7F" w:rsidP="00410687">
      <w:pPr>
        <w:ind w:firstLine="30"/>
        <w:rPr>
          <w:rFonts w:cs="Simplified Arabic"/>
          <w:b/>
          <w:bCs/>
          <w:sz w:val="26"/>
          <w:szCs w:val="26"/>
          <w:rtl/>
        </w:rPr>
      </w:pPr>
    </w:p>
    <w:p w:rsidR="00CD27D5" w:rsidRPr="005A5A7F" w:rsidRDefault="009B5811" w:rsidP="00410687">
      <w:pPr>
        <w:ind w:firstLine="30"/>
        <w:rPr>
          <w:rFonts w:cs="Simplified Arabic"/>
          <w:b/>
          <w:bCs/>
          <w:sz w:val="26"/>
          <w:szCs w:val="26"/>
          <w:rtl/>
        </w:rPr>
      </w:pPr>
      <w:r w:rsidRPr="005A5A7F">
        <w:rPr>
          <w:rFonts w:cs="Simplified Arabic" w:hint="cs"/>
          <w:b/>
          <w:bCs/>
          <w:sz w:val="26"/>
          <w:szCs w:val="26"/>
          <w:rtl/>
        </w:rPr>
        <w:t xml:space="preserve">ارتفاع في عدد </w:t>
      </w:r>
      <w:r w:rsidR="00410687" w:rsidRPr="005A5A7F">
        <w:rPr>
          <w:rFonts w:cs="Simplified Arabic" w:hint="cs"/>
          <w:b/>
          <w:bCs/>
          <w:sz w:val="26"/>
          <w:szCs w:val="26"/>
          <w:rtl/>
        </w:rPr>
        <w:t>أ</w:t>
      </w:r>
      <w:r w:rsidRPr="005A5A7F">
        <w:rPr>
          <w:rFonts w:cs="Simplified Arabic" w:hint="cs"/>
          <w:b/>
          <w:bCs/>
          <w:sz w:val="26"/>
          <w:szCs w:val="26"/>
          <w:rtl/>
        </w:rPr>
        <w:t>ح</w:t>
      </w:r>
      <w:r w:rsidR="00410687" w:rsidRPr="005A5A7F">
        <w:rPr>
          <w:rFonts w:cs="Simplified Arabic" w:hint="cs"/>
          <w:b/>
          <w:bCs/>
          <w:sz w:val="26"/>
          <w:szCs w:val="26"/>
          <w:rtl/>
        </w:rPr>
        <w:t>داث</w:t>
      </w:r>
      <w:r w:rsidRPr="005A5A7F">
        <w:rPr>
          <w:rFonts w:cs="Simplified Arabic" w:hint="cs"/>
          <w:b/>
          <w:bCs/>
          <w:sz w:val="26"/>
          <w:szCs w:val="26"/>
          <w:rtl/>
        </w:rPr>
        <w:t xml:space="preserve"> القتل ضد النساء</w:t>
      </w:r>
    </w:p>
    <w:p w:rsidR="00CD27D5" w:rsidRPr="005A5A7F" w:rsidRDefault="00CD27D5" w:rsidP="00D476A3">
      <w:pPr>
        <w:ind w:left="27" w:right="142"/>
        <w:jc w:val="both"/>
        <w:rPr>
          <w:rFonts w:ascii="Times New Roman" w:hAnsi="Times New Roman" w:cs="Simplified Arabic"/>
          <w:sz w:val="24"/>
          <w:szCs w:val="24"/>
          <w:rtl/>
        </w:rPr>
      </w:pPr>
      <w:r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وفقاً لمركز المرأة للإرشاد القانوني والاجتماعي فهناك </w:t>
      </w:r>
      <w:r w:rsidR="00B07939" w:rsidRPr="005A5A7F">
        <w:rPr>
          <w:rFonts w:ascii="Times New Roman" w:hAnsi="Times New Roman" w:cs="Simplified Arabic"/>
          <w:sz w:val="24"/>
          <w:szCs w:val="24"/>
        </w:rPr>
        <w:t>2</w:t>
      </w:r>
      <w:r w:rsidR="00D476A3" w:rsidRPr="005A5A7F">
        <w:rPr>
          <w:rFonts w:ascii="Times New Roman" w:hAnsi="Times New Roman" w:cs="Simplified Arabic"/>
          <w:sz w:val="24"/>
          <w:szCs w:val="24"/>
        </w:rPr>
        <w:t>7</w:t>
      </w:r>
      <w:r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 </w:t>
      </w:r>
      <w:r w:rsidR="009B5811" w:rsidRPr="005A5A7F">
        <w:rPr>
          <w:rFonts w:ascii="Times New Roman" w:hAnsi="Times New Roman" w:cs="Simplified Arabic" w:hint="cs"/>
          <w:sz w:val="24"/>
          <w:szCs w:val="24"/>
          <w:rtl/>
        </w:rPr>
        <w:t>أنثى تعرضت للقتل</w:t>
      </w:r>
      <w:r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 </w:t>
      </w:r>
      <w:r w:rsidR="003D3485"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في فلسطين </w:t>
      </w:r>
      <w:r w:rsidR="00D91E6F"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خلال عام </w:t>
      </w:r>
      <w:r w:rsidR="00D91E6F" w:rsidRPr="005A5A7F">
        <w:rPr>
          <w:rFonts w:ascii="Times New Roman" w:hAnsi="Times New Roman" w:cs="Simplified Arabic"/>
          <w:sz w:val="24"/>
          <w:szCs w:val="24"/>
        </w:rPr>
        <w:t>2013</w:t>
      </w:r>
      <w:r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 على خلفيات مختلفة.</w:t>
      </w:r>
      <w:r w:rsidR="009B5811"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 </w:t>
      </w:r>
      <w:r w:rsidR="00410687" w:rsidRPr="005A5A7F">
        <w:rPr>
          <w:rFonts w:ascii="Times New Roman" w:hAnsi="Times New Roman" w:cs="Simplified Arabic" w:hint="cs"/>
          <w:sz w:val="24"/>
          <w:szCs w:val="24"/>
          <w:rtl/>
        </w:rPr>
        <w:t>منها 1</w:t>
      </w:r>
      <w:r w:rsidR="00D476A3" w:rsidRPr="005A5A7F">
        <w:rPr>
          <w:rFonts w:ascii="Times New Roman" w:hAnsi="Times New Roman" w:cs="Simplified Arabic" w:hint="cs"/>
          <w:sz w:val="24"/>
          <w:szCs w:val="24"/>
          <w:rtl/>
        </w:rPr>
        <w:t>5</w:t>
      </w:r>
      <w:r w:rsidR="00410687"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 أنثى في الضفة الغربية و1</w:t>
      </w:r>
      <w:r w:rsidR="0036658F" w:rsidRPr="005A5A7F">
        <w:rPr>
          <w:rFonts w:ascii="Times New Roman" w:hAnsi="Times New Roman" w:cs="Simplified Arabic" w:hint="cs"/>
          <w:sz w:val="24"/>
          <w:szCs w:val="24"/>
          <w:rtl/>
        </w:rPr>
        <w:t>2</w:t>
      </w:r>
      <w:r w:rsidR="00410687"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 أنثى في قطاع غزة، </w:t>
      </w:r>
      <w:r w:rsidR="009B5811"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وبزيادة بلغت أكثر من </w:t>
      </w:r>
      <w:r w:rsidR="003C0C2C" w:rsidRPr="005A5A7F">
        <w:rPr>
          <w:rFonts w:ascii="Times New Roman" w:hAnsi="Times New Roman" w:cs="Simplified Arabic" w:hint="cs"/>
          <w:sz w:val="24"/>
          <w:szCs w:val="24"/>
          <w:rtl/>
        </w:rPr>
        <w:t>الضعف</w:t>
      </w:r>
      <w:r w:rsidR="009B5811"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 عن العام 2012 الذي شهد مقتل 13 أنثى</w:t>
      </w:r>
      <w:r w:rsidR="00410687"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 في فلسطين</w:t>
      </w:r>
      <w:r w:rsidR="009B5811" w:rsidRPr="005A5A7F">
        <w:rPr>
          <w:rFonts w:ascii="Times New Roman" w:hAnsi="Times New Roman" w:cs="Simplified Arabic" w:hint="cs"/>
          <w:sz w:val="24"/>
          <w:szCs w:val="24"/>
          <w:rtl/>
        </w:rPr>
        <w:t>.</w:t>
      </w:r>
    </w:p>
    <w:p w:rsidR="00EE16D3" w:rsidRPr="00FF5B50" w:rsidRDefault="00EE16D3" w:rsidP="00BA44EB">
      <w:pPr>
        <w:pStyle w:val="BodyTextIndent3"/>
        <w:tabs>
          <w:tab w:val="left" w:pos="6349"/>
        </w:tabs>
        <w:ind w:left="70"/>
        <w:jc w:val="both"/>
        <w:rPr>
          <w:rFonts w:cs="Simplified Arabic"/>
          <w:b/>
          <w:bCs/>
          <w:sz w:val="12"/>
          <w:szCs w:val="12"/>
          <w:rtl/>
        </w:rPr>
      </w:pPr>
    </w:p>
    <w:p w:rsidR="00BA44EB" w:rsidRPr="005A5A7F" w:rsidRDefault="00BA44EB" w:rsidP="00BA44EB">
      <w:pPr>
        <w:pStyle w:val="BodyTextIndent3"/>
        <w:tabs>
          <w:tab w:val="left" w:pos="6349"/>
        </w:tabs>
        <w:ind w:left="70"/>
        <w:jc w:val="both"/>
        <w:rPr>
          <w:rFonts w:cs="Simplified Arabic"/>
          <w:b/>
          <w:bCs/>
          <w:sz w:val="26"/>
          <w:szCs w:val="26"/>
          <w:rtl/>
        </w:rPr>
      </w:pPr>
      <w:r w:rsidRPr="005A5A7F">
        <w:rPr>
          <w:rFonts w:cs="Simplified Arabic" w:hint="cs"/>
          <w:b/>
          <w:bCs/>
          <w:sz w:val="26"/>
          <w:szCs w:val="26"/>
          <w:rtl/>
        </w:rPr>
        <w:t>القطاع الصحي</w:t>
      </w:r>
    </w:p>
    <w:p w:rsidR="002F5A94" w:rsidRPr="005A5A7F" w:rsidRDefault="00BA44EB" w:rsidP="000B4149">
      <w:pPr>
        <w:ind w:left="27" w:right="142"/>
        <w:jc w:val="both"/>
        <w:rPr>
          <w:rFonts w:ascii="Times New Roman" w:hAnsi="Times New Roman" w:cs="Simplified Arabic"/>
          <w:sz w:val="24"/>
          <w:szCs w:val="24"/>
          <w:rtl/>
        </w:rPr>
      </w:pPr>
      <w:r w:rsidRPr="002F5A94">
        <w:rPr>
          <w:rFonts w:ascii="Times New Roman" w:hAnsi="Times New Roman" w:cs="Simplified Arabic" w:hint="cs"/>
          <w:rtl/>
        </w:rPr>
        <w:t>13</w:t>
      </w:r>
      <w:r w:rsidRPr="002F5A94">
        <w:rPr>
          <w:rFonts w:ascii="Times New Roman" w:hAnsi="Times New Roman" w:cs="Simplified Arabic"/>
          <w:rtl/>
        </w:rPr>
        <w:t>.</w:t>
      </w:r>
      <w:r w:rsidRPr="002F5A94">
        <w:rPr>
          <w:rFonts w:ascii="Times New Roman" w:hAnsi="Times New Roman" w:cs="Simplified Arabic" w:hint="cs"/>
          <w:rtl/>
        </w:rPr>
        <w:t>6</w:t>
      </w:r>
      <w:r w:rsidRPr="005A5A7F">
        <w:rPr>
          <w:rFonts w:ascii="Times New Roman" w:hAnsi="Times New Roman" w:cs="Simplified Arabic"/>
          <w:sz w:val="24"/>
          <w:szCs w:val="24"/>
          <w:rtl/>
        </w:rPr>
        <w:t>% من الأطباء البشريين المسجلين في نقابة الأطباء</w:t>
      </w:r>
      <w:r w:rsidR="000B4149"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 </w:t>
      </w:r>
      <w:r w:rsidR="006A1A17" w:rsidRPr="005A5A7F">
        <w:rPr>
          <w:rFonts w:ascii="Times New Roman" w:hAnsi="Times New Roman" w:cs="Simplified Arabic" w:hint="cs"/>
          <w:sz w:val="24"/>
          <w:szCs w:val="24"/>
          <w:rtl/>
        </w:rPr>
        <w:t>من ال</w:t>
      </w:r>
      <w:r w:rsidR="000B4149" w:rsidRPr="005A5A7F">
        <w:rPr>
          <w:rFonts w:ascii="Times New Roman" w:hAnsi="Times New Roman" w:cs="Simplified Arabic" w:hint="cs"/>
          <w:sz w:val="24"/>
          <w:szCs w:val="24"/>
          <w:rtl/>
        </w:rPr>
        <w:t>إناث</w:t>
      </w:r>
      <w:r w:rsidRPr="005A5A7F">
        <w:rPr>
          <w:rFonts w:ascii="Times New Roman" w:hAnsi="Times New Roman" w:cs="Simplified Arabic"/>
          <w:sz w:val="24"/>
          <w:szCs w:val="24"/>
          <w:rtl/>
        </w:rPr>
        <w:t xml:space="preserve">، مقابل </w:t>
      </w:r>
      <w:r w:rsidRPr="005A5A7F">
        <w:rPr>
          <w:rFonts w:ascii="Times New Roman" w:hAnsi="Times New Roman" w:cs="Simplified Arabic" w:hint="cs"/>
          <w:sz w:val="24"/>
          <w:szCs w:val="24"/>
          <w:rtl/>
        </w:rPr>
        <w:t>86</w:t>
      </w:r>
      <w:r w:rsidRPr="005A5A7F">
        <w:rPr>
          <w:rFonts w:ascii="Times New Roman" w:hAnsi="Times New Roman" w:cs="Simplified Arabic"/>
          <w:sz w:val="24"/>
          <w:szCs w:val="24"/>
          <w:rtl/>
        </w:rPr>
        <w:t>.</w:t>
      </w:r>
      <w:r w:rsidRPr="005A5A7F">
        <w:rPr>
          <w:rFonts w:ascii="Times New Roman" w:hAnsi="Times New Roman" w:cs="Simplified Arabic" w:hint="cs"/>
          <w:sz w:val="24"/>
          <w:szCs w:val="24"/>
          <w:rtl/>
        </w:rPr>
        <w:t>4</w:t>
      </w:r>
      <w:r w:rsidRPr="005A5A7F">
        <w:rPr>
          <w:rFonts w:ascii="Times New Roman" w:hAnsi="Times New Roman" w:cs="Simplified Arabic"/>
          <w:sz w:val="24"/>
          <w:szCs w:val="24"/>
          <w:rtl/>
        </w:rPr>
        <w:t xml:space="preserve">% </w:t>
      </w:r>
      <w:r w:rsidR="000B4149" w:rsidRPr="005A5A7F">
        <w:rPr>
          <w:rFonts w:ascii="Times New Roman" w:hAnsi="Times New Roman" w:cs="Simplified Arabic" w:hint="cs"/>
          <w:sz w:val="24"/>
          <w:szCs w:val="24"/>
          <w:rtl/>
        </w:rPr>
        <w:t>ذكور</w:t>
      </w:r>
      <w:r w:rsidRPr="005A5A7F">
        <w:rPr>
          <w:rFonts w:ascii="Times New Roman" w:hAnsi="Times New Roman" w:cs="Simplified Arabic"/>
          <w:sz w:val="24"/>
          <w:szCs w:val="24"/>
          <w:rtl/>
        </w:rPr>
        <w:t xml:space="preserve">.  وتزيد نسبة الطبيبات البشريات في الضفة الغربية عنها في قطاع غزة؛ </w:t>
      </w:r>
      <w:r w:rsidRPr="005A5A7F">
        <w:rPr>
          <w:rFonts w:ascii="Times New Roman" w:hAnsi="Times New Roman" w:cs="Simplified Arabic" w:hint="cs"/>
          <w:sz w:val="24"/>
          <w:szCs w:val="24"/>
          <w:rtl/>
        </w:rPr>
        <w:t>16</w:t>
      </w:r>
      <w:r w:rsidRPr="005A5A7F">
        <w:rPr>
          <w:rFonts w:ascii="Times New Roman" w:hAnsi="Times New Roman" w:cs="Simplified Arabic"/>
          <w:sz w:val="24"/>
          <w:szCs w:val="24"/>
          <w:rtl/>
        </w:rPr>
        <w:t>.</w:t>
      </w:r>
      <w:r w:rsidRPr="005A5A7F">
        <w:rPr>
          <w:rFonts w:ascii="Times New Roman" w:hAnsi="Times New Roman" w:cs="Simplified Arabic" w:hint="cs"/>
          <w:sz w:val="24"/>
          <w:szCs w:val="24"/>
          <w:rtl/>
        </w:rPr>
        <w:t>6</w:t>
      </w:r>
      <w:r w:rsidRPr="005A5A7F">
        <w:rPr>
          <w:rFonts w:ascii="Times New Roman" w:hAnsi="Times New Roman" w:cs="Simplified Arabic"/>
          <w:sz w:val="24"/>
          <w:szCs w:val="24"/>
          <w:rtl/>
        </w:rPr>
        <w:t>% و10.</w:t>
      </w:r>
      <w:r w:rsidRPr="005A5A7F">
        <w:rPr>
          <w:rFonts w:ascii="Times New Roman" w:hAnsi="Times New Roman" w:cs="Simplified Arabic" w:hint="cs"/>
          <w:sz w:val="24"/>
          <w:szCs w:val="24"/>
          <w:rtl/>
        </w:rPr>
        <w:t>8</w:t>
      </w:r>
      <w:r w:rsidRPr="005A5A7F">
        <w:rPr>
          <w:rFonts w:ascii="Times New Roman" w:hAnsi="Times New Roman" w:cs="Simplified Arabic"/>
          <w:sz w:val="24"/>
          <w:szCs w:val="24"/>
          <w:rtl/>
        </w:rPr>
        <w:t>% على التوالي</w:t>
      </w:r>
      <w:r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 خلال عام 2012.</w:t>
      </w:r>
      <w:r w:rsidR="002F5A94"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  </w:t>
      </w:r>
    </w:p>
    <w:p w:rsidR="002F5A94" w:rsidRPr="005A5A7F" w:rsidRDefault="002F5A94" w:rsidP="002F5A94">
      <w:pPr>
        <w:ind w:left="27" w:right="142"/>
        <w:jc w:val="both"/>
        <w:rPr>
          <w:rFonts w:ascii="Times New Roman" w:hAnsi="Times New Roman" w:cs="Simplified Arabic"/>
          <w:sz w:val="24"/>
          <w:szCs w:val="24"/>
          <w:rtl/>
        </w:rPr>
      </w:pPr>
    </w:p>
    <w:p w:rsidR="00BA44EB" w:rsidRPr="005A5A7F" w:rsidRDefault="00BA44EB" w:rsidP="000B4149">
      <w:pPr>
        <w:ind w:left="27" w:right="142"/>
        <w:jc w:val="both"/>
        <w:rPr>
          <w:rFonts w:ascii="Times New Roman" w:hAnsi="Times New Roman" w:cs="Simplified Arabic"/>
          <w:sz w:val="24"/>
          <w:szCs w:val="24"/>
          <w:rtl/>
        </w:rPr>
      </w:pPr>
      <w:r w:rsidRPr="005A5A7F">
        <w:rPr>
          <w:rFonts w:ascii="Times New Roman" w:hAnsi="Times New Roman" w:cs="Simplified Arabic" w:hint="cs"/>
          <w:sz w:val="24"/>
          <w:szCs w:val="24"/>
          <w:rtl/>
        </w:rPr>
        <w:t>27.3% من</w:t>
      </w:r>
      <w:r w:rsidRPr="005A5A7F">
        <w:rPr>
          <w:rFonts w:ascii="Times New Roman" w:hAnsi="Times New Roman" w:cs="Simplified Arabic"/>
          <w:sz w:val="24"/>
          <w:szCs w:val="24"/>
          <w:rtl/>
        </w:rPr>
        <w:t xml:space="preserve"> أطباء الأسنان المسجلين في النقابة </w:t>
      </w:r>
      <w:r w:rsidR="000B4149" w:rsidRPr="005A5A7F">
        <w:rPr>
          <w:rFonts w:ascii="Times New Roman" w:hAnsi="Times New Roman" w:cs="Simplified Arabic" w:hint="cs"/>
          <w:sz w:val="24"/>
          <w:szCs w:val="24"/>
          <w:rtl/>
        </w:rPr>
        <w:t>إناث</w:t>
      </w:r>
      <w:r w:rsidRPr="005A5A7F">
        <w:rPr>
          <w:rFonts w:ascii="Times New Roman" w:hAnsi="Times New Roman" w:cs="Simplified Arabic"/>
          <w:sz w:val="24"/>
          <w:szCs w:val="24"/>
          <w:rtl/>
        </w:rPr>
        <w:t xml:space="preserve"> مقارنة </w:t>
      </w:r>
      <w:r w:rsidR="00D1754A"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     </w:t>
      </w:r>
      <w:r w:rsidRPr="005A5A7F">
        <w:rPr>
          <w:rFonts w:ascii="Times New Roman" w:hAnsi="Times New Roman" w:cs="Simplified Arabic"/>
          <w:sz w:val="24"/>
          <w:szCs w:val="24"/>
          <w:rtl/>
        </w:rPr>
        <w:t>بـ 72.</w:t>
      </w:r>
      <w:r w:rsidRPr="005A5A7F">
        <w:rPr>
          <w:rFonts w:ascii="Times New Roman" w:hAnsi="Times New Roman" w:cs="Simplified Arabic" w:hint="cs"/>
          <w:sz w:val="24"/>
          <w:szCs w:val="24"/>
          <w:rtl/>
        </w:rPr>
        <w:t>7</w:t>
      </w:r>
      <w:r w:rsidRPr="005A5A7F">
        <w:rPr>
          <w:rFonts w:ascii="Times New Roman" w:hAnsi="Times New Roman" w:cs="Simplified Arabic"/>
          <w:sz w:val="24"/>
          <w:szCs w:val="24"/>
          <w:rtl/>
        </w:rPr>
        <w:t xml:space="preserve">% </w:t>
      </w:r>
      <w:r w:rsidR="000B4149" w:rsidRPr="005A5A7F">
        <w:rPr>
          <w:rFonts w:ascii="Times New Roman" w:hAnsi="Times New Roman" w:cs="Simplified Arabic" w:hint="cs"/>
          <w:sz w:val="24"/>
          <w:szCs w:val="24"/>
          <w:rtl/>
        </w:rPr>
        <w:t>ذكور</w:t>
      </w:r>
      <w:r w:rsidRPr="005A5A7F">
        <w:rPr>
          <w:rFonts w:ascii="Times New Roman" w:hAnsi="Times New Roman" w:cs="Simplified Arabic"/>
          <w:sz w:val="24"/>
          <w:szCs w:val="24"/>
          <w:rtl/>
        </w:rPr>
        <w:t xml:space="preserve">.  وتزيد نسبة طبيبات الأسنان في الضفة الغربية عنها في قطاع غزة؛ </w:t>
      </w:r>
      <w:r w:rsidRPr="005A5A7F">
        <w:rPr>
          <w:rFonts w:ascii="Times New Roman" w:hAnsi="Times New Roman" w:cs="Simplified Arabic" w:hint="cs"/>
          <w:sz w:val="24"/>
          <w:szCs w:val="24"/>
          <w:rtl/>
        </w:rPr>
        <w:t>32</w:t>
      </w:r>
      <w:r w:rsidRPr="005A5A7F">
        <w:rPr>
          <w:rFonts w:ascii="Times New Roman" w:hAnsi="Times New Roman" w:cs="Simplified Arabic"/>
          <w:sz w:val="24"/>
          <w:szCs w:val="24"/>
          <w:rtl/>
        </w:rPr>
        <w:t>.</w:t>
      </w:r>
      <w:r w:rsidRPr="005A5A7F">
        <w:rPr>
          <w:rFonts w:ascii="Times New Roman" w:hAnsi="Times New Roman" w:cs="Simplified Arabic" w:hint="cs"/>
          <w:sz w:val="24"/>
          <w:szCs w:val="24"/>
          <w:rtl/>
        </w:rPr>
        <w:t>5</w:t>
      </w:r>
      <w:r w:rsidRPr="005A5A7F">
        <w:rPr>
          <w:rFonts w:ascii="Times New Roman" w:hAnsi="Times New Roman" w:cs="Simplified Arabic"/>
          <w:sz w:val="24"/>
          <w:szCs w:val="24"/>
          <w:rtl/>
        </w:rPr>
        <w:t>% و2</w:t>
      </w:r>
      <w:r w:rsidRPr="005A5A7F">
        <w:rPr>
          <w:rFonts w:ascii="Times New Roman" w:hAnsi="Times New Roman" w:cs="Simplified Arabic" w:hint="cs"/>
          <w:sz w:val="24"/>
          <w:szCs w:val="24"/>
          <w:rtl/>
        </w:rPr>
        <w:t>0</w:t>
      </w:r>
      <w:r w:rsidRPr="005A5A7F">
        <w:rPr>
          <w:rFonts w:ascii="Times New Roman" w:hAnsi="Times New Roman" w:cs="Simplified Arabic"/>
          <w:sz w:val="24"/>
          <w:szCs w:val="24"/>
          <w:rtl/>
        </w:rPr>
        <w:t>.</w:t>
      </w:r>
      <w:r w:rsidRPr="005A5A7F">
        <w:rPr>
          <w:rFonts w:ascii="Times New Roman" w:hAnsi="Times New Roman" w:cs="Simplified Arabic" w:hint="cs"/>
          <w:sz w:val="24"/>
          <w:szCs w:val="24"/>
          <w:rtl/>
        </w:rPr>
        <w:t>5</w:t>
      </w:r>
      <w:r w:rsidRPr="005A5A7F">
        <w:rPr>
          <w:rFonts w:ascii="Times New Roman" w:hAnsi="Times New Roman" w:cs="Simplified Arabic"/>
          <w:sz w:val="24"/>
          <w:szCs w:val="24"/>
          <w:rtl/>
        </w:rPr>
        <w:t>% على التوالي</w:t>
      </w:r>
      <w:r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 خلال عام 2012.</w:t>
      </w:r>
    </w:p>
    <w:p w:rsidR="002F5A94" w:rsidRPr="00FF5B50" w:rsidRDefault="002F5A94" w:rsidP="00905019">
      <w:pPr>
        <w:pStyle w:val="BodyTextIndent3"/>
        <w:tabs>
          <w:tab w:val="left" w:pos="4181"/>
          <w:tab w:val="left" w:pos="6349"/>
        </w:tabs>
        <w:spacing w:after="0"/>
        <w:ind w:left="51"/>
        <w:jc w:val="both"/>
        <w:rPr>
          <w:rFonts w:cs="Simplified Arabic"/>
          <w:b/>
          <w:bCs/>
          <w:sz w:val="14"/>
          <w:szCs w:val="14"/>
          <w:rtl/>
        </w:rPr>
      </w:pPr>
    </w:p>
    <w:p w:rsidR="005E6289" w:rsidRPr="005A5A7F" w:rsidRDefault="00905019" w:rsidP="000E2FA3">
      <w:pPr>
        <w:ind w:left="27" w:right="142"/>
        <w:jc w:val="both"/>
        <w:rPr>
          <w:rFonts w:cs="Simplified Arabic"/>
          <w:b/>
          <w:bCs/>
          <w:sz w:val="26"/>
          <w:szCs w:val="26"/>
          <w:rtl/>
        </w:rPr>
      </w:pPr>
      <w:r w:rsidRPr="005A5A7F">
        <w:rPr>
          <w:rFonts w:ascii="Times New Roman" w:hAnsi="Times New Roman" w:cs="Simplified Arabic" w:hint="cs"/>
          <w:sz w:val="26"/>
          <w:szCs w:val="26"/>
          <w:rtl/>
        </w:rPr>
        <w:t xml:space="preserve"> </w:t>
      </w:r>
      <w:r w:rsidR="000E2FA3" w:rsidRPr="005A5A7F">
        <w:rPr>
          <w:rFonts w:cs="Simplified Arabic" w:hint="cs"/>
          <w:b/>
          <w:bCs/>
          <w:sz w:val="26"/>
          <w:szCs w:val="26"/>
          <w:rtl/>
        </w:rPr>
        <w:t>النساء</w:t>
      </w:r>
      <w:r w:rsidR="005E6289" w:rsidRPr="005A5A7F">
        <w:rPr>
          <w:rFonts w:cs="Simplified Arabic" w:hint="cs"/>
          <w:b/>
          <w:bCs/>
          <w:sz w:val="26"/>
          <w:szCs w:val="26"/>
          <w:rtl/>
        </w:rPr>
        <w:t xml:space="preserve"> الفلسطيني</w:t>
      </w:r>
      <w:r w:rsidR="000E2FA3" w:rsidRPr="005A5A7F">
        <w:rPr>
          <w:rFonts w:cs="Simplified Arabic" w:hint="cs"/>
          <w:b/>
          <w:bCs/>
          <w:sz w:val="26"/>
          <w:szCs w:val="26"/>
          <w:rtl/>
        </w:rPr>
        <w:t>ات</w:t>
      </w:r>
      <w:r w:rsidR="005E6289" w:rsidRPr="005A5A7F">
        <w:rPr>
          <w:rFonts w:cs="Simplified Arabic" w:hint="cs"/>
          <w:b/>
          <w:bCs/>
          <w:sz w:val="26"/>
          <w:szCs w:val="26"/>
          <w:rtl/>
        </w:rPr>
        <w:t xml:space="preserve"> في الحياة العامة</w:t>
      </w:r>
    </w:p>
    <w:p w:rsidR="002F5A94" w:rsidRPr="005A5A7F" w:rsidRDefault="0092383A" w:rsidP="000667A6">
      <w:pPr>
        <w:ind w:left="27" w:right="142"/>
        <w:jc w:val="both"/>
        <w:rPr>
          <w:rFonts w:ascii="Times New Roman" w:hAnsi="Times New Roman" w:cs="Simplified Arabic"/>
          <w:sz w:val="24"/>
          <w:szCs w:val="24"/>
          <w:rtl/>
        </w:rPr>
      </w:pPr>
      <w:r w:rsidRPr="002F5A94">
        <w:rPr>
          <w:rFonts w:ascii="Times New Roman" w:hAnsi="Times New Roman" w:cs="Simplified Arabic" w:hint="cs"/>
          <w:rtl/>
        </w:rPr>
        <w:t>21.0</w:t>
      </w:r>
      <w:r w:rsidR="00295FD2"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% </w:t>
      </w:r>
      <w:r w:rsidR="00893A8B"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من أعضاء الهيئات المحلية هن </w:t>
      </w:r>
      <w:r w:rsidR="00C64897" w:rsidRPr="005A5A7F">
        <w:rPr>
          <w:rFonts w:ascii="Times New Roman" w:hAnsi="Times New Roman" w:cs="Simplified Arabic" w:hint="cs"/>
          <w:sz w:val="24"/>
          <w:szCs w:val="24"/>
          <w:rtl/>
        </w:rPr>
        <w:t>إناث</w:t>
      </w:r>
      <w:r w:rsidR="00893A8B"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 </w:t>
      </w:r>
      <w:r w:rsidR="00BB3074"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في الضفة الغربية </w:t>
      </w:r>
      <w:r w:rsidR="00295FD2" w:rsidRPr="005A5A7F">
        <w:rPr>
          <w:rFonts w:ascii="Times New Roman" w:hAnsi="Times New Roman" w:cs="Simplified Arabic" w:hint="cs"/>
          <w:sz w:val="24"/>
          <w:szCs w:val="24"/>
          <w:rtl/>
        </w:rPr>
        <w:t>مقابل 79.</w:t>
      </w:r>
      <w:r w:rsidRPr="005A5A7F">
        <w:rPr>
          <w:rFonts w:ascii="Times New Roman" w:hAnsi="Times New Roman" w:cs="Simplified Arabic" w:hint="cs"/>
          <w:sz w:val="24"/>
          <w:szCs w:val="24"/>
          <w:rtl/>
        </w:rPr>
        <w:t>0</w:t>
      </w:r>
      <w:r w:rsidR="00295FD2"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% </w:t>
      </w:r>
      <w:r w:rsidR="00005E3B" w:rsidRPr="005A5A7F">
        <w:rPr>
          <w:rFonts w:ascii="Times New Roman" w:hAnsi="Times New Roman" w:cs="Simplified Arabic" w:hint="cs"/>
          <w:sz w:val="24"/>
          <w:szCs w:val="24"/>
          <w:rtl/>
        </w:rPr>
        <w:t>ذكور</w:t>
      </w:r>
      <w:r w:rsidR="00442966"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 في العام 2012</w:t>
      </w:r>
      <w:r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، </w:t>
      </w:r>
      <w:r w:rsidR="00893A8B" w:rsidRPr="005A5A7F">
        <w:rPr>
          <w:rFonts w:ascii="Times New Roman" w:hAnsi="Times New Roman" w:cs="Simplified Arabic" w:hint="cs"/>
          <w:sz w:val="24"/>
          <w:szCs w:val="24"/>
          <w:rtl/>
        </w:rPr>
        <w:t>و</w:t>
      </w:r>
      <w:r w:rsidR="00295FD2" w:rsidRPr="005A5A7F">
        <w:rPr>
          <w:rFonts w:ascii="Times New Roman" w:hAnsi="Times New Roman" w:cs="Simplified Arabic" w:hint="cs"/>
          <w:sz w:val="24"/>
          <w:szCs w:val="24"/>
          <w:rtl/>
        </w:rPr>
        <w:t>26.8% من أعضاء مجالس الطلبة في الجامعات ال</w:t>
      </w:r>
      <w:r w:rsidR="00085068" w:rsidRPr="005A5A7F">
        <w:rPr>
          <w:rFonts w:ascii="Times New Roman" w:hAnsi="Times New Roman" w:cs="Simplified Arabic" w:hint="cs"/>
          <w:sz w:val="24"/>
          <w:szCs w:val="24"/>
          <w:rtl/>
        </w:rPr>
        <w:t>فلسطينية</w:t>
      </w:r>
      <w:r w:rsidR="00AF536A"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 </w:t>
      </w:r>
      <w:r w:rsidR="00E665A4"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في فلسطين </w:t>
      </w:r>
      <w:r w:rsidR="00AF536A"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هن </w:t>
      </w:r>
      <w:r w:rsidR="00005E3B" w:rsidRPr="005A5A7F">
        <w:rPr>
          <w:rFonts w:ascii="Times New Roman" w:hAnsi="Times New Roman" w:cs="Simplified Arabic" w:hint="cs"/>
          <w:sz w:val="24"/>
          <w:szCs w:val="24"/>
          <w:rtl/>
        </w:rPr>
        <w:t>إناث</w:t>
      </w:r>
      <w:r w:rsidR="00085068"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 مقابل 73.2% </w:t>
      </w:r>
      <w:r w:rsidR="00005E3B" w:rsidRPr="005A5A7F">
        <w:rPr>
          <w:rFonts w:ascii="Times New Roman" w:hAnsi="Times New Roman" w:cs="Simplified Arabic" w:hint="cs"/>
          <w:sz w:val="24"/>
          <w:szCs w:val="24"/>
          <w:rtl/>
        </w:rPr>
        <w:t>ذكور</w:t>
      </w:r>
      <w:r w:rsidR="00442966"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 في العام 2011</w:t>
      </w:r>
      <w:r w:rsidR="00085068" w:rsidRPr="005A5A7F">
        <w:rPr>
          <w:rFonts w:ascii="Times New Roman" w:hAnsi="Times New Roman" w:cs="Simplified Arabic" w:hint="cs"/>
          <w:sz w:val="24"/>
          <w:szCs w:val="24"/>
          <w:rtl/>
        </w:rPr>
        <w:t>.</w:t>
      </w:r>
      <w:r w:rsidR="00295FD2"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 </w:t>
      </w:r>
      <w:r w:rsidR="00AF536A"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 </w:t>
      </w:r>
      <w:r w:rsidR="00893A8B" w:rsidRPr="005A5A7F">
        <w:rPr>
          <w:rFonts w:ascii="Times New Roman" w:hAnsi="Times New Roman" w:cs="Simplified Arabic" w:hint="cs"/>
          <w:sz w:val="24"/>
          <w:szCs w:val="24"/>
          <w:rtl/>
        </w:rPr>
        <w:t>و</w:t>
      </w:r>
      <w:r w:rsidR="00BA64D1" w:rsidRPr="005A5A7F">
        <w:rPr>
          <w:rFonts w:ascii="Times New Roman" w:hAnsi="Times New Roman" w:cs="Simplified Arabic"/>
          <w:sz w:val="24"/>
          <w:szCs w:val="24"/>
          <w:rtl/>
        </w:rPr>
        <w:t>26.2</w:t>
      </w:r>
      <w:r w:rsidR="00295FD2"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% من الصحفيين في </w:t>
      </w:r>
      <w:r w:rsidR="00F45BAB" w:rsidRPr="005A5A7F">
        <w:rPr>
          <w:rFonts w:ascii="Times New Roman" w:hAnsi="Times New Roman" w:cs="Simplified Arabic" w:hint="cs"/>
          <w:sz w:val="24"/>
          <w:szCs w:val="24"/>
          <w:rtl/>
        </w:rPr>
        <w:t>فلسطين</w:t>
      </w:r>
      <w:r w:rsidR="00874406"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 </w:t>
      </w:r>
      <w:r w:rsidR="00005E3B" w:rsidRPr="005A5A7F">
        <w:rPr>
          <w:rFonts w:ascii="Times New Roman" w:hAnsi="Times New Roman" w:cs="Simplified Arabic" w:hint="cs"/>
          <w:sz w:val="24"/>
          <w:szCs w:val="24"/>
          <w:rtl/>
        </w:rPr>
        <w:t>إناث</w:t>
      </w:r>
      <w:r w:rsidR="00874406"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 مقابل </w:t>
      </w:r>
      <w:r w:rsidR="00BA64D1" w:rsidRPr="005A5A7F">
        <w:rPr>
          <w:rFonts w:ascii="Times New Roman" w:hAnsi="Times New Roman" w:cs="Simplified Arabic"/>
          <w:sz w:val="24"/>
          <w:szCs w:val="24"/>
          <w:rtl/>
        </w:rPr>
        <w:t>73.</w:t>
      </w:r>
      <w:r w:rsidR="00AE74C2" w:rsidRPr="005A5A7F">
        <w:rPr>
          <w:rFonts w:ascii="Times New Roman" w:hAnsi="Times New Roman" w:cs="Simplified Arabic" w:hint="cs"/>
          <w:sz w:val="24"/>
          <w:szCs w:val="24"/>
          <w:rtl/>
        </w:rPr>
        <w:t>8</w:t>
      </w:r>
      <w:r w:rsidR="00874406"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% </w:t>
      </w:r>
      <w:r w:rsidR="00005E3B" w:rsidRPr="005A5A7F">
        <w:rPr>
          <w:rFonts w:ascii="Times New Roman" w:hAnsi="Times New Roman" w:cs="Simplified Arabic" w:hint="cs"/>
          <w:sz w:val="24"/>
          <w:szCs w:val="24"/>
          <w:rtl/>
        </w:rPr>
        <w:t>ذكور</w:t>
      </w:r>
      <w:r w:rsidR="003A40EC"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 خلال عام 201</w:t>
      </w:r>
      <w:r w:rsidR="00BA64D1" w:rsidRPr="005A5A7F">
        <w:rPr>
          <w:rFonts w:ascii="Times New Roman" w:hAnsi="Times New Roman" w:cs="Simplified Arabic" w:hint="cs"/>
          <w:sz w:val="24"/>
          <w:szCs w:val="24"/>
          <w:rtl/>
        </w:rPr>
        <w:t>2</w:t>
      </w:r>
      <w:r w:rsidR="00874406" w:rsidRPr="005A5A7F">
        <w:rPr>
          <w:rFonts w:ascii="Times New Roman" w:hAnsi="Times New Roman" w:cs="Simplified Arabic" w:hint="cs"/>
          <w:sz w:val="24"/>
          <w:szCs w:val="24"/>
          <w:rtl/>
        </w:rPr>
        <w:t>.</w:t>
      </w:r>
      <w:r w:rsidR="00075C9C"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  </w:t>
      </w:r>
      <w:r w:rsidR="00201DED"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كما لم تزد نسبة السفيرات </w:t>
      </w:r>
      <w:r w:rsidR="00893A8B"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في فلسطين </w:t>
      </w:r>
      <w:r w:rsidR="00201DED"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عن 4.3% مقارنة مع 95.7% للسفراء، </w:t>
      </w:r>
      <w:r w:rsidR="00893A8B"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وهناك </w:t>
      </w:r>
      <w:r w:rsidR="00304E4D" w:rsidRPr="005A5A7F">
        <w:rPr>
          <w:rFonts w:ascii="Times New Roman" w:hAnsi="Times New Roman" w:cs="Simplified Arabic"/>
          <w:sz w:val="24"/>
          <w:szCs w:val="24"/>
        </w:rPr>
        <w:t>40</w:t>
      </w:r>
      <w:r w:rsidR="004514A3" w:rsidRPr="005A5A7F">
        <w:rPr>
          <w:rFonts w:ascii="Times New Roman" w:hAnsi="Times New Roman" w:cs="Simplified Arabic"/>
          <w:sz w:val="24"/>
          <w:szCs w:val="24"/>
        </w:rPr>
        <w:t>.</w:t>
      </w:r>
      <w:r w:rsidR="00304E4D" w:rsidRPr="005A5A7F">
        <w:rPr>
          <w:rFonts w:ascii="Times New Roman" w:hAnsi="Times New Roman" w:cs="Simplified Arabic"/>
          <w:sz w:val="24"/>
          <w:szCs w:val="24"/>
        </w:rPr>
        <w:t>6</w:t>
      </w:r>
      <w:r w:rsidR="00F45BAB" w:rsidRPr="005A5A7F">
        <w:rPr>
          <w:rFonts w:ascii="Times New Roman" w:hAnsi="Times New Roman" w:cs="Simplified Arabic" w:hint="cs"/>
          <w:sz w:val="24"/>
          <w:szCs w:val="24"/>
          <w:rtl/>
        </w:rPr>
        <w:t>% من</w:t>
      </w:r>
      <w:r w:rsidR="00D873B0"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 الموظفين في القطاع العام </w:t>
      </w:r>
      <w:r w:rsidR="00005E3B" w:rsidRPr="005A5A7F">
        <w:rPr>
          <w:rFonts w:ascii="Times New Roman" w:hAnsi="Times New Roman" w:cs="Simplified Arabic" w:hint="cs"/>
          <w:sz w:val="24"/>
          <w:szCs w:val="24"/>
          <w:rtl/>
        </w:rPr>
        <w:t>إناث</w:t>
      </w:r>
      <w:r w:rsidR="00D30120"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 مقابل </w:t>
      </w:r>
      <w:r w:rsidR="00304E4D" w:rsidRPr="005A5A7F">
        <w:rPr>
          <w:rFonts w:ascii="Times New Roman" w:hAnsi="Times New Roman" w:cs="Simplified Arabic"/>
          <w:sz w:val="24"/>
          <w:szCs w:val="24"/>
        </w:rPr>
        <w:t>5</w:t>
      </w:r>
      <w:r w:rsidR="00B00837" w:rsidRPr="005A5A7F">
        <w:rPr>
          <w:rFonts w:ascii="Times New Roman" w:hAnsi="Times New Roman" w:cs="Simplified Arabic"/>
          <w:sz w:val="24"/>
          <w:szCs w:val="24"/>
        </w:rPr>
        <w:t>9.</w:t>
      </w:r>
      <w:r w:rsidR="00304E4D" w:rsidRPr="005A5A7F">
        <w:rPr>
          <w:rFonts w:ascii="Times New Roman" w:hAnsi="Times New Roman" w:cs="Simplified Arabic"/>
          <w:sz w:val="24"/>
          <w:szCs w:val="24"/>
        </w:rPr>
        <w:t>4</w:t>
      </w:r>
      <w:r w:rsidR="00D30120"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% </w:t>
      </w:r>
      <w:r w:rsidR="00005E3B" w:rsidRPr="005A5A7F">
        <w:rPr>
          <w:rFonts w:ascii="Times New Roman" w:hAnsi="Times New Roman" w:cs="Simplified Arabic" w:hint="cs"/>
          <w:sz w:val="24"/>
          <w:szCs w:val="24"/>
          <w:rtl/>
        </w:rPr>
        <w:t>ذكور</w:t>
      </w:r>
      <w:r w:rsidR="00D30120"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 خلال عام </w:t>
      </w:r>
      <w:r w:rsidR="000667A6" w:rsidRPr="005A5A7F">
        <w:rPr>
          <w:rFonts w:ascii="Times New Roman" w:hAnsi="Times New Roman" w:cs="Simplified Arabic"/>
          <w:sz w:val="24"/>
          <w:szCs w:val="24"/>
        </w:rPr>
        <w:t>2012</w:t>
      </w:r>
      <w:r w:rsidR="00D30120" w:rsidRPr="005A5A7F">
        <w:rPr>
          <w:rFonts w:ascii="Times New Roman" w:hAnsi="Times New Roman" w:cs="Simplified Arabic" w:hint="cs"/>
          <w:sz w:val="24"/>
          <w:szCs w:val="24"/>
          <w:rtl/>
        </w:rPr>
        <w:t>.</w:t>
      </w:r>
      <w:r w:rsidR="00D20511" w:rsidRPr="005A5A7F">
        <w:rPr>
          <w:rFonts w:ascii="Times New Roman" w:hAnsi="Times New Roman" w:cs="Simplified Arabic" w:hint="cs"/>
          <w:sz w:val="24"/>
          <w:szCs w:val="24"/>
          <w:rtl/>
        </w:rPr>
        <w:t xml:space="preserve"> </w:t>
      </w:r>
    </w:p>
    <w:p w:rsidR="00F7073F" w:rsidRPr="005A5A7F" w:rsidRDefault="00F7073F" w:rsidP="00085068">
      <w:pPr>
        <w:ind w:left="27" w:right="142"/>
        <w:jc w:val="both"/>
        <w:rPr>
          <w:rFonts w:ascii="Times New Roman" w:hAnsi="Times New Roman" w:cs="Simplified Arabic"/>
          <w:sz w:val="24"/>
          <w:szCs w:val="24"/>
          <w:rtl/>
        </w:rPr>
      </w:pPr>
    </w:p>
    <w:p w:rsidR="00063ACF" w:rsidRPr="005A5A7F" w:rsidRDefault="00063ACF" w:rsidP="00F7073F">
      <w:pPr>
        <w:pStyle w:val="Heading3"/>
        <w:jc w:val="center"/>
        <w:rPr>
          <w:b w:val="0"/>
          <w:bCs w:val="0"/>
          <w:sz w:val="26"/>
          <w:szCs w:val="26"/>
          <w:rtl/>
        </w:rPr>
      </w:pPr>
      <w:r w:rsidRPr="005A5A7F">
        <w:rPr>
          <w:rFonts w:hint="cs"/>
          <w:sz w:val="26"/>
          <w:szCs w:val="26"/>
          <w:rtl/>
        </w:rPr>
        <w:lastRenderedPageBreak/>
        <w:t>التوزيع النسبي للعاملين 15 سنة فأكثر حسب الجنس والنشاط الاقتصادي، 201</w:t>
      </w:r>
      <w:r w:rsidR="00F7073F" w:rsidRPr="005A5A7F">
        <w:rPr>
          <w:rFonts w:hint="cs"/>
          <w:sz w:val="26"/>
          <w:szCs w:val="26"/>
          <w:rtl/>
        </w:rPr>
        <w:t>3</w:t>
      </w:r>
    </w:p>
    <w:p w:rsidR="00063ACF" w:rsidRDefault="00063ACF" w:rsidP="00063ACF">
      <w:pPr>
        <w:bidi w:val="0"/>
        <w:jc w:val="center"/>
        <w:rPr>
          <w:sz w:val="12"/>
          <w:szCs w:val="12"/>
        </w:rPr>
      </w:pPr>
      <w:r>
        <w:rPr>
          <w:noProof/>
          <w:sz w:val="18"/>
        </w:rPr>
        <w:drawing>
          <wp:inline distT="0" distB="0" distL="0" distR="0">
            <wp:extent cx="4095750" cy="2019300"/>
            <wp:effectExtent l="0" t="0" r="0" b="0"/>
            <wp:docPr id="1" name="Objec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05E3B" w:rsidRPr="00A70D6D" w:rsidRDefault="00005E3B" w:rsidP="00E12AE0">
      <w:pPr>
        <w:ind w:left="74"/>
        <w:jc w:val="both"/>
        <w:rPr>
          <w:rFonts w:ascii="Times New Roman" w:hAnsi="Times New Roman" w:cs="Simplified Arabic"/>
          <w:sz w:val="2"/>
          <w:szCs w:val="2"/>
          <w:rtl/>
        </w:rPr>
      </w:pPr>
    </w:p>
    <w:p w:rsidR="00CD611E" w:rsidRDefault="00CD611E" w:rsidP="006F4A43">
      <w:pPr>
        <w:ind w:left="74"/>
        <w:jc w:val="both"/>
        <w:rPr>
          <w:rFonts w:ascii="Times New Roman" w:hAnsi="Times New Roman" w:cs="Simplified Arabic"/>
          <w:rtl/>
        </w:rPr>
      </w:pPr>
    </w:p>
    <w:p w:rsidR="00CD611E" w:rsidRDefault="00CD611E" w:rsidP="006F4A43">
      <w:pPr>
        <w:ind w:left="74"/>
        <w:jc w:val="both"/>
        <w:rPr>
          <w:rFonts w:ascii="Times New Roman" w:hAnsi="Times New Roman" w:cs="Simplified Arabic"/>
          <w:rtl/>
        </w:rPr>
      </w:pPr>
    </w:p>
    <w:p w:rsidR="00063ACF" w:rsidRPr="000F0F50" w:rsidRDefault="006F4A43" w:rsidP="000F0F50">
      <w:pPr>
        <w:ind w:left="74"/>
        <w:jc w:val="both"/>
        <w:rPr>
          <w:rFonts w:ascii="Times New Roman" w:hAnsi="Times New Roman" w:cs="Simplified Arabic"/>
          <w:sz w:val="24"/>
          <w:szCs w:val="24"/>
          <w:rtl/>
        </w:rPr>
      </w:pPr>
      <w:r w:rsidRPr="000F0F50">
        <w:rPr>
          <w:rFonts w:ascii="Times New Roman" w:hAnsi="Times New Roman" w:cs="Simplified Arabic" w:hint="cs"/>
          <w:sz w:val="24"/>
          <w:szCs w:val="24"/>
          <w:rtl/>
        </w:rPr>
        <w:t>يعتبر</w:t>
      </w:r>
      <w:r w:rsidR="00FC2905" w:rsidRPr="000F0F50">
        <w:rPr>
          <w:rFonts w:ascii="Times New Roman" w:hAnsi="Times New Roman" w:cs="Simplified Arabic" w:hint="cs"/>
          <w:sz w:val="24"/>
          <w:szCs w:val="24"/>
          <w:rtl/>
        </w:rPr>
        <w:t xml:space="preserve"> </w:t>
      </w:r>
      <w:r w:rsidR="00063ACF" w:rsidRPr="000F0F50">
        <w:rPr>
          <w:rFonts w:ascii="Times New Roman" w:hAnsi="Times New Roman" w:cs="Simplified Arabic" w:hint="cs"/>
          <w:sz w:val="24"/>
          <w:szCs w:val="24"/>
          <w:rtl/>
        </w:rPr>
        <w:t xml:space="preserve">قطاعي الخدمات </w:t>
      </w:r>
      <w:r w:rsidR="00FC2905" w:rsidRPr="000F0F50">
        <w:rPr>
          <w:rFonts w:ascii="Times New Roman" w:hAnsi="Times New Roman" w:cs="Simplified Arabic" w:hint="cs"/>
          <w:sz w:val="24"/>
          <w:szCs w:val="24"/>
          <w:rtl/>
        </w:rPr>
        <w:t xml:space="preserve">والزراعة </w:t>
      </w:r>
      <w:r w:rsidRPr="000F0F50">
        <w:rPr>
          <w:rFonts w:ascii="Times New Roman" w:hAnsi="Times New Roman" w:cs="Simplified Arabic" w:hint="cs"/>
          <w:sz w:val="24"/>
          <w:szCs w:val="24"/>
          <w:rtl/>
        </w:rPr>
        <w:t xml:space="preserve">المشغل الرئيسي للنساء العاملات وبما نسبته </w:t>
      </w:r>
      <w:r w:rsidR="00063ACF" w:rsidRPr="000F0F50">
        <w:rPr>
          <w:rFonts w:ascii="Times New Roman" w:hAnsi="Times New Roman" w:cs="Simplified Arabic" w:hint="cs"/>
          <w:sz w:val="24"/>
          <w:szCs w:val="24"/>
          <w:rtl/>
        </w:rPr>
        <w:t>59.</w:t>
      </w:r>
      <w:r w:rsidR="00951E15" w:rsidRPr="000F0F50">
        <w:rPr>
          <w:rFonts w:ascii="Times New Roman" w:hAnsi="Times New Roman" w:cs="Simplified Arabic" w:hint="cs"/>
          <w:sz w:val="24"/>
          <w:szCs w:val="24"/>
          <w:rtl/>
        </w:rPr>
        <w:t>3</w:t>
      </w:r>
      <w:r w:rsidR="00063ACF" w:rsidRPr="000F0F50">
        <w:rPr>
          <w:rFonts w:ascii="Times New Roman" w:hAnsi="Times New Roman" w:cs="Simplified Arabic" w:hint="cs"/>
          <w:sz w:val="24"/>
          <w:szCs w:val="24"/>
          <w:rtl/>
        </w:rPr>
        <w:t xml:space="preserve">% </w:t>
      </w:r>
      <w:r w:rsidR="00014E38" w:rsidRPr="000F0F50">
        <w:rPr>
          <w:rFonts w:ascii="Times New Roman" w:hAnsi="Times New Roman" w:cs="Simplified Arabic" w:hint="cs"/>
          <w:sz w:val="24"/>
          <w:szCs w:val="24"/>
          <w:rtl/>
        </w:rPr>
        <w:t>و</w:t>
      </w:r>
      <w:r w:rsidR="00063ACF" w:rsidRPr="000F0F50">
        <w:rPr>
          <w:rFonts w:ascii="Times New Roman" w:hAnsi="Times New Roman" w:cs="Simplified Arabic" w:hint="cs"/>
          <w:sz w:val="24"/>
          <w:szCs w:val="24"/>
          <w:rtl/>
        </w:rPr>
        <w:t>2</w:t>
      </w:r>
      <w:r w:rsidR="00951E15" w:rsidRPr="000F0F50">
        <w:rPr>
          <w:rFonts w:ascii="Times New Roman" w:hAnsi="Times New Roman" w:cs="Simplified Arabic" w:hint="cs"/>
          <w:sz w:val="24"/>
          <w:szCs w:val="24"/>
          <w:rtl/>
        </w:rPr>
        <w:t>0</w:t>
      </w:r>
      <w:r w:rsidR="00063ACF" w:rsidRPr="000F0F50">
        <w:rPr>
          <w:rFonts w:ascii="Times New Roman" w:hAnsi="Times New Roman" w:cs="Simplified Arabic" w:hint="cs"/>
          <w:sz w:val="24"/>
          <w:szCs w:val="24"/>
          <w:rtl/>
        </w:rPr>
        <w:t>.</w:t>
      </w:r>
      <w:r w:rsidR="00951E15" w:rsidRPr="000F0F50">
        <w:rPr>
          <w:rFonts w:ascii="Times New Roman" w:hAnsi="Times New Roman" w:cs="Simplified Arabic" w:hint="cs"/>
          <w:sz w:val="24"/>
          <w:szCs w:val="24"/>
          <w:rtl/>
        </w:rPr>
        <w:t>9</w:t>
      </w:r>
      <w:r w:rsidR="00063ACF" w:rsidRPr="000F0F50">
        <w:rPr>
          <w:rFonts w:ascii="Times New Roman" w:hAnsi="Times New Roman" w:cs="Simplified Arabic" w:hint="cs"/>
          <w:sz w:val="24"/>
          <w:szCs w:val="24"/>
          <w:rtl/>
        </w:rPr>
        <w:t xml:space="preserve">% </w:t>
      </w:r>
      <w:r w:rsidR="00FC2905" w:rsidRPr="000F0F50">
        <w:rPr>
          <w:rFonts w:ascii="Times New Roman" w:hAnsi="Times New Roman" w:cs="Simplified Arabic" w:hint="cs"/>
          <w:sz w:val="24"/>
          <w:szCs w:val="24"/>
          <w:rtl/>
        </w:rPr>
        <w:t>على التوالي</w:t>
      </w:r>
      <w:r w:rsidR="00063ACF" w:rsidRPr="000F0F50">
        <w:rPr>
          <w:rFonts w:ascii="Times New Roman" w:hAnsi="Times New Roman" w:cs="Simplified Arabic" w:hint="cs"/>
          <w:sz w:val="24"/>
          <w:szCs w:val="24"/>
          <w:rtl/>
        </w:rPr>
        <w:t>.</w:t>
      </w:r>
    </w:p>
    <w:p w:rsidR="00951E15" w:rsidRPr="008156A3" w:rsidRDefault="00951E15" w:rsidP="00145699">
      <w:pPr>
        <w:pStyle w:val="BodyText"/>
        <w:jc w:val="left"/>
        <w:rPr>
          <w:b/>
          <w:bCs/>
          <w:sz w:val="2"/>
          <w:szCs w:val="2"/>
          <w:rtl/>
        </w:rPr>
      </w:pPr>
    </w:p>
    <w:p w:rsidR="008156A3" w:rsidRPr="004D14DD" w:rsidRDefault="008156A3" w:rsidP="00145699">
      <w:pPr>
        <w:pStyle w:val="BodyText"/>
        <w:jc w:val="left"/>
        <w:rPr>
          <w:b/>
          <w:bCs/>
          <w:sz w:val="20"/>
          <w:szCs w:val="20"/>
          <w:rtl/>
        </w:rPr>
      </w:pPr>
    </w:p>
    <w:p w:rsidR="00870C7B" w:rsidRPr="00870C7B" w:rsidRDefault="00870C7B" w:rsidP="00145699">
      <w:pPr>
        <w:pStyle w:val="BodyText"/>
        <w:jc w:val="left"/>
        <w:rPr>
          <w:b/>
          <w:bCs/>
          <w:sz w:val="2"/>
          <w:szCs w:val="2"/>
          <w:rtl/>
        </w:rPr>
      </w:pPr>
    </w:p>
    <w:p w:rsidR="005E6289" w:rsidRPr="00D01A7A" w:rsidRDefault="005E6289" w:rsidP="003C7C88">
      <w:pPr>
        <w:pStyle w:val="BodyText"/>
        <w:jc w:val="both"/>
        <w:rPr>
          <w:b/>
          <w:bCs/>
          <w:sz w:val="23"/>
          <w:szCs w:val="23"/>
          <w:rtl/>
        </w:rPr>
      </w:pPr>
    </w:p>
    <w:sectPr w:rsidR="005E6289" w:rsidRPr="00D01A7A" w:rsidSect="006374BB">
      <w:footerReference w:type="default" r:id="rId12"/>
      <w:type w:val="continuous"/>
      <w:pgSz w:w="11906" w:h="16838" w:code="9"/>
      <w:pgMar w:top="1701" w:right="1134" w:bottom="851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76B" w:rsidRDefault="0036176B" w:rsidP="00FE5188">
      <w:r>
        <w:separator/>
      </w:r>
    </w:p>
  </w:endnote>
  <w:endnote w:type="continuationSeparator" w:id="0">
    <w:p w:rsidR="0036176B" w:rsidRDefault="0036176B" w:rsidP="00FE5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BBB" w:rsidRDefault="005A1D11" w:rsidP="00FE5188">
    <w:pPr>
      <w:pStyle w:val="Footer"/>
      <w:jc w:val="center"/>
    </w:pPr>
    <w:fldSimple w:instr=" PAGE   \* MERGEFORMAT ">
      <w:r w:rsidR="00816851">
        <w:rPr>
          <w:noProof/>
          <w:rtl/>
        </w:rPr>
        <w:t>4</w:t>
      </w:r>
    </w:fldSimple>
  </w:p>
  <w:p w:rsidR="00390BBB" w:rsidRDefault="00390B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76B" w:rsidRDefault="0036176B" w:rsidP="00FE5188">
      <w:r>
        <w:separator/>
      </w:r>
    </w:p>
  </w:footnote>
  <w:footnote w:type="continuationSeparator" w:id="0">
    <w:p w:rsidR="0036176B" w:rsidRDefault="0036176B" w:rsidP="00FE51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w:rsids>
    <w:rsidRoot w:val="005E6289"/>
    <w:rsid w:val="00005E3B"/>
    <w:rsid w:val="00014E38"/>
    <w:rsid w:val="000152C2"/>
    <w:rsid w:val="00016054"/>
    <w:rsid w:val="000171EF"/>
    <w:rsid w:val="00033376"/>
    <w:rsid w:val="000409AD"/>
    <w:rsid w:val="000410C8"/>
    <w:rsid w:val="000523FA"/>
    <w:rsid w:val="000546DE"/>
    <w:rsid w:val="0005579F"/>
    <w:rsid w:val="0005613F"/>
    <w:rsid w:val="00061718"/>
    <w:rsid w:val="00063ACF"/>
    <w:rsid w:val="000667A6"/>
    <w:rsid w:val="0007013C"/>
    <w:rsid w:val="00070272"/>
    <w:rsid w:val="0007082F"/>
    <w:rsid w:val="00073C25"/>
    <w:rsid w:val="00075C9C"/>
    <w:rsid w:val="00085068"/>
    <w:rsid w:val="00086A34"/>
    <w:rsid w:val="00095AC5"/>
    <w:rsid w:val="000A02C0"/>
    <w:rsid w:val="000B18D8"/>
    <w:rsid w:val="000B35C9"/>
    <w:rsid w:val="000B3E4A"/>
    <w:rsid w:val="000B4149"/>
    <w:rsid w:val="000B66D7"/>
    <w:rsid w:val="000C7EFF"/>
    <w:rsid w:val="000E0F32"/>
    <w:rsid w:val="000E2010"/>
    <w:rsid w:val="000E2FA3"/>
    <w:rsid w:val="000F0F50"/>
    <w:rsid w:val="000F4585"/>
    <w:rsid w:val="000F7D50"/>
    <w:rsid w:val="00116F66"/>
    <w:rsid w:val="001231AD"/>
    <w:rsid w:val="001238FE"/>
    <w:rsid w:val="00126663"/>
    <w:rsid w:val="00134DC7"/>
    <w:rsid w:val="00137F54"/>
    <w:rsid w:val="00140016"/>
    <w:rsid w:val="00145699"/>
    <w:rsid w:val="00146F76"/>
    <w:rsid w:val="001579ED"/>
    <w:rsid w:val="001646F3"/>
    <w:rsid w:val="00165DA6"/>
    <w:rsid w:val="00170063"/>
    <w:rsid w:val="001745CD"/>
    <w:rsid w:val="0018474B"/>
    <w:rsid w:val="001A4D51"/>
    <w:rsid w:val="001B61C2"/>
    <w:rsid w:val="001C05C9"/>
    <w:rsid w:val="001C147D"/>
    <w:rsid w:val="001C40F3"/>
    <w:rsid w:val="001C730A"/>
    <w:rsid w:val="001C7BA0"/>
    <w:rsid w:val="001D41A3"/>
    <w:rsid w:val="001E0C71"/>
    <w:rsid w:val="001E6A78"/>
    <w:rsid w:val="001F289C"/>
    <w:rsid w:val="001F2F78"/>
    <w:rsid w:val="00201DED"/>
    <w:rsid w:val="00203821"/>
    <w:rsid w:val="00207CD9"/>
    <w:rsid w:val="00217C7C"/>
    <w:rsid w:val="00232F91"/>
    <w:rsid w:val="00233D1D"/>
    <w:rsid w:val="002624A1"/>
    <w:rsid w:val="002709C2"/>
    <w:rsid w:val="002712CC"/>
    <w:rsid w:val="00280F43"/>
    <w:rsid w:val="00282E2A"/>
    <w:rsid w:val="00295FD2"/>
    <w:rsid w:val="00297D9C"/>
    <w:rsid w:val="002A2440"/>
    <w:rsid w:val="002B172B"/>
    <w:rsid w:val="002C4ADE"/>
    <w:rsid w:val="002C59E6"/>
    <w:rsid w:val="002D3D68"/>
    <w:rsid w:val="002E3318"/>
    <w:rsid w:val="002F45AE"/>
    <w:rsid w:val="002F45C2"/>
    <w:rsid w:val="002F5A94"/>
    <w:rsid w:val="00300875"/>
    <w:rsid w:val="0030255F"/>
    <w:rsid w:val="00304E4D"/>
    <w:rsid w:val="00305A8D"/>
    <w:rsid w:val="00306961"/>
    <w:rsid w:val="00314D1C"/>
    <w:rsid w:val="003235A9"/>
    <w:rsid w:val="00330D26"/>
    <w:rsid w:val="0033588A"/>
    <w:rsid w:val="003407B4"/>
    <w:rsid w:val="00345A5D"/>
    <w:rsid w:val="00347317"/>
    <w:rsid w:val="0035458E"/>
    <w:rsid w:val="0035762F"/>
    <w:rsid w:val="0036176B"/>
    <w:rsid w:val="00361ED6"/>
    <w:rsid w:val="003628F7"/>
    <w:rsid w:val="0036658F"/>
    <w:rsid w:val="00370DBC"/>
    <w:rsid w:val="00373C3C"/>
    <w:rsid w:val="00380E97"/>
    <w:rsid w:val="00387DE6"/>
    <w:rsid w:val="00390BBB"/>
    <w:rsid w:val="00390EDD"/>
    <w:rsid w:val="003A40EC"/>
    <w:rsid w:val="003B6539"/>
    <w:rsid w:val="003C0ACB"/>
    <w:rsid w:val="003C0C2C"/>
    <w:rsid w:val="003C4E76"/>
    <w:rsid w:val="003C7C88"/>
    <w:rsid w:val="003D3485"/>
    <w:rsid w:val="003D4536"/>
    <w:rsid w:val="003E022F"/>
    <w:rsid w:val="003E172C"/>
    <w:rsid w:val="003E22D0"/>
    <w:rsid w:val="003F173C"/>
    <w:rsid w:val="003F428B"/>
    <w:rsid w:val="00402D7E"/>
    <w:rsid w:val="0040796D"/>
    <w:rsid w:val="004079F7"/>
    <w:rsid w:val="00410687"/>
    <w:rsid w:val="00413A78"/>
    <w:rsid w:val="004161A9"/>
    <w:rsid w:val="0041760A"/>
    <w:rsid w:val="004212D4"/>
    <w:rsid w:val="00436062"/>
    <w:rsid w:val="00442966"/>
    <w:rsid w:val="004514A3"/>
    <w:rsid w:val="00457530"/>
    <w:rsid w:val="0046013F"/>
    <w:rsid w:val="00472443"/>
    <w:rsid w:val="004939C6"/>
    <w:rsid w:val="0049720F"/>
    <w:rsid w:val="004A294B"/>
    <w:rsid w:val="004A2EB2"/>
    <w:rsid w:val="004B29E2"/>
    <w:rsid w:val="004B74A9"/>
    <w:rsid w:val="004B74ED"/>
    <w:rsid w:val="004C0555"/>
    <w:rsid w:val="004C7014"/>
    <w:rsid w:val="004C7B45"/>
    <w:rsid w:val="004D1288"/>
    <w:rsid w:val="004D14DD"/>
    <w:rsid w:val="004E2AE8"/>
    <w:rsid w:val="004E32FD"/>
    <w:rsid w:val="004E4D97"/>
    <w:rsid w:val="004F49E9"/>
    <w:rsid w:val="00500A38"/>
    <w:rsid w:val="005070EA"/>
    <w:rsid w:val="00522605"/>
    <w:rsid w:val="00522749"/>
    <w:rsid w:val="00523840"/>
    <w:rsid w:val="00525369"/>
    <w:rsid w:val="00530515"/>
    <w:rsid w:val="00533096"/>
    <w:rsid w:val="00537301"/>
    <w:rsid w:val="005437CF"/>
    <w:rsid w:val="00544ED9"/>
    <w:rsid w:val="005468EF"/>
    <w:rsid w:val="00552215"/>
    <w:rsid w:val="00571BF3"/>
    <w:rsid w:val="005739F3"/>
    <w:rsid w:val="0057514E"/>
    <w:rsid w:val="005821B0"/>
    <w:rsid w:val="00584765"/>
    <w:rsid w:val="00595C0D"/>
    <w:rsid w:val="005A1D11"/>
    <w:rsid w:val="005A257B"/>
    <w:rsid w:val="005A33FA"/>
    <w:rsid w:val="005A3D90"/>
    <w:rsid w:val="005A5A7F"/>
    <w:rsid w:val="005B1029"/>
    <w:rsid w:val="005B3E99"/>
    <w:rsid w:val="005B56E5"/>
    <w:rsid w:val="005C09E3"/>
    <w:rsid w:val="005C4A81"/>
    <w:rsid w:val="005D6F95"/>
    <w:rsid w:val="005E2B9A"/>
    <w:rsid w:val="005E5B2F"/>
    <w:rsid w:val="005E6289"/>
    <w:rsid w:val="00605F58"/>
    <w:rsid w:val="006123D3"/>
    <w:rsid w:val="00615ECD"/>
    <w:rsid w:val="00622153"/>
    <w:rsid w:val="00633DAE"/>
    <w:rsid w:val="006374BB"/>
    <w:rsid w:val="00643C51"/>
    <w:rsid w:val="00652D77"/>
    <w:rsid w:val="00654079"/>
    <w:rsid w:val="0065456A"/>
    <w:rsid w:val="006631E1"/>
    <w:rsid w:val="0066746C"/>
    <w:rsid w:val="00672DBA"/>
    <w:rsid w:val="00673679"/>
    <w:rsid w:val="00677CBD"/>
    <w:rsid w:val="00690253"/>
    <w:rsid w:val="00690987"/>
    <w:rsid w:val="00691D48"/>
    <w:rsid w:val="00697338"/>
    <w:rsid w:val="006A1A17"/>
    <w:rsid w:val="006A5928"/>
    <w:rsid w:val="006A5DA6"/>
    <w:rsid w:val="006B62F7"/>
    <w:rsid w:val="006C4E6A"/>
    <w:rsid w:val="006C786C"/>
    <w:rsid w:val="006F4A43"/>
    <w:rsid w:val="00704CF9"/>
    <w:rsid w:val="00707164"/>
    <w:rsid w:val="007103E8"/>
    <w:rsid w:val="00714EC4"/>
    <w:rsid w:val="00721AFC"/>
    <w:rsid w:val="007255DD"/>
    <w:rsid w:val="0073301E"/>
    <w:rsid w:val="0074258A"/>
    <w:rsid w:val="00744F42"/>
    <w:rsid w:val="0074645D"/>
    <w:rsid w:val="00747BB4"/>
    <w:rsid w:val="00760514"/>
    <w:rsid w:val="00760790"/>
    <w:rsid w:val="00766D98"/>
    <w:rsid w:val="0077380E"/>
    <w:rsid w:val="00774599"/>
    <w:rsid w:val="0079269A"/>
    <w:rsid w:val="00795642"/>
    <w:rsid w:val="007A00CE"/>
    <w:rsid w:val="007A6F75"/>
    <w:rsid w:val="007B146C"/>
    <w:rsid w:val="007C60BF"/>
    <w:rsid w:val="007C6264"/>
    <w:rsid w:val="007D540D"/>
    <w:rsid w:val="007E7B70"/>
    <w:rsid w:val="00802FBC"/>
    <w:rsid w:val="00812A12"/>
    <w:rsid w:val="0081530C"/>
    <w:rsid w:val="008156A3"/>
    <w:rsid w:val="00816851"/>
    <w:rsid w:val="00822BBF"/>
    <w:rsid w:val="008401CE"/>
    <w:rsid w:val="00844003"/>
    <w:rsid w:val="008522AF"/>
    <w:rsid w:val="00853B56"/>
    <w:rsid w:val="008555A9"/>
    <w:rsid w:val="00856AAE"/>
    <w:rsid w:val="008668CD"/>
    <w:rsid w:val="00866905"/>
    <w:rsid w:val="008669FE"/>
    <w:rsid w:val="00867105"/>
    <w:rsid w:val="00870C7B"/>
    <w:rsid w:val="008735D8"/>
    <w:rsid w:val="00874406"/>
    <w:rsid w:val="00880AC9"/>
    <w:rsid w:val="00890FB5"/>
    <w:rsid w:val="00893A8B"/>
    <w:rsid w:val="00895496"/>
    <w:rsid w:val="008A646D"/>
    <w:rsid w:val="008A650D"/>
    <w:rsid w:val="008E35F6"/>
    <w:rsid w:val="008E5253"/>
    <w:rsid w:val="008E6DE8"/>
    <w:rsid w:val="0090313B"/>
    <w:rsid w:val="00905019"/>
    <w:rsid w:val="0091191A"/>
    <w:rsid w:val="00917B41"/>
    <w:rsid w:val="00921946"/>
    <w:rsid w:val="0092383A"/>
    <w:rsid w:val="009328AF"/>
    <w:rsid w:val="009362BB"/>
    <w:rsid w:val="0094130B"/>
    <w:rsid w:val="00941E31"/>
    <w:rsid w:val="00945DDA"/>
    <w:rsid w:val="00946FB9"/>
    <w:rsid w:val="00951E15"/>
    <w:rsid w:val="00966FC8"/>
    <w:rsid w:val="00967A48"/>
    <w:rsid w:val="00971FF5"/>
    <w:rsid w:val="009750B7"/>
    <w:rsid w:val="009905B9"/>
    <w:rsid w:val="00993EEA"/>
    <w:rsid w:val="0099553F"/>
    <w:rsid w:val="0099593D"/>
    <w:rsid w:val="0099710C"/>
    <w:rsid w:val="009B1157"/>
    <w:rsid w:val="009B5811"/>
    <w:rsid w:val="009B673C"/>
    <w:rsid w:val="009C3F46"/>
    <w:rsid w:val="009C4D5B"/>
    <w:rsid w:val="009D21C0"/>
    <w:rsid w:val="009E207B"/>
    <w:rsid w:val="00A000E6"/>
    <w:rsid w:val="00A0567C"/>
    <w:rsid w:val="00A07461"/>
    <w:rsid w:val="00A119D4"/>
    <w:rsid w:val="00A12CF7"/>
    <w:rsid w:val="00A16E3E"/>
    <w:rsid w:val="00A224C8"/>
    <w:rsid w:val="00A463C5"/>
    <w:rsid w:val="00A56869"/>
    <w:rsid w:val="00A70D6D"/>
    <w:rsid w:val="00A921C4"/>
    <w:rsid w:val="00AA6FC7"/>
    <w:rsid w:val="00AB01C5"/>
    <w:rsid w:val="00AB02FC"/>
    <w:rsid w:val="00AC0EB2"/>
    <w:rsid w:val="00AE74C2"/>
    <w:rsid w:val="00AF536A"/>
    <w:rsid w:val="00B00837"/>
    <w:rsid w:val="00B01727"/>
    <w:rsid w:val="00B0282B"/>
    <w:rsid w:val="00B07939"/>
    <w:rsid w:val="00B12FBE"/>
    <w:rsid w:val="00B16402"/>
    <w:rsid w:val="00B21D91"/>
    <w:rsid w:val="00B24349"/>
    <w:rsid w:val="00B2799D"/>
    <w:rsid w:val="00B3200C"/>
    <w:rsid w:val="00B3755D"/>
    <w:rsid w:val="00B53634"/>
    <w:rsid w:val="00B5530F"/>
    <w:rsid w:val="00B61E75"/>
    <w:rsid w:val="00B678D7"/>
    <w:rsid w:val="00B8415B"/>
    <w:rsid w:val="00B84DC5"/>
    <w:rsid w:val="00B85268"/>
    <w:rsid w:val="00B96120"/>
    <w:rsid w:val="00B962A1"/>
    <w:rsid w:val="00BA44EB"/>
    <w:rsid w:val="00BA64D1"/>
    <w:rsid w:val="00BB3074"/>
    <w:rsid w:val="00BB533A"/>
    <w:rsid w:val="00BC3D10"/>
    <w:rsid w:val="00BD0368"/>
    <w:rsid w:val="00BD1CCD"/>
    <w:rsid w:val="00BE337E"/>
    <w:rsid w:val="00BE5868"/>
    <w:rsid w:val="00BF0075"/>
    <w:rsid w:val="00BF5C5D"/>
    <w:rsid w:val="00C11DE8"/>
    <w:rsid w:val="00C133AC"/>
    <w:rsid w:val="00C15B86"/>
    <w:rsid w:val="00C24028"/>
    <w:rsid w:val="00C24371"/>
    <w:rsid w:val="00C25E3D"/>
    <w:rsid w:val="00C302AC"/>
    <w:rsid w:val="00C418C8"/>
    <w:rsid w:val="00C4760E"/>
    <w:rsid w:val="00C64897"/>
    <w:rsid w:val="00C915FE"/>
    <w:rsid w:val="00CA02E0"/>
    <w:rsid w:val="00CA4C78"/>
    <w:rsid w:val="00CA5146"/>
    <w:rsid w:val="00CA6DFF"/>
    <w:rsid w:val="00CB3992"/>
    <w:rsid w:val="00CB40AD"/>
    <w:rsid w:val="00CB5188"/>
    <w:rsid w:val="00CB7D39"/>
    <w:rsid w:val="00CD033F"/>
    <w:rsid w:val="00CD061E"/>
    <w:rsid w:val="00CD27D5"/>
    <w:rsid w:val="00CD3D96"/>
    <w:rsid w:val="00CD4C98"/>
    <w:rsid w:val="00CD611E"/>
    <w:rsid w:val="00CE24BB"/>
    <w:rsid w:val="00CF35FF"/>
    <w:rsid w:val="00D01A7A"/>
    <w:rsid w:val="00D0546C"/>
    <w:rsid w:val="00D0559D"/>
    <w:rsid w:val="00D11C23"/>
    <w:rsid w:val="00D14880"/>
    <w:rsid w:val="00D1754A"/>
    <w:rsid w:val="00D20511"/>
    <w:rsid w:val="00D21BA1"/>
    <w:rsid w:val="00D24554"/>
    <w:rsid w:val="00D30120"/>
    <w:rsid w:val="00D31B19"/>
    <w:rsid w:val="00D476A3"/>
    <w:rsid w:val="00D50BC4"/>
    <w:rsid w:val="00D53BF3"/>
    <w:rsid w:val="00D6006E"/>
    <w:rsid w:val="00D60F45"/>
    <w:rsid w:val="00D61985"/>
    <w:rsid w:val="00D72702"/>
    <w:rsid w:val="00D72AEA"/>
    <w:rsid w:val="00D73419"/>
    <w:rsid w:val="00D80948"/>
    <w:rsid w:val="00D81CA5"/>
    <w:rsid w:val="00D8513F"/>
    <w:rsid w:val="00D873B0"/>
    <w:rsid w:val="00D8791E"/>
    <w:rsid w:val="00D91E6F"/>
    <w:rsid w:val="00D94A42"/>
    <w:rsid w:val="00DA11CE"/>
    <w:rsid w:val="00DA3DE2"/>
    <w:rsid w:val="00DD0053"/>
    <w:rsid w:val="00DD23EB"/>
    <w:rsid w:val="00DE04F4"/>
    <w:rsid w:val="00DE575B"/>
    <w:rsid w:val="00DE650D"/>
    <w:rsid w:val="00E00E36"/>
    <w:rsid w:val="00E03F0E"/>
    <w:rsid w:val="00E055E8"/>
    <w:rsid w:val="00E05621"/>
    <w:rsid w:val="00E12AE0"/>
    <w:rsid w:val="00E145C3"/>
    <w:rsid w:val="00E20407"/>
    <w:rsid w:val="00E23336"/>
    <w:rsid w:val="00E25817"/>
    <w:rsid w:val="00E260D0"/>
    <w:rsid w:val="00E27147"/>
    <w:rsid w:val="00E323A9"/>
    <w:rsid w:val="00E3667D"/>
    <w:rsid w:val="00E368BB"/>
    <w:rsid w:val="00E37E4C"/>
    <w:rsid w:val="00E37FA1"/>
    <w:rsid w:val="00E413E5"/>
    <w:rsid w:val="00E471A5"/>
    <w:rsid w:val="00E56F93"/>
    <w:rsid w:val="00E65605"/>
    <w:rsid w:val="00E665A4"/>
    <w:rsid w:val="00E703AE"/>
    <w:rsid w:val="00E77E27"/>
    <w:rsid w:val="00E8028E"/>
    <w:rsid w:val="00E802D4"/>
    <w:rsid w:val="00E8080A"/>
    <w:rsid w:val="00E84ACA"/>
    <w:rsid w:val="00E9566B"/>
    <w:rsid w:val="00EA5437"/>
    <w:rsid w:val="00EA5ECA"/>
    <w:rsid w:val="00EA5F13"/>
    <w:rsid w:val="00EA6775"/>
    <w:rsid w:val="00EB0809"/>
    <w:rsid w:val="00ED0214"/>
    <w:rsid w:val="00EE16D3"/>
    <w:rsid w:val="00EE3F3A"/>
    <w:rsid w:val="00EF6132"/>
    <w:rsid w:val="00EF701E"/>
    <w:rsid w:val="00F022EE"/>
    <w:rsid w:val="00F061CD"/>
    <w:rsid w:val="00F13C0C"/>
    <w:rsid w:val="00F32181"/>
    <w:rsid w:val="00F44E1D"/>
    <w:rsid w:val="00F45BAB"/>
    <w:rsid w:val="00F45E45"/>
    <w:rsid w:val="00F52A84"/>
    <w:rsid w:val="00F576B3"/>
    <w:rsid w:val="00F611A9"/>
    <w:rsid w:val="00F7073F"/>
    <w:rsid w:val="00F7269F"/>
    <w:rsid w:val="00F8783F"/>
    <w:rsid w:val="00F90358"/>
    <w:rsid w:val="00F912C9"/>
    <w:rsid w:val="00F9211E"/>
    <w:rsid w:val="00FA7DE7"/>
    <w:rsid w:val="00FC2905"/>
    <w:rsid w:val="00FC34C3"/>
    <w:rsid w:val="00FC63FC"/>
    <w:rsid w:val="00FC7A62"/>
    <w:rsid w:val="00FD119E"/>
    <w:rsid w:val="00FE3A9E"/>
    <w:rsid w:val="00FE4877"/>
    <w:rsid w:val="00FE5188"/>
    <w:rsid w:val="00FE6389"/>
    <w:rsid w:val="00FE74FC"/>
    <w:rsid w:val="00FF3E61"/>
    <w:rsid w:val="00FF47EF"/>
    <w:rsid w:val="00FF5B50"/>
    <w:rsid w:val="00FF6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289"/>
    <w:pPr>
      <w:bidi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E6289"/>
    <w:pPr>
      <w:keepNext/>
      <w:jc w:val="center"/>
      <w:outlineLvl w:val="0"/>
    </w:pPr>
    <w:rPr>
      <w:rFonts w:ascii="Times New Roman" w:eastAsia="Times New Roman" w:hAnsi="Times New Roman" w:cs="Simplified Arabic"/>
      <w:b/>
      <w:bCs/>
      <w:sz w:val="40"/>
      <w:szCs w:val="40"/>
      <w:lang w:eastAsia="ar-SA"/>
    </w:rPr>
  </w:style>
  <w:style w:type="paragraph" w:styleId="Heading2">
    <w:name w:val="heading 2"/>
    <w:basedOn w:val="Normal"/>
    <w:next w:val="Normal"/>
    <w:link w:val="Heading2Char"/>
    <w:unhideWhenUsed/>
    <w:qFormat/>
    <w:rsid w:val="005E6289"/>
    <w:pPr>
      <w:keepNext/>
      <w:jc w:val="center"/>
      <w:outlineLvl w:val="1"/>
    </w:pPr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nhideWhenUsed/>
    <w:qFormat/>
    <w:rsid w:val="005E6289"/>
    <w:pPr>
      <w:keepNext/>
      <w:outlineLvl w:val="2"/>
    </w:pPr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Heading5">
    <w:name w:val="heading 5"/>
    <w:basedOn w:val="Normal"/>
    <w:next w:val="Normal"/>
    <w:link w:val="Heading5Char"/>
    <w:unhideWhenUsed/>
    <w:qFormat/>
    <w:rsid w:val="005E6289"/>
    <w:pPr>
      <w:keepNext/>
      <w:outlineLvl w:val="4"/>
    </w:pPr>
    <w:rPr>
      <w:rFonts w:ascii="Times New Roman" w:eastAsia="Times New Roman" w:hAnsi="Times New Roman" w:cs="Simplified Arabic"/>
      <w:b/>
      <w:bCs/>
      <w:sz w:val="24"/>
      <w:szCs w:val="24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6289"/>
    <w:rPr>
      <w:rFonts w:ascii="Times New Roman" w:eastAsia="Times New Roman" w:hAnsi="Times New Roman" w:cs="Simplified Arabic"/>
      <w:b/>
      <w:bCs/>
      <w:sz w:val="40"/>
      <w:szCs w:val="40"/>
      <w:lang w:eastAsia="ar-SA"/>
    </w:rPr>
  </w:style>
  <w:style w:type="character" w:customStyle="1" w:styleId="Heading2Char">
    <w:name w:val="Heading 2 Char"/>
    <w:basedOn w:val="DefaultParagraphFont"/>
    <w:link w:val="Heading2"/>
    <w:rsid w:val="005E6289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5E6289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rsid w:val="005E6289"/>
    <w:rPr>
      <w:rFonts w:ascii="Times New Roman" w:eastAsia="Times New Roman" w:hAnsi="Times New Roman" w:cs="Simplified Arabic"/>
      <w:b/>
      <w:bCs/>
      <w:sz w:val="24"/>
      <w:szCs w:val="24"/>
      <w:u w:val="single"/>
      <w:lang w:eastAsia="ar-SA"/>
    </w:rPr>
  </w:style>
  <w:style w:type="paragraph" w:styleId="Header">
    <w:name w:val="header"/>
    <w:basedOn w:val="Normal"/>
    <w:link w:val="HeaderChar"/>
    <w:unhideWhenUsed/>
    <w:rsid w:val="005E6289"/>
    <w:pPr>
      <w:tabs>
        <w:tab w:val="center" w:pos="4153"/>
        <w:tab w:val="right" w:pos="8306"/>
      </w:tabs>
      <w:snapToGrid w:val="0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5E6289"/>
    <w:rPr>
      <w:rFonts w:ascii="Times New Roman" w:eastAsia="Times New Roman" w:hAnsi="Times New Roman" w:cs="Traditional Arabic"/>
      <w:sz w:val="20"/>
      <w:szCs w:val="20"/>
    </w:rPr>
  </w:style>
  <w:style w:type="paragraph" w:styleId="BodyText">
    <w:name w:val="Body Text"/>
    <w:basedOn w:val="Normal"/>
    <w:link w:val="BodyTextChar"/>
    <w:unhideWhenUsed/>
    <w:rsid w:val="005E6289"/>
    <w:pPr>
      <w:jc w:val="lowKashida"/>
    </w:pPr>
    <w:rPr>
      <w:rFonts w:ascii="Times New Roman" w:eastAsia="Times New Roman" w:hAnsi="Times New Roman" w:cs="Simplified Arabic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5E6289"/>
    <w:rPr>
      <w:rFonts w:ascii="Times New Roman" w:eastAsia="Times New Roman" w:hAnsi="Times New Roman" w:cs="Simplified Arabic"/>
      <w:sz w:val="24"/>
      <w:szCs w:val="24"/>
      <w:lang w:eastAsia="ar-SA"/>
    </w:rPr>
  </w:style>
  <w:style w:type="paragraph" w:styleId="BlockText">
    <w:name w:val="Block Text"/>
    <w:basedOn w:val="Normal"/>
    <w:semiHidden/>
    <w:unhideWhenUsed/>
    <w:rsid w:val="005E6289"/>
    <w:pPr>
      <w:ind w:left="210" w:right="180"/>
      <w:jc w:val="lowKashida"/>
    </w:pPr>
    <w:rPr>
      <w:rFonts w:ascii="Times New Roman" w:eastAsia="Times New Roman" w:hAnsi="Times New Roman" w:cs="Simplified Arabic"/>
      <w:sz w:val="18"/>
      <w:szCs w:val="18"/>
    </w:rPr>
  </w:style>
  <w:style w:type="paragraph" w:styleId="ListParagraph">
    <w:name w:val="List Paragraph"/>
    <w:basedOn w:val="Normal"/>
    <w:uiPriority w:val="34"/>
    <w:qFormat/>
    <w:rsid w:val="005E628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2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28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E518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188"/>
    <w:rPr>
      <w:sz w:val="22"/>
      <w:szCs w:val="22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361ED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61ED6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BA64D1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A5DA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1">
    <w:name w:val="Medium Grid 1 Accent 1"/>
    <w:basedOn w:val="TableNormal"/>
    <w:uiPriority w:val="67"/>
    <w:rsid w:val="003407B4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ediumList21">
    <w:name w:val="Medium List 21"/>
    <w:basedOn w:val="TableNormal"/>
    <w:uiPriority w:val="66"/>
    <w:rsid w:val="003407B4"/>
    <w:rPr>
      <w:rFonts w:ascii="Cambria" w:eastAsia="Times New Roman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Shading1">
    <w:name w:val="Light Shading1"/>
    <w:basedOn w:val="TableNormal"/>
    <w:uiPriority w:val="60"/>
    <w:rsid w:val="003407B4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Grid3-Accent6">
    <w:name w:val="Medium Grid 3 Accent 6"/>
    <w:basedOn w:val="TableNormal"/>
    <w:uiPriority w:val="69"/>
    <w:rsid w:val="00145699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ghtList-Accent6">
    <w:name w:val="Light List Accent 6"/>
    <w:basedOn w:val="TableNormal"/>
    <w:uiPriority w:val="61"/>
    <w:rsid w:val="00145699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MediumGrid11">
    <w:name w:val="Medium Grid 11"/>
    <w:basedOn w:val="TableNormal"/>
    <w:uiPriority w:val="67"/>
    <w:rsid w:val="00145699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List11">
    <w:name w:val="Medium List 11"/>
    <w:basedOn w:val="TableNormal"/>
    <w:uiPriority w:val="65"/>
    <w:rsid w:val="00145699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Shading1-Accent3">
    <w:name w:val="Medium Shading 1 Accent 3"/>
    <w:basedOn w:val="TableNormal"/>
    <w:uiPriority w:val="63"/>
    <w:rsid w:val="00145699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6">
    <w:name w:val="Medium List 1 Accent 6"/>
    <w:basedOn w:val="TableNormal"/>
    <w:uiPriority w:val="65"/>
    <w:rsid w:val="00145699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9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Office_Excel_Worksheet4.xlsx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Office_Excel_Worksheet5.xlsx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0.16458687890116969"/>
          <c:y val="3.9932573083537051E-2"/>
          <c:w val="0.79746180192812"/>
          <c:h val="0.67447781884343883"/>
        </c:manualLayout>
      </c:layout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رجال</c:v>
                </c:pt>
              </c:strCache>
            </c:strRef>
          </c:tx>
          <c:spPr>
            <a:ln w="12700"/>
          </c:spPr>
          <c:marker>
            <c:symbol val="diamond"/>
            <c:size val="5"/>
          </c:marker>
          <c:dLbls>
            <c:dLbl>
              <c:idx val="0"/>
              <c:layout>
                <c:manualLayout>
                  <c:x val="-3.6246986354583496E-2"/>
                  <c:y val="7.5704136120916643E-2"/>
                </c:manualLayout>
              </c:layout>
              <c:dLblPos val="r"/>
              <c:showVal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dLbl>
              <c:idx val="11"/>
              <c:delete val="1"/>
            </c:dLbl>
            <c:dLbl>
              <c:idx val="12"/>
              <c:layout>
                <c:manualLayout>
                  <c:x val="-3.9252307635390865E-2"/>
                  <c:y val="5.9281835460222615E-2"/>
                </c:manualLayout>
              </c:layout>
              <c:dLblPos val="r"/>
              <c:showVal val="1"/>
            </c:dLbl>
            <c:txPr>
              <a:bodyPr rot="0" vert="horz"/>
              <a:lstStyle/>
              <a:p>
                <a:pPr>
                  <a:defRPr sz="700">
                    <a:latin typeface="Arial" pitchFamily="34" charset="0"/>
                    <a:cs typeface="Arial" pitchFamily="34" charset="0"/>
                  </a:defRPr>
                </a:pPr>
                <a:endParaRPr lang="en-US"/>
              </a:p>
            </c:txPr>
            <c:dLblPos val="b"/>
            <c:showVal val="1"/>
          </c:dLbls>
          <c:cat>
            <c:numRef>
              <c:f>Sheet1!$A$2:$A$14</c:f>
              <c:numCache>
                <c:formatCode>General</c:formatCode>
                <c:ptCount val="13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</c:numCache>
            </c:numRef>
          </c:cat>
          <c:val>
            <c:numRef>
              <c:f>Sheet1!$B$2:$B$14</c:f>
              <c:numCache>
                <c:formatCode>General</c:formatCode>
                <c:ptCount val="13"/>
                <c:pt idx="0">
                  <c:v>95.3</c:v>
                </c:pt>
                <c:pt idx="1">
                  <c:v>95.7</c:v>
                </c:pt>
                <c:pt idx="2">
                  <c:v>96.3</c:v>
                </c:pt>
                <c:pt idx="3">
                  <c:v>96.5</c:v>
                </c:pt>
                <c:pt idx="4">
                  <c:v>96.9</c:v>
                </c:pt>
                <c:pt idx="5">
                  <c:v>97.1</c:v>
                </c:pt>
                <c:pt idx="6">
                  <c:v>97.2</c:v>
                </c:pt>
                <c:pt idx="7">
                  <c:v>97.1</c:v>
                </c:pt>
                <c:pt idx="8">
                  <c:v>97.4</c:v>
                </c:pt>
                <c:pt idx="9">
                  <c:v>97.6</c:v>
                </c:pt>
                <c:pt idx="10">
                  <c:v>97.9</c:v>
                </c:pt>
                <c:pt idx="11">
                  <c:v>98.2</c:v>
                </c:pt>
                <c:pt idx="12">
                  <c:v>98.4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نساء</c:v>
                </c:pt>
              </c:strCache>
            </c:strRef>
          </c:tx>
          <c:spPr>
            <a:ln w="12700"/>
          </c:spPr>
          <c:marker>
            <c:symbol val="square"/>
            <c:size val="5"/>
          </c:marker>
          <c:dLbls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dLbl>
              <c:idx val="11"/>
              <c:delete val="1"/>
            </c:dLbl>
            <c:txPr>
              <a:bodyPr rot="0" vert="horz"/>
              <a:lstStyle/>
              <a:p>
                <a:pPr>
                  <a:defRPr sz="700">
                    <a:latin typeface="Arial" pitchFamily="34" charset="0"/>
                    <a:cs typeface="Arial" pitchFamily="34" charset="0"/>
                  </a:defRPr>
                </a:pPr>
                <a:endParaRPr lang="en-US"/>
              </a:p>
            </c:txPr>
            <c:dLblPos val="b"/>
            <c:showVal val="1"/>
          </c:dLbls>
          <c:cat>
            <c:numRef>
              <c:f>Sheet1!$A$2:$A$14</c:f>
              <c:numCache>
                <c:formatCode>General</c:formatCode>
                <c:ptCount val="13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</c:numCache>
            </c:numRef>
          </c:cat>
          <c:val>
            <c:numRef>
              <c:f>Sheet1!$C$2:$C$14</c:f>
              <c:numCache>
                <c:formatCode>General</c:formatCode>
                <c:ptCount val="13"/>
                <c:pt idx="0">
                  <c:v>84.7</c:v>
                </c:pt>
                <c:pt idx="1">
                  <c:v>86.4</c:v>
                </c:pt>
                <c:pt idx="2">
                  <c:v>87.4</c:v>
                </c:pt>
                <c:pt idx="3" formatCode="0.0">
                  <c:v>88</c:v>
                </c:pt>
                <c:pt idx="4">
                  <c:v>88.9</c:v>
                </c:pt>
                <c:pt idx="5">
                  <c:v>89.8</c:v>
                </c:pt>
                <c:pt idx="6">
                  <c:v>90.5</c:v>
                </c:pt>
                <c:pt idx="7">
                  <c:v>90.9</c:v>
                </c:pt>
                <c:pt idx="8">
                  <c:v>91.7</c:v>
                </c:pt>
                <c:pt idx="9">
                  <c:v>92.2</c:v>
                </c:pt>
                <c:pt idx="10">
                  <c:v>92.6</c:v>
                </c:pt>
                <c:pt idx="11">
                  <c:v>93.6</c:v>
                </c:pt>
                <c:pt idx="12">
                  <c:v>94.1</c:v>
                </c:pt>
              </c:numCache>
            </c:numRef>
          </c:val>
        </c:ser>
        <c:marker val="1"/>
        <c:axId val="125997056"/>
        <c:axId val="125998976"/>
      </c:lineChart>
      <c:catAx>
        <c:axId val="125997056"/>
        <c:scaling>
          <c:orientation val="minMax"/>
        </c:scaling>
        <c:axPos val="b"/>
        <c:majorGridlines>
          <c:spPr>
            <a:ln>
              <a:solidFill>
                <a:srgbClr val="F79646">
                  <a:lumMod val="40000"/>
                  <a:lumOff val="60000"/>
                </a:srgb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900" b="1"/>
                </a:pPr>
                <a:r>
                  <a:rPr lang="ar-SA" sz="900" b="1">
                    <a:cs typeface="+mn-cs"/>
                  </a:rPr>
                  <a:t>السنة</a:t>
                </a:r>
                <a:endParaRPr lang="en-US" sz="900" b="1">
                  <a:cs typeface="+mn-cs"/>
                </a:endParaRPr>
              </a:p>
            </c:rich>
          </c:tx>
          <c:layout>
            <c:manualLayout>
              <c:xMode val="edge"/>
              <c:yMode val="edge"/>
              <c:x val="0.48673586611768632"/>
              <c:y val="0.87778869844179797"/>
            </c:manualLayout>
          </c:layout>
        </c:title>
        <c:numFmt formatCode="General" sourceLinked="1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125998976"/>
        <c:crosses val="autoZero"/>
        <c:auto val="1"/>
        <c:lblAlgn val="ctr"/>
        <c:lblOffset val="100"/>
      </c:catAx>
      <c:valAx>
        <c:axId val="125998976"/>
        <c:scaling>
          <c:orientation val="minMax"/>
        </c:scaling>
        <c:axPos val="l"/>
        <c:majorGridlines>
          <c:spPr>
            <a:ln>
              <a:solidFill>
                <a:srgbClr val="F79646">
                  <a:lumMod val="40000"/>
                  <a:lumOff val="60000"/>
                </a:srgbClr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 sz="800" b="1">
                    <a:cs typeface="+mn-cs"/>
                  </a:defRPr>
                </a:pPr>
                <a:r>
                  <a:rPr lang="ar-SA" sz="900" b="1">
                    <a:cs typeface="+mn-cs"/>
                  </a:rPr>
                  <a:t>المعدل</a:t>
                </a:r>
                <a:endParaRPr lang="en-US" sz="900" b="1">
                  <a:cs typeface="+mn-cs"/>
                </a:endParaRPr>
              </a:p>
            </c:rich>
          </c:tx>
          <c:layout>
            <c:manualLayout>
              <c:xMode val="edge"/>
              <c:yMode val="edge"/>
              <c:x val="2.9482875489335789E-2"/>
              <c:y val="0.29285409229186488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1259970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48028255797243286"/>
          <c:y val="0.41382013430691938"/>
          <c:w val="0.4585023045880206"/>
          <c:h val="0.13371731760085392"/>
        </c:manualLayout>
      </c:layout>
      <c:txPr>
        <a:bodyPr/>
        <a:lstStyle/>
        <a:p>
          <a:pPr>
            <a:defRPr sz="900"/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0.16023419693038121"/>
          <c:y val="3.7930190852840245E-2"/>
          <c:w val="0.80136472284743221"/>
          <c:h val="0.63763595553911534"/>
        </c:manualLayout>
      </c:layout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رجال</c:v>
                </c:pt>
              </c:strCache>
            </c:strRef>
          </c:tx>
          <c:spPr>
            <a:ln w="12700"/>
          </c:spPr>
          <c:marker>
            <c:symbol val="diamond"/>
            <c:size val="5"/>
          </c:marker>
          <c:dLbls>
            <c:dLbl>
              <c:idx val="0"/>
              <c:layout>
                <c:manualLayout>
                  <c:x val="-5.6587161539821323E-2"/>
                  <c:y val="8.5083075022861956E-2"/>
                </c:manualLayout>
              </c:layout>
              <c:dLblPos val="r"/>
              <c:showVal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dLbl>
              <c:idx val="11"/>
              <c:delete val="1"/>
            </c:dLbl>
            <c:txPr>
              <a:bodyPr rot="0" vert="horz"/>
              <a:lstStyle/>
              <a:p>
                <a:pPr>
                  <a:defRPr sz="700" b="0">
                    <a:latin typeface="Arial" pitchFamily="34" charset="0"/>
                    <a:cs typeface="Arial" pitchFamily="34" charset="0"/>
                  </a:defRPr>
                </a:pPr>
                <a:endParaRPr lang="en-US"/>
              </a:p>
            </c:txPr>
            <c:dLblPos val="b"/>
            <c:showVal val="1"/>
          </c:dLbls>
          <c:cat>
            <c:numRef>
              <c:f>Sheet1!$A$2:$A$14</c:f>
              <c:numCache>
                <c:formatCode>General</c:formatCode>
                <c:ptCount val="13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</c:numCache>
            </c:numRef>
          </c:cat>
          <c:val>
            <c:numRef>
              <c:f>Sheet1!$B$2:$B$14</c:f>
              <c:numCache>
                <c:formatCode>0.0</c:formatCode>
                <c:ptCount val="13"/>
                <c:pt idx="0">
                  <c:v>66.8</c:v>
                </c:pt>
                <c:pt idx="1">
                  <c:v>65.5</c:v>
                </c:pt>
                <c:pt idx="2">
                  <c:v>67.5</c:v>
                </c:pt>
                <c:pt idx="3" formatCode="General">
                  <c:v>66.900000000000006</c:v>
                </c:pt>
                <c:pt idx="4" formatCode="General">
                  <c:v>67.599999999999994</c:v>
                </c:pt>
                <c:pt idx="5" formatCode="General">
                  <c:v>67.7</c:v>
                </c:pt>
                <c:pt idx="6" formatCode="General">
                  <c:v>67.7</c:v>
                </c:pt>
                <c:pt idx="7" formatCode="General">
                  <c:v>66.8</c:v>
                </c:pt>
                <c:pt idx="8" formatCode="General">
                  <c:v>67</c:v>
                </c:pt>
                <c:pt idx="9" formatCode="General">
                  <c:v>66.8</c:v>
                </c:pt>
                <c:pt idx="10" formatCode="General">
                  <c:v>68.7</c:v>
                </c:pt>
                <c:pt idx="11" formatCode="General">
                  <c:v>69.099999999999994</c:v>
                </c:pt>
                <c:pt idx="12" formatCode="General">
                  <c:v>69.3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نساء</c:v>
                </c:pt>
              </c:strCache>
            </c:strRef>
          </c:tx>
          <c:spPr>
            <a:ln w="12700">
              <a:solidFill>
                <a:srgbClr val="C0504D">
                  <a:shade val="95000"/>
                  <a:satMod val="105000"/>
                </a:srgbClr>
              </a:solidFill>
              <a:headEnd type="none"/>
              <a:tailEnd w="sm" len="sm"/>
            </a:ln>
          </c:spPr>
          <c:marker>
            <c:symbol val="square"/>
            <c:size val="4"/>
          </c:marker>
          <c:dLbls>
            <c:dLbl>
              <c:idx val="0"/>
              <c:layout>
                <c:manualLayout>
                  <c:x val="-4.8710044564634222E-2"/>
                  <c:y val="-8.5083075022861956E-2"/>
                </c:manualLayout>
              </c:layout>
              <c:dLblPos val="r"/>
              <c:showVal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dLbl>
              <c:idx val="11"/>
              <c:delete val="1"/>
            </c:dLbl>
            <c:txPr>
              <a:bodyPr rot="0" vert="horz"/>
              <a:lstStyle/>
              <a:p>
                <a:pPr>
                  <a:defRPr sz="700">
                    <a:latin typeface="Arial" pitchFamily="34" charset="0"/>
                    <a:cs typeface="Arial" pitchFamily="34" charset="0"/>
                  </a:defRPr>
                </a:pPr>
                <a:endParaRPr lang="en-US"/>
              </a:p>
            </c:txPr>
            <c:dLblPos val="t"/>
            <c:showVal val="1"/>
          </c:dLbls>
          <c:cat>
            <c:numRef>
              <c:f>Sheet1!$A$2:$A$14</c:f>
              <c:numCache>
                <c:formatCode>General</c:formatCode>
                <c:ptCount val="13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</c:numCache>
            </c:numRef>
          </c:cat>
          <c:val>
            <c:numRef>
              <c:f>Sheet1!$C$2:$C$14</c:f>
              <c:numCache>
                <c:formatCode>0.0</c:formatCode>
                <c:ptCount val="13"/>
                <c:pt idx="0">
                  <c:v>10.3</c:v>
                </c:pt>
                <c:pt idx="1">
                  <c:v>10.3</c:v>
                </c:pt>
                <c:pt idx="2">
                  <c:v>12.8</c:v>
                </c:pt>
                <c:pt idx="3" formatCode="General">
                  <c:v>13.5</c:v>
                </c:pt>
                <c:pt idx="4" formatCode="General">
                  <c:v>13.4</c:v>
                </c:pt>
                <c:pt idx="5" formatCode="General">
                  <c:v>14.5</c:v>
                </c:pt>
                <c:pt idx="6" formatCode="General">
                  <c:v>15.7</c:v>
                </c:pt>
                <c:pt idx="7" formatCode="General">
                  <c:v>15.2</c:v>
                </c:pt>
                <c:pt idx="8" formatCode="General">
                  <c:v>15.5</c:v>
                </c:pt>
                <c:pt idx="9" formatCode="General">
                  <c:v>14.7</c:v>
                </c:pt>
                <c:pt idx="10" formatCode="General">
                  <c:v>16.600000000000001</c:v>
                </c:pt>
                <c:pt idx="11" formatCode="General">
                  <c:v>17.399999999999999</c:v>
                </c:pt>
                <c:pt idx="12" formatCode="General">
                  <c:v>17.3</c:v>
                </c:pt>
              </c:numCache>
            </c:numRef>
          </c:val>
        </c:ser>
        <c:marker val="1"/>
        <c:axId val="126716160"/>
        <c:axId val="126730624"/>
      </c:lineChart>
      <c:catAx>
        <c:axId val="126716160"/>
        <c:scaling>
          <c:orientation val="minMax"/>
        </c:scaling>
        <c:axPos val="b"/>
        <c:majorGridlines>
          <c:spPr>
            <a:ln>
              <a:solidFill>
                <a:srgbClr val="F79646">
                  <a:lumMod val="40000"/>
                  <a:lumOff val="60000"/>
                </a:srgb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900" b="1">
                    <a:cs typeface="+mn-cs"/>
                  </a:defRPr>
                </a:pPr>
                <a:r>
                  <a:rPr lang="ar-SA" sz="900" b="1">
                    <a:cs typeface="+mn-cs"/>
                  </a:rPr>
                  <a:t>السنة</a:t>
                </a:r>
                <a:endParaRPr lang="en-US" sz="900" b="1">
                  <a:cs typeface="+mn-cs"/>
                </a:endParaRPr>
              </a:p>
            </c:rich>
          </c:tx>
        </c:title>
        <c:numFmt formatCode="General" sourceLinked="1"/>
        <c:tickLblPos val="nextTo"/>
        <c:spPr>
          <a:noFill/>
        </c:spPr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126730624"/>
        <c:crosses val="autoZero"/>
        <c:auto val="1"/>
        <c:lblAlgn val="ctr"/>
        <c:lblOffset val="100"/>
      </c:catAx>
      <c:valAx>
        <c:axId val="126730624"/>
        <c:scaling>
          <c:orientation val="minMax"/>
        </c:scaling>
        <c:axPos val="l"/>
        <c:majorGridlines>
          <c:spPr>
            <a:ln>
              <a:solidFill>
                <a:srgbClr val="F79646">
                  <a:lumMod val="40000"/>
                  <a:lumOff val="60000"/>
                </a:srgbClr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 sz="900" b="1"/>
                </a:pPr>
                <a:r>
                  <a:rPr lang="ar-SA" sz="900" b="1"/>
                  <a:t>النسبة</a:t>
                </a:r>
                <a:endParaRPr lang="en-US" sz="900" b="1"/>
              </a:p>
            </c:rich>
          </c:tx>
        </c:title>
        <c:numFmt formatCode="0.0" sourceLinked="1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1267161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9072313323949387"/>
          <c:y val="0.27994424479757402"/>
          <c:w val="0.45190069569061342"/>
          <c:h val="0.1129538318270271"/>
        </c:manualLayout>
      </c:layout>
      <c:txPr>
        <a:bodyPr/>
        <a:lstStyle/>
        <a:p>
          <a:pPr>
            <a:defRPr sz="900">
              <a:latin typeface="Arial" pitchFamily="34" charset="0"/>
              <a:cs typeface="Arial" pitchFamily="34" charset="0"/>
            </a:defRPr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0.14398673357451044"/>
          <c:y val="8.0162597003894373E-2"/>
          <c:w val="0.81761201321690591"/>
          <c:h val="0.63087083764252327"/>
        </c:manualLayout>
      </c:layout>
      <c:lineChart>
        <c:grouping val="standard"/>
        <c:ser>
          <c:idx val="1"/>
          <c:order val="0"/>
          <c:tx>
            <c:strRef>
              <c:f>Sheet2!$B$1</c:f>
              <c:strCache>
                <c:ptCount val="1"/>
                <c:pt idx="0">
                  <c:v>رجال</c:v>
                </c:pt>
              </c:strCache>
            </c:strRef>
          </c:tx>
          <c:spPr>
            <a:ln w="12700">
              <a:solidFill>
                <a:schemeClr val="tx2">
                  <a:lumMod val="60000"/>
                  <a:lumOff val="40000"/>
                </a:schemeClr>
              </a:solidFill>
            </a:ln>
          </c:spPr>
          <c:marker>
            <c:symbol val="diamond"/>
            <c:size val="5"/>
            <c:spPr>
              <a:solidFill>
                <a:schemeClr val="accent1"/>
              </a:solidFill>
              <a:ln>
                <a:solidFill>
                  <a:schemeClr val="tx2">
                    <a:lumMod val="60000"/>
                    <a:lumOff val="40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4.6017007571971774E-2"/>
                  <c:y val="7.9844334981563514E-2"/>
                </c:manualLayout>
              </c:layout>
              <c:showVal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dLbl>
              <c:idx val="11"/>
              <c:delete val="1"/>
            </c:dLbl>
            <c:dLbl>
              <c:idx val="12"/>
              <c:layout>
                <c:manualLayout>
                  <c:x val="-4.6017007571971774E-2"/>
                  <c:y val="0.10379763547603323"/>
                </c:manualLayout>
              </c:layout>
              <c:showVal val="1"/>
            </c:dLbl>
            <c:numFmt formatCode="#,##0.0" sourceLinked="0"/>
            <c:spPr>
              <a:noFill/>
            </c:spPr>
            <c:txPr>
              <a:bodyPr rot="0" vert="horz"/>
              <a:lstStyle/>
              <a:p>
                <a:pPr>
                  <a:defRPr sz="700">
                    <a:latin typeface="Arial" pitchFamily="34" charset="0"/>
                    <a:cs typeface="Arial" pitchFamily="34" charset="0"/>
                  </a:defRPr>
                </a:pPr>
                <a:endParaRPr lang="en-US"/>
              </a:p>
            </c:txPr>
            <c:showVal val="1"/>
          </c:dLbls>
          <c:cat>
            <c:numRef>
              <c:f>Sheet2!$A$2:$A$14</c:f>
              <c:numCache>
                <c:formatCode>General</c:formatCode>
                <c:ptCount val="13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</c:numCache>
            </c:numRef>
          </c:cat>
          <c:val>
            <c:numRef>
              <c:f>Sheet2!$B$2:$B$14</c:f>
              <c:numCache>
                <c:formatCode>0.0</c:formatCode>
                <c:ptCount val="13"/>
                <c:pt idx="0">
                  <c:v>27.1</c:v>
                </c:pt>
                <c:pt idx="1">
                  <c:v>33.5</c:v>
                </c:pt>
                <c:pt idx="2">
                  <c:v>26.9</c:v>
                </c:pt>
                <c:pt idx="3">
                  <c:v>28.1</c:v>
                </c:pt>
                <c:pt idx="4">
                  <c:v>23.7</c:v>
                </c:pt>
                <c:pt idx="5">
                  <c:v>24.2</c:v>
                </c:pt>
                <c:pt idx="6">
                  <c:v>22.1</c:v>
                </c:pt>
                <c:pt idx="7">
                  <c:v>26.5</c:v>
                </c:pt>
                <c:pt idx="8">
                  <c:v>24.1</c:v>
                </c:pt>
                <c:pt idx="9">
                  <c:v>23.1</c:v>
                </c:pt>
                <c:pt idx="10">
                  <c:v>19.2</c:v>
                </c:pt>
                <c:pt idx="11">
                  <c:v>20.5</c:v>
                </c:pt>
                <c:pt idx="12">
                  <c:v>20.6</c:v>
                </c:pt>
              </c:numCache>
            </c:numRef>
          </c:val>
        </c:ser>
        <c:ser>
          <c:idx val="2"/>
          <c:order val="1"/>
          <c:tx>
            <c:strRef>
              <c:f>Sheet2!$C$1</c:f>
              <c:strCache>
                <c:ptCount val="1"/>
                <c:pt idx="0">
                  <c:v>نساء</c:v>
                </c:pt>
              </c:strCache>
            </c:strRef>
          </c:tx>
          <c:spPr>
            <a:ln w="12700">
              <a:solidFill>
                <a:schemeClr val="accent2"/>
              </a:solidFill>
            </a:ln>
          </c:spPr>
          <c:marker>
            <c:symbol val="square"/>
            <c:size val="5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75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3.06780050479812E-2"/>
                  <c:y val="7.1859901483407151E-2"/>
                </c:manualLayout>
              </c:layout>
              <c:showVal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dLbl>
              <c:idx val="11"/>
              <c:delete val="1"/>
            </c:dLbl>
            <c:dLbl>
              <c:idx val="12"/>
              <c:layout>
                <c:manualLayout>
                  <c:x val="-3.8347506309976478E-2"/>
                  <c:y val="0.11178206897418892"/>
                </c:manualLayout>
              </c:layout>
              <c:showVal val="1"/>
            </c:dLbl>
            <c:txPr>
              <a:bodyPr/>
              <a:lstStyle/>
              <a:p>
                <a:pPr>
                  <a:defRPr sz="700">
                    <a:latin typeface="Arial" pitchFamily="34" charset="0"/>
                    <a:cs typeface="Arial" pitchFamily="34" charset="0"/>
                  </a:defRPr>
                </a:pPr>
                <a:endParaRPr lang="en-US"/>
              </a:p>
            </c:txPr>
            <c:showVal val="1"/>
          </c:dLbls>
          <c:cat>
            <c:numRef>
              <c:f>Sheet2!$A$2:$A$14</c:f>
              <c:numCache>
                <c:formatCode>General</c:formatCode>
                <c:ptCount val="13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</c:numCache>
            </c:numRef>
          </c:cat>
          <c:val>
            <c:numRef>
              <c:f>Sheet2!$C$2:$C$14</c:f>
              <c:numCache>
                <c:formatCode>0.0</c:formatCode>
                <c:ptCount val="13"/>
                <c:pt idx="0">
                  <c:v>13.8</c:v>
                </c:pt>
                <c:pt idx="1">
                  <c:v>17</c:v>
                </c:pt>
                <c:pt idx="2">
                  <c:v>18.5</c:v>
                </c:pt>
                <c:pt idx="3">
                  <c:v>20.100000000000001</c:v>
                </c:pt>
                <c:pt idx="4">
                  <c:v>22.3</c:v>
                </c:pt>
                <c:pt idx="5">
                  <c:v>20.5</c:v>
                </c:pt>
                <c:pt idx="6">
                  <c:v>19</c:v>
                </c:pt>
                <c:pt idx="7">
                  <c:v>23.8</c:v>
                </c:pt>
                <c:pt idx="8">
                  <c:v>26.4</c:v>
                </c:pt>
                <c:pt idx="9">
                  <c:v>26.8</c:v>
                </c:pt>
                <c:pt idx="10">
                  <c:v>28.4</c:v>
                </c:pt>
                <c:pt idx="11">
                  <c:v>32.9</c:v>
                </c:pt>
                <c:pt idx="12">
                  <c:v>35</c:v>
                </c:pt>
              </c:numCache>
            </c:numRef>
          </c:val>
        </c:ser>
        <c:dLbls>
          <c:showVal val="1"/>
        </c:dLbls>
        <c:marker val="1"/>
        <c:axId val="123180544"/>
        <c:axId val="123182464"/>
      </c:lineChart>
      <c:catAx>
        <c:axId val="123180544"/>
        <c:scaling>
          <c:orientation val="minMax"/>
        </c:scaling>
        <c:axPos val="b"/>
        <c:majorGridlines>
          <c:spPr>
            <a:ln>
              <a:solidFill>
                <a:srgbClr val="F79646">
                  <a:lumMod val="40000"/>
                  <a:lumOff val="60000"/>
                </a:srgb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ar-SA" sz="900" b="1">
                    <a:cs typeface="+mn-cs"/>
                  </a:rPr>
                  <a:t>السنة</a:t>
                </a:r>
                <a:endParaRPr lang="en-US" sz="800" b="1">
                  <a:cs typeface="+mn-cs"/>
                </a:endParaRPr>
              </a:p>
            </c:rich>
          </c:tx>
        </c:title>
        <c:numFmt formatCode="@" sourceLinked="0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123182464"/>
        <c:crosses val="autoZero"/>
        <c:auto val="1"/>
        <c:lblAlgn val="ctr"/>
        <c:lblOffset val="100"/>
      </c:catAx>
      <c:valAx>
        <c:axId val="123182464"/>
        <c:scaling>
          <c:orientation val="minMax"/>
        </c:scaling>
        <c:axPos val="l"/>
        <c:majorGridlines>
          <c:spPr>
            <a:ln>
              <a:solidFill>
                <a:srgbClr val="F79646">
                  <a:lumMod val="40000"/>
                  <a:lumOff val="60000"/>
                </a:srgbClr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 sz="1200" b="1">
                    <a:cs typeface="+mn-cs"/>
                  </a:defRPr>
                </a:pPr>
                <a:r>
                  <a:rPr lang="ar-SA" sz="1200" b="0">
                    <a:cs typeface="+mn-cs"/>
                  </a:rPr>
                  <a:t>النسبة</a:t>
                </a:r>
                <a:endParaRPr lang="en-US" sz="1200" b="0">
                  <a:cs typeface="+mn-cs"/>
                </a:endParaRPr>
              </a:p>
            </c:rich>
          </c:tx>
          <c:layout>
            <c:manualLayout>
              <c:xMode val="edge"/>
              <c:yMode val="edge"/>
              <c:x val="0"/>
              <c:y val="0.29924525099098126"/>
            </c:manualLayout>
          </c:layout>
        </c:title>
        <c:numFmt formatCode="General" sourceLinked="0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1231805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47755180254603113"/>
          <c:y val="0.51623745084336659"/>
          <c:w val="0.32407745221853562"/>
          <c:h val="0.13308440269019542"/>
        </c:manualLayout>
      </c:layout>
      <c:txPr>
        <a:bodyPr/>
        <a:lstStyle/>
        <a:p>
          <a:pPr>
            <a:defRPr sz="900"/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32"/>
  <c:chart>
    <c:autoTitleDeleted val="1"/>
    <c:plotArea>
      <c:layout>
        <c:manualLayout>
          <c:layoutTarget val="inner"/>
          <c:xMode val="edge"/>
          <c:yMode val="edge"/>
          <c:x val="0.13503857490295867"/>
          <c:y val="3.0641381094968792E-2"/>
          <c:w val="0.82676695604554895"/>
          <c:h val="0.71464927267482559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رجال</c:v>
                </c:pt>
              </c:strCache>
            </c:strRef>
          </c:tx>
          <c:spPr>
            <a:blipFill>
              <a:blip xmlns:r="http://schemas.openxmlformats.org/officeDocument/2006/relationships" r:embed="rId1"/>
              <a:tile tx="0" ty="0" sx="100000" sy="100000" flip="none" algn="tl"/>
            </a:blipFill>
          </c:spPr>
          <c:dLbls>
            <c:dLbl>
              <c:idx val="0"/>
              <c:layout>
                <c:manualLayout>
                  <c:x val="-2.0756666916579632E-2"/>
                  <c:y val="-2.649617220177598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700">
                    <a:latin typeface="Arial" pitchFamily="34" charset="0"/>
                    <a:cs typeface="Arial" pitchFamily="34" charset="0"/>
                  </a:defRPr>
                </a:pPr>
                <a:endParaRPr lang="en-US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فلسطين</c:v>
                </c:pt>
                <c:pt idx="1">
                  <c:v>الضفة الغربية </c:v>
                </c:pt>
                <c:pt idx="2">
                  <c:v>قطاع غزة 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25.9</c:v>
                </c:pt>
                <c:pt idx="1">
                  <c:v>17.5</c:v>
                </c:pt>
                <c:pt idx="2">
                  <c:v>39.4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نساء</c:v>
                </c:pt>
              </c:strCache>
            </c:strRef>
          </c:tx>
          <c:spPr>
            <a:blipFill>
              <a:blip xmlns:r="http://schemas.openxmlformats.org/officeDocument/2006/relationships" r:embed="rId2"/>
              <a:tile tx="0" ty="0" sx="100000" sy="100000" flip="none" algn="tl"/>
            </a:blipFill>
          </c:spPr>
          <c:dLbls>
            <c:dLbl>
              <c:idx val="0"/>
              <c:layout>
                <c:manualLayout>
                  <c:x val="2.0083272270614003E-2"/>
                  <c:y val="-2.4846850013121792E-2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1.7768402136521699E-2"/>
                  <c:y val="-2.4080396834773452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700">
                    <a:latin typeface="Arial" pitchFamily="34" charset="0"/>
                    <a:cs typeface="Arial" pitchFamily="34" charset="0"/>
                  </a:defRPr>
                </a:pPr>
                <a:endParaRPr lang="en-US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فلسطين</c:v>
                </c:pt>
                <c:pt idx="1">
                  <c:v>الضفة الغربية </c:v>
                </c:pt>
                <c:pt idx="2">
                  <c:v>قطاع غزة 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 formatCode="0.0">
                  <c:v>25</c:v>
                </c:pt>
                <c:pt idx="1">
                  <c:v>22.5</c:v>
                </c:pt>
                <c:pt idx="2">
                  <c:v>29.7</c:v>
                </c:pt>
              </c:numCache>
            </c:numRef>
          </c:val>
        </c:ser>
        <c:dLbls>
          <c:showVal val="1"/>
        </c:dLbls>
        <c:axId val="48501504"/>
        <c:axId val="48503424"/>
      </c:barChart>
      <c:catAx>
        <c:axId val="4850150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b="1"/>
                </a:pPr>
                <a:r>
                  <a:rPr lang="ar-SA" sz="900" b="1">
                    <a:cs typeface="+mn-cs"/>
                  </a:rPr>
                  <a:t>المنطقة</a:t>
                </a:r>
                <a:endParaRPr lang="en-US" sz="900" b="1">
                  <a:cs typeface="+mn-cs"/>
                </a:endParaRPr>
              </a:p>
            </c:rich>
          </c:tx>
        </c:title>
        <c:numFmt formatCode="General" sourceLinked="1"/>
        <c:tickLblPos val="nextTo"/>
        <c:txPr>
          <a:bodyPr rot="0" vert="horz"/>
          <a:lstStyle/>
          <a:p>
            <a:pPr>
              <a:defRPr sz="900"/>
            </a:pPr>
            <a:endParaRPr lang="en-US"/>
          </a:p>
        </c:txPr>
        <c:crossAx val="48503424"/>
        <c:crosses val="autoZero"/>
        <c:auto val="1"/>
        <c:lblAlgn val="ctr"/>
        <c:lblOffset val="100"/>
        <c:tickLblSkip val="1"/>
        <c:tickMarkSkip val="1"/>
      </c:catAx>
      <c:valAx>
        <c:axId val="48503424"/>
        <c:scaling>
          <c:orientation val="minMax"/>
        </c:scaling>
        <c:axPos val="l"/>
        <c:majorGridlines>
          <c:spPr>
            <a:ln>
              <a:solidFill>
                <a:schemeClr val="accent6">
                  <a:lumMod val="40000"/>
                  <a:lumOff val="60000"/>
                </a:schemeClr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 sz="900" b="1">
                    <a:cs typeface="+mn-cs"/>
                  </a:defRPr>
                </a:pPr>
                <a:r>
                  <a:rPr lang="ar-SA" sz="900" b="1">
                    <a:cs typeface="+mn-cs"/>
                  </a:rPr>
                  <a:t>النسبة</a:t>
                </a:r>
                <a:endParaRPr lang="en-US" sz="900" b="1">
                  <a:cs typeface="+mn-cs"/>
                </a:endParaRPr>
              </a:p>
            </c:rich>
          </c:tx>
        </c:title>
        <c:numFmt formatCode="General" sourceLinked="1"/>
        <c:tickLblPos val="nextTo"/>
        <c:txPr>
          <a:bodyPr rot="0" vert="horz"/>
          <a:lstStyle/>
          <a:p>
            <a:pPr>
              <a:defRPr sz="900"/>
            </a:pPr>
            <a:endParaRPr lang="en-US"/>
          </a:p>
        </c:txPr>
        <c:crossAx val="48501504"/>
        <c:crosses val="autoZero"/>
        <c:crossBetween val="between"/>
        <c:minorUnit val="10"/>
      </c:valAx>
    </c:plotArea>
    <c:legend>
      <c:legendPos val="r"/>
      <c:layout>
        <c:manualLayout>
          <c:xMode val="edge"/>
          <c:yMode val="edge"/>
          <c:x val="0.26480492085728857"/>
          <c:y val="6.2597809076682318E-2"/>
          <c:w val="0.35069444444444442"/>
          <c:h val="0.10389610389610412"/>
        </c:manualLayout>
      </c:layout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en-US"/>
        </a:p>
      </c:txPr>
    </c:legend>
    <c:plotVisOnly val="1"/>
    <c:dispBlanksAs val="gap"/>
  </c:chart>
  <c:spPr>
    <a:ln>
      <a:noFill/>
    </a:ln>
  </c:spPr>
  <c:externalData r:id="rId3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32"/>
  <c:chart>
    <c:autoTitleDeleted val="1"/>
    <c:plotArea>
      <c:layout>
        <c:manualLayout>
          <c:layoutTarget val="inner"/>
          <c:xMode val="edge"/>
          <c:yMode val="edge"/>
          <c:x val="0.37425929866874746"/>
          <c:y val="6.0958966353253513E-2"/>
          <c:w val="0.58613101290266589"/>
          <c:h val="0.73128740637610634"/>
        </c:manualLayout>
      </c:layout>
      <c:barChart>
        <c:barDir val="bar"/>
        <c:grouping val="clustered"/>
        <c:ser>
          <c:idx val="1"/>
          <c:order val="0"/>
          <c:tx>
            <c:strRef>
              <c:f>Sheet1!$A$3</c:f>
              <c:strCache>
                <c:ptCount val="1"/>
                <c:pt idx="0">
                  <c:v>رجال</c:v>
                </c:pt>
              </c:strCache>
            </c:strRef>
          </c:tx>
          <c:spPr>
            <a:blipFill>
              <a:blip xmlns:r="http://schemas.openxmlformats.org/officeDocument/2006/relationships" r:embed="rId1"/>
              <a:tile tx="0" ty="0" sx="100000" sy="100000" flip="none" algn="tl"/>
            </a:blipFill>
          </c:spPr>
          <c:dLbls>
            <c:txPr>
              <a:bodyPr/>
              <a:lstStyle/>
              <a:p>
                <a:pPr>
                  <a:defRPr sz="700">
                    <a:latin typeface="Arial" pitchFamily="34" charset="0"/>
                    <a:cs typeface="Arial" pitchFamily="34" charset="0"/>
                  </a:defRPr>
                </a:pPr>
                <a:endParaRPr lang="en-US"/>
              </a:p>
            </c:txPr>
            <c:showVal val="1"/>
          </c:dLbls>
          <c:cat>
            <c:strRef>
              <c:f>Sheet1!$B$1:$G$1</c:f>
              <c:strCache>
                <c:ptCount val="6"/>
                <c:pt idx="0">
                  <c:v>الزراعة والصيد والحراجة </c:v>
                </c:pt>
                <c:pt idx="1">
                  <c:v>التعدين والمحاجر والصناعة التحويلية </c:v>
                </c:pt>
                <c:pt idx="2">
                  <c:v>البناء والتشييد</c:v>
                </c:pt>
                <c:pt idx="3">
                  <c:v>  التجارة والمطاعم والفنادق </c:v>
                </c:pt>
                <c:pt idx="4">
                  <c:v>النقل والمواصلات والاتصالات </c:v>
                </c:pt>
                <c:pt idx="5">
                  <c:v>الخدمات والفروع الاخرى </c:v>
                </c:pt>
              </c:strCache>
            </c:strRef>
          </c:cat>
          <c:val>
            <c:numRef>
              <c:f>Sheet1!$B$3:$G$3</c:f>
              <c:numCache>
                <c:formatCode>0.0</c:formatCode>
                <c:ptCount val="6"/>
                <c:pt idx="0">
                  <c:v>8.5</c:v>
                </c:pt>
                <c:pt idx="1">
                  <c:v>12.6</c:v>
                </c:pt>
                <c:pt idx="2">
                  <c:v>18.600000000000001</c:v>
                </c:pt>
                <c:pt idx="3">
                  <c:v>21.9</c:v>
                </c:pt>
                <c:pt idx="4">
                  <c:v>7.5</c:v>
                </c:pt>
                <c:pt idx="5">
                  <c:v>30.9</c:v>
                </c:pt>
              </c:numCache>
            </c:numRef>
          </c:val>
        </c:ser>
        <c:ser>
          <c:idx val="2"/>
          <c:order val="1"/>
          <c:tx>
            <c:strRef>
              <c:f>Sheet1!$A$2</c:f>
              <c:strCache>
                <c:ptCount val="1"/>
                <c:pt idx="0">
                  <c:v>نساء</c:v>
                </c:pt>
              </c:strCache>
            </c:strRef>
          </c:tx>
          <c:spPr>
            <a:blipFill>
              <a:blip xmlns:r="http://schemas.openxmlformats.org/officeDocument/2006/relationships" r:embed="rId2"/>
              <a:tile tx="0" ty="0" sx="100000" sy="100000" flip="none" algn="tl"/>
            </a:blipFill>
          </c:spPr>
          <c:dLbls>
            <c:txPr>
              <a:bodyPr/>
              <a:lstStyle/>
              <a:p>
                <a:pPr>
                  <a:defRPr sz="700">
                    <a:latin typeface="Arial" pitchFamily="34" charset="0"/>
                    <a:cs typeface="Arial" pitchFamily="34" charset="0"/>
                  </a:defRPr>
                </a:pPr>
                <a:endParaRPr lang="en-US"/>
              </a:p>
            </c:txPr>
            <c:showVal val="1"/>
          </c:dLbls>
          <c:cat>
            <c:strRef>
              <c:f>Sheet1!$B$1:$G$1</c:f>
              <c:strCache>
                <c:ptCount val="6"/>
                <c:pt idx="0">
                  <c:v>الزراعة والصيد والحراجة </c:v>
                </c:pt>
                <c:pt idx="1">
                  <c:v>التعدين والمحاجر والصناعة التحويلية </c:v>
                </c:pt>
                <c:pt idx="2">
                  <c:v>البناء والتشييد</c:v>
                </c:pt>
                <c:pt idx="3">
                  <c:v>  التجارة والمطاعم والفنادق </c:v>
                </c:pt>
                <c:pt idx="4">
                  <c:v>النقل والمواصلات والاتصالات </c:v>
                </c:pt>
                <c:pt idx="5">
                  <c:v>الخدمات والفروع الاخرى 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20.9</c:v>
                </c:pt>
                <c:pt idx="1">
                  <c:v>9.9</c:v>
                </c:pt>
                <c:pt idx="2" formatCode="0.0">
                  <c:v>0.2</c:v>
                </c:pt>
                <c:pt idx="3">
                  <c:v>8.4</c:v>
                </c:pt>
                <c:pt idx="4" formatCode="0.0">
                  <c:v>1.3</c:v>
                </c:pt>
                <c:pt idx="5" formatCode="0.0">
                  <c:v>59.3</c:v>
                </c:pt>
              </c:numCache>
            </c:numRef>
          </c:val>
        </c:ser>
        <c:dLbls>
          <c:showVal val="1"/>
        </c:dLbls>
        <c:gapWidth val="75"/>
        <c:axId val="48483712"/>
        <c:axId val="48493696"/>
      </c:barChart>
      <c:catAx>
        <c:axId val="48483712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 rot="0" vert="horz"/>
          <a:lstStyle/>
          <a:p>
            <a:pPr>
              <a:defRPr sz="900" b="1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48493696"/>
        <c:crosses val="autoZero"/>
        <c:auto val="1"/>
        <c:lblAlgn val="ctr"/>
        <c:lblOffset val="0"/>
        <c:tickLblSkip val="1"/>
        <c:tickMarkSkip val="1"/>
      </c:catAx>
      <c:valAx>
        <c:axId val="48493696"/>
        <c:scaling>
          <c:orientation val="minMax"/>
          <c:max val="70"/>
          <c:min val="0"/>
        </c:scaling>
        <c:axPos val="b"/>
        <c:majorGridlines>
          <c:spPr>
            <a:ln>
              <a:solidFill>
                <a:schemeClr val="accent6">
                  <a:lumMod val="60000"/>
                  <a:lumOff val="40000"/>
                </a:scheme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700" b="1">
                    <a:latin typeface="Arial" pitchFamily="34" charset="0"/>
                    <a:cs typeface="Arial" pitchFamily="34" charset="0"/>
                  </a:defRPr>
                </a:pPr>
                <a:r>
                  <a:rPr lang="ar-SA" sz="800" b="1">
                    <a:latin typeface="Arial" pitchFamily="34" charset="0"/>
                    <a:cs typeface="Arial" pitchFamily="34" charset="0"/>
                  </a:rPr>
                  <a:t>النسبة</a:t>
                </a:r>
                <a:endParaRPr lang="en-US" sz="700" b="1">
                  <a:latin typeface="Arial" pitchFamily="34" charset="0"/>
                  <a:cs typeface="Arial" pitchFamily="34" charset="0"/>
                </a:endParaRPr>
              </a:p>
            </c:rich>
          </c:tx>
        </c:title>
        <c:numFmt formatCode="0" sourceLinked="0"/>
        <c:majorTickMark val="none"/>
        <c:tickLblPos val="nextTo"/>
        <c:txPr>
          <a:bodyPr rot="0" vert="horz"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48483712"/>
        <c:crosses val="autoZero"/>
        <c:crossBetween val="between"/>
        <c:majorUnit val="10"/>
        <c:minorUnit val="1"/>
      </c:valAx>
    </c:plotArea>
    <c:legend>
      <c:legendPos val="b"/>
      <c:layout>
        <c:manualLayout>
          <c:xMode val="edge"/>
          <c:yMode val="edge"/>
          <c:x val="0.7943151197009457"/>
          <c:y val="0.26461477125485977"/>
          <c:w val="0.13226946641612103"/>
          <c:h val="0.268902834638442"/>
        </c:manualLayout>
      </c:layout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en-US"/>
        </a:p>
      </c:txPr>
    </c:legend>
    <c:plotVisOnly val="1"/>
    <c:dispBlanksAs val="gap"/>
  </c:chart>
  <c:spPr>
    <a:ln>
      <a:noFill/>
    </a:ln>
  </c:spPr>
  <c:externalData r:id="rId3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F8F5AD-745F-40D1-B72F-40E28973F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loays</dc:creator>
  <cp:lastModifiedBy>haithamj</cp:lastModifiedBy>
  <cp:revision>6</cp:revision>
  <cp:lastPrinted>2014-03-05T12:19:00Z</cp:lastPrinted>
  <dcterms:created xsi:type="dcterms:W3CDTF">2014-03-05T12:20:00Z</dcterms:created>
  <dcterms:modified xsi:type="dcterms:W3CDTF">2014-03-06T11:55:00Z</dcterms:modified>
</cp:coreProperties>
</file>